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4"/>
        </w:rPr>
      </w:pPr>
      <w:bookmarkStart w:id="0" w:name="dh-20240331.htm"/>
      <w:bookmarkStart w:id="1" w:name="ksdh20240331"/>
      <w:bookmarkEnd w:id="0"/>
      <w:bookmarkEnd w:id="1"/>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March 31, 2024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001-40815</w:t>
      </w:r>
    </w:p>
    <w:p>
      <w:pPr>
        <w:pStyle w:val="TextBody"/>
        <w:bidi w:val="0"/>
        <w:spacing w:before="40" w:after="283"/>
        <w:jc w:val="center"/>
        <w:rPr>
          <w:rFonts w:ascii="Times New Roman" w:hAnsi="Times New Roman"/>
          <w:sz w:val="20"/>
        </w:rPr>
      </w:pPr>
      <w:r>
        <w:rPr>
          <w:rFonts w:ascii="Times New Roman" w:hAnsi="Times New Roman"/>
          <w:b/>
          <w:color w:val="000000"/>
          <w:sz w:val="46"/>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(508) 720-4224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w:t>
            </w:r>
          </w:p>
        </w:tc>
        <w:tc>
          <w:tcPr>
            <w:tcW w:w="14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33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by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May 2, 2024, the number of outstanding shares of the registrant’s Class A Common Stock was 117,934,713</w:t>
      </w:r>
      <w:r>
        <w:rPr>
          <w:rFonts w:ascii="Times New Roman" w:hAnsi="Times New Roman"/>
          <w:color w:val="000000"/>
          <w:sz w:val="20"/>
        </w:rPr>
        <w:t xml:space="preserve"> </w:t>
      </w:r>
      <w:r>
        <w:rPr>
          <w:rFonts w:ascii="Times New Roman" w:hAnsi="Times New Roman"/>
          <w:color w:val="000000"/>
          <w:sz w:val="18"/>
        </w:rPr>
        <w:t>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Definitive Healthcare Corp.</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8973" w:type="dxa"/>
        <w:jc w:val="left"/>
        <w:tblInd w:w="0" w:type="dxa"/>
        <w:tblLayout w:type="fixed"/>
        <w:tblCellMar>
          <w:top w:w="28" w:type="dxa"/>
          <w:left w:w="28" w:type="dxa"/>
          <w:bottom w:w="28" w:type="dxa"/>
          <w:right w:w="28" w:type="dxa"/>
        </w:tblCellMar>
      </w:tblPr>
      <w:tblGrid>
        <w:gridCol w:w="1051"/>
        <w:gridCol w:w="7366"/>
        <w:gridCol w:w="556"/>
      </w:tblGrid>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r>
              <w:rPr/>
              <w:t> </w:t>
            </w:r>
          </w:p>
        </w:tc>
        <w:tc>
          <w:tcPr>
            <w:tcW w:w="556" w:type="dxa"/>
            <w:tcBorders/>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051"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240"/>
              <w:jc w:val="left"/>
              <w:rPr/>
            </w:pPr>
            <w:r>
              <w:rPr/>
              <w:t> </w:t>
            </w:r>
          </w:p>
        </w:tc>
        <w:tc>
          <w:tcPr>
            <w:tcW w:w="7366" w:type="dxa"/>
            <w:tcBorders/>
            <w:vAlign w:val="center"/>
          </w:tcPr>
          <w:p>
            <w:pPr>
              <w:pStyle w:val="TableContents"/>
              <w:pBdr/>
              <w:bidi w:val="0"/>
              <w:ind w:left="0" w:right="0" w:hanging="240"/>
              <w:jc w:val="left"/>
              <w:rPr/>
            </w:pPr>
            <w:r>
              <w:rPr/>
              <w:t> </w:t>
            </w:r>
          </w:p>
          <w:p>
            <w:pPr>
              <w:pStyle w:val="TableContents"/>
              <w:pBdr/>
              <w:bidi w:val="0"/>
              <w:spacing w:before="0" w:after="283"/>
              <w:ind w:left="0" w:right="0" w:hanging="240"/>
              <w:jc w:val="left"/>
              <w:rPr/>
            </w:pPr>
            <w:r>
              <w:rPr/>
              <w:t> </w:t>
            </w:r>
          </w:p>
        </w:tc>
        <w:tc>
          <w:tcPr>
            <w:tcW w:w="556" w:type="dxa"/>
            <w:tcBorders/>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glossary">
              <w:r>
                <w:rPr>
                  <w:rStyle w:val="InternetLink"/>
                  <w:rFonts w:ascii="Times New Roman" w:hAnsi="Times New Roman"/>
                  <w:color w:val="0000FF"/>
                  <w:sz w:val="20"/>
                  <w:u w:val="single"/>
                </w:rPr>
                <w:t>Glossary</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w:t>
            </w:r>
          </w:p>
        </w:tc>
      </w:tr>
      <w:tr>
        <w:trPr/>
        <w:tc>
          <w:tcPr>
            <w:tcW w:w="105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w:t>
            </w:r>
          </w:p>
        </w:tc>
      </w:tr>
      <w:tr>
        <w:trPr/>
        <w:tc>
          <w:tcPr>
            <w:tcW w:w="105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r>
      <w:tr>
        <w:trPr/>
        <w:tc>
          <w:tcPr>
            <w:tcW w:w="1051" w:type="dxa"/>
            <w:tcBorders/>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366" w:type="dxa"/>
            <w:tcBorders/>
            <w:vAlign w:val="center"/>
          </w:tcPr>
          <w:p>
            <w:pPr>
              <w:pStyle w:val="TableContents"/>
              <w:pBdr/>
              <w:bidi w:val="0"/>
              <w:spacing w:before="0" w:after="283"/>
              <w:ind w:left="0" w:right="0" w:hanging="240"/>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Condensed Consolidated Balance Sheets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solidated_statements_of_operations">
              <w:r>
                <w:rPr>
                  <w:rStyle w:val="InternetLink"/>
                  <w:rFonts w:ascii="Times New Roman" w:hAnsi="Times New Roman"/>
                  <w:color w:val="0000FF"/>
                  <w:sz w:val="20"/>
                  <w:u w:val="single"/>
                </w:rPr>
                <w:t>Condensed Consolidated Statements of Operations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statements_of_comprehensive_loss">
              <w:r>
                <w:rPr>
                  <w:rStyle w:val="InternetLink"/>
                  <w:rFonts w:ascii="Times New Roman" w:hAnsi="Times New Roman"/>
                  <w:color w:val="0000FF"/>
                  <w:sz w:val="20"/>
                  <w:u w:val="single"/>
                </w:rPr>
                <w:t>Condensed Consolidated Statements of Comprehensive Loss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w:t>
            </w:r>
          </w:p>
        </w:tc>
      </w:tr>
      <w:tr>
        <w:trPr/>
        <w:tc>
          <w:tcPr>
            <w:tcW w:w="105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jc w:val="left"/>
              <w:rPr/>
            </w:pPr>
            <w:r>
              <w:rPr/>
              <w:t> </w:t>
            </w:r>
          </w:p>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hanges_in_members_equity">
              <w:r>
                <w:rPr>
                  <w:rStyle w:val="InternetLink"/>
                  <w:rFonts w:ascii="Times New Roman" w:hAnsi="Times New Roman"/>
                  <w:color w:val="0000FF"/>
                  <w:sz w:val="20"/>
                  <w:u w:val="single"/>
                </w:rPr>
                <w:t>Condensed Consolidated Statements of Changes in Total Equity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9</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notes_to_financial_statements">
              <w:r>
                <w:rPr>
                  <w:rStyle w:val="InternetLink"/>
                  <w:rFonts w:ascii="Times New Roman" w:hAnsi="Times New Roman"/>
                  <w:color w:val="0000FF"/>
                  <w:sz w:val="20"/>
                  <w:u w:val="single"/>
                </w:rPr>
                <w:t>Notes to the Condensed Consolidated Financial Statements (Unaudited)</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30</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45</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controls_and_procedures">
              <w:r>
                <w:rPr>
                  <w:rStyle w:val="InternetLink"/>
                  <w:rFonts w:ascii="Times New Roman" w:hAnsi="Times New Roman"/>
                  <w:color w:val="0000FF"/>
                  <w:sz w:val="20"/>
                  <w:u w:val="single"/>
                </w:rPr>
                <w:t>Controls and Procedures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46</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366" w:type="dxa"/>
            <w:tcBorders/>
            <w:vAlign w:val="center"/>
          </w:tcPr>
          <w:p>
            <w:pPr>
              <w:pStyle w:val="TableContents"/>
              <w:pBdr/>
              <w:bidi w:val="0"/>
              <w:spacing w:before="0" w:after="283"/>
              <w:ind w:left="0" w:right="0" w:hanging="240"/>
              <w:jc w:val="left"/>
              <w:rPr/>
            </w:pPr>
            <w:hyperlink w:anchor="part_ii_other_information">
              <w:r>
                <w:rPr>
                  <w:rStyle w:val="InternetLink"/>
                  <w:rFonts w:ascii="Times New Roman" w:hAnsi="Times New Roman"/>
                  <w:color w:val="0000FF"/>
                  <w:sz w:val="20"/>
                  <w:u w:val="single"/>
                </w:rPr>
                <w:t>OTHER INFORMATION</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366"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color w:val="0000FF"/>
                  <w:sz w:val="20"/>
                  <w:u w:val="single"/>
                </w:rPr>
                <w:t>Risk Factors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r>
              <w:rPr/>
              <w:t> </w:t>
            </w:r>
          </w:p>
        </w:tc>
        <w:tc>
          <w:tcPr>
            <w:tcW w:w="556" w:type="dxa"/>
            <w:tcBorders/>
            <w:vAlign w:val="center"/>
          </w:tcPr>
          <w:p>
            <w:pPr>
              <w:pStyle w:val="TableContents"/>
              <w:bidi w:val="0"/>
              <w:spacing w:before="0" w:after="20"/>
              <w:jc w:val="left"/>
              <w:rPr/>
            </w:pPr>
            <w:r>
              <w:rPr/>
              <w:t> </w:t>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r>
              <w:rPr/>
              <w:t> </w:t>
            </w:r>
          </w:p>
        </w:tc>
        <w:tc>
          <w:tcPr>
            <w:tcW w:w="556" w:type="dxa"/>
            <w:tcBorders/>
            <w:vAlign w:val="center"/>
          </w:tcPr>
          <w:p>
            <w:pPr>
              <w:pStyle w:val="TableContents"/>
              <w:bidi w:val="0"/>
              <w:spacing w:before="0" w:after="20"/>
              <w:jc w:val="left"/>
              <w:rPr/>
            </w:pPr>
            <w:r>
              <w:rPr/>
              <w:t> </w:t>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366" w:type="dxa"/>
            <w:tcBorders/>
            <w:vAlign w:val="center"/>
          </w:tcPr>
          <w:p>
            <w:pPr>
              <w:pStyle w:val="TableContents"/>
              <w:pBdr/>
              <w:bidi w:val="0"/>
              <w:spacing w:before="0" w:after="283"/>
              <w:ind w:left="0" w:right="0" w:hanging="240"/>
              <w:jc w:val="left"/>
              <w:rPr/>
            </w:pPr>
            <w:hyperlink w:anchor="item_5_other_information">
              <w:r>
                <w:rPr>
                  <w:rStyle w:val="InternetLink"/>
                  <w:rFonts w:ascii="Times New Roman" w:hAnsi="Times New Roman"/>
                  <w:color w:val="0000FF"/>
                  <w:sz w:val="20"/>
                  <w:u w:val="single"/>
                </w:rPr>
                <w:t>Other Information</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48</w:t>
            </w:r>
          </w:p>
        </w:tc>
      </w:tr>
      <w:tr>
        <w:trPr/>
        <w:tc>
          <w:tcPr>
            <w:tcW w:w="1051" w:type="dxa"/>
            <w:tcBorders/>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r>
              <w:rPr/>
              <w:t> </w:t>
            </w:r>
          </w:p>
        </w:tc>
        <w:tc>
          <w:tcPr>
            <w:tcW w:w="556" w:type="dxa"/>
            <w:tcBorders/>
            <w:vAlign w:val="center"/>
          </w:tcPr>
          <w:p>
            <w:pPr>
              <w:pStyle w:val="TableContents"/>
              <w:bidi w:val="0"/>
              <w:spacing w:before="0" w:after="20"/>
              <w:jc w:val="left"/>
              <w:rPr/>
            </w:pPr>
            <w:r>
              <w:rPr/>
              <w:t> </w:t>
            </w:r>
          </w:p>
        </w:tc>
      </w:tr>
      <w:tr>
        <w:trPr/>
        <w:tc>
          <w:tcPr>
            <w:tcW w:w="105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366" w:type="dxa"/>
            <w:tcBorders/>
            <w:vAlign w:val="center"/>
          </w:tcPr>
          <w:p>
            <w:pPr>
              <w:pStyle w:val="TableContents"/>
              <w:pBdr/>
              <w:bidi w:val="0"/>
              <w:spacing w:before="0" w:after="283"/>
              <w:ind w:left="0" w:right="0" w:hanging="240"/>
              <w:jc w:val="left"/>
              <w:rPr/>
            </w:pPr>
            <w:hyperlink w:anchor="item_6_exhibits">
              <w:r>
                <w:rPr>
                  <w:rStyle w:val="InternetLink"/>
                  <w:rFonts w:ascii="Times New Roman" w:hAnsi="Times New Roman"/>
                  <w:color w:val="0000FF"/>
                  <w:sz w:val="20"/>
                  <w:u w:val="single"/>
                </w:rPr>
                <w:t>Exhibits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49</w:t>
            </w:r>
          </w:p>
        </w:tc>
      </w:tr>
      <w:tr>
        <w:trPr/>
        <w:tc>
          <w:tcPr>
            <w:tcW w:w="8417" w:type="dxa"/>
            <w:gridSpan w:val="2"/>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417" w:type="dxa"/>
            <w:gridSpan w:val="2"/>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50</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to Definitive Healthcare Corp. and its consolidated subsidiaries unless the context indicates otherwise.</w:t>
      </w:r>
    </w:p>
    <w:p>
      <w:pPr>
        <w:pStyle w:val="TextBody"/>
        <w:bidi w:val="0"/>
        <w:spacing w:before="12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Management Holdings, LLC</w:t>
      </w:r>
      <w:r>
        <w:rPr>
          <w:color w:val="000000"/>
        </w:rPr>
        <w:t xml:space="preserve">” </w:t>
      </w:r>
      <w:r>
        <w:rPr>
          <w:rFonts w:ascii="Times New Roman" w:hAnsi="Times New Roman"/>
          <w:color w:val="000000"/>
          <w:sz w:val="20"/>
        </w:rPr>
        <w:t>is a special purpose investment vehicle through which certain persons, primarily employees and certain legacy investors, indirectly hold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 xml:space="preserve">refers to the second amended and restated limited liability company agreement entered into by Definitive Opco pursuant to which members have the right to exchange all or a portion of their LLC units for newly issued shares of Class A Common Stock in Definitive Healthcare Corp.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that held LLC units in Definitive OpCo which, through the Reorganization Transactions, were merged into Definitive Healthcare Corp. and are now holders of Class A Common Stock.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refers to transactions completed in connection with the Company’s IPO as defined within Note 1 to our unaudited condensed consolidated financial statements included in Part I, Item 1 of this Form 10-Q.</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Tax Receivable Agreement</w:t>
      </w:r>
      <w:r>
        <w:rPr>
          <w:color w:val="000000"/>
        </w:rPr>
        <w:t xml:space="preserve">” </w:t>
      </w:r>
      <w:r>
        <w:rPr>
          <w:rFonts w:ascii="Times New Roman" w:hAnsi="Times New Roman"/>
          <w:color w:val="000000"/>
          <w:sz w:val="20"/>
        </w:rPr>
        <w:t>refers to the Tax Receivable Agreement, dated September 14, 2021, between Definitive Healthcare Corp., Definitive OpCo, and the TRA Parties.</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Tax Receivable Agreement.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our Annual Report on Form 10-K for the year ended December 31, 2023 (the “2023 Form 10-K”) filed with the Securities and Exchange Commission (“SEC”) on February 28, 2024,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1"/>
        <w:gridCol w:w="246"/>
        <w:gridCol w:w="215"/>
        <w:gridCol w:w="953"/>
        <w:gridCol w:w="166"/>
        <w:gridCol w:w="246"/>
        <w:gridCol w:w="226"/>
        <w:gridCol w:w="999"/>
        <w:gridCol w:w="593"/>
      </w:tblGrid>
      <w:tr>
        <w:trPr/>
        <w:tc>
          <w:tcPr>
            <w:tcW w:w="65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6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68" w:type="dxa"/>
            <w:gridSpan w:val="2"/>
            <w:tcBorders/>
            <w:shd w:fill="CFF0FC" w:val="clear"/>
            <w:vAlign w:val="center"/>
          </w:tcPr>
          <w:p>
            <w:pPr>
              <w:pStyle w:val="TableContents"/>
              <w:bidi w:val="0"/>
              <w:spacing w:before="0" w:after="283"/>
              <w:ind w:left="100" w:right="0" w:firstLine="100"/>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25" w:type="dxa"/>
            <w:gridSpan w:val="2"/>
            <w:tcBorders/>
            <w:shd w:fill="CFF0FC" w:val="clear"/>
            <w:vAlign w:val="center"/>
          </w:tcPr>
          <w:p>
            <w:pPr>
              <w:pStyle w:val="TableContents"/>
              <w:bidi w:val="0"/>
              <w:spacing w:before="0" w:after="283"/>
              <w:ind w:left="100" w:right="0" w:firstLine="100"/>
              <w:jc w:val="left"/>
              <w:rPr/>
            </w:pPr>
            <w:r>
              <w:rPr/>
              <w:t> </w:t>
            </w:r>
          </w:p>
        </w:tc>
        <w:tc>
          <w:tcPr>
            <w:tcW w:w="593" w:type="dxa"/>
            <w:tcBorders/>
            <w:shd w:fill="CFF0FC"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68" w:type="dxa"/>
            <w:gridSpan w:val="2"/>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25" w:type="dxa"/>
            <w:gridSpan w:val="2"/>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105,994</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130,976</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189,174</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56,655</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378,717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393,927</w:t>
            </w:r>
          </w:p>
        </w:tc>
        <w:tc>
          <w:tcPr>
            <w:tcW w:w="593" w:type="dxa"/>
            <w:tcBorders/>
            <w:shd w:fill="FFFFFF" w:val="clear"/>
            <w:vAlign w:val="center"/>
          </w:tcPr>
          <w:p>
            <w:pPr>
              <w:pStyle w:val="TableContents"/>
              <w:bidi w:val="0"/>
              <w:spacing w:before="0" w:after="283"/>
              <w:jc w:val="left"/>
              <w:rPr/>
            </w:pPr>
            <w:r>
              <w:rPr/>
              <w:t> </w:t>
            </w:r>
          </w:p>
        </w:tc>
      </w:tr>
      <w:tr>
        <w:trPr/>
        <w:tc>
          <w:tcPr>
            <w:tcW w:w="6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593" w:type="dxa"/>
            <w:tcBorders/>
            <w:shd w:fill="CFF0FC"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w:t>
            </w:r>
          </w:p>
        </w:tc>
        <w:tc>
          <w:tcPr>
            <w:tcW w:w="593" w:type="dxa"/>
            <w:tcBorders/>
            <w:shd w:fill="FFFFFF" w:val="clear"/>
            <w:vAlign w:val="center"/>
          </w:tcPr>
          <w:p>
            <w:pPr>
              <w:pStyle w:val="TableContents"/>
              <w:bidi w:val="0"/>
              <w:spacing w:before="0" w:after="283"/>
              <w:jc w:val="left"/>
              <w:rPr/>
            </w:pPr>
            <w:r>
              <w:rPr/>
              <w:t> </w:t>
            </w:r>
          </w:p>
        </w:tc>
      </w:tr>
      <w:tr>
        <w:trPr/>
        <w:tc>
          <w:tcPr>
            <w:tcW w:w="6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593" w:type="dxa"/>
            <w:tcBorders/>
            <w:shd w:fill="CFF0FC"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593" w:type="dxa"/>
            <w:tcBorders/>
            <w:shd w:fill="FFFFFF" w:val="clear"/>
            <w:vAlign w:val="center"/>
          </w:tcPr>
          <w:p>
            <w:pPr>
              <w:pStyle w:val="TableContents"/>
              <w:bidi w:val="0"/>
              <w:spacing w:before="0" w:after="283"/>
              <w:jc w:val="left"/>
              <w:rPr/>
            </w:pPr>
            <w:r>
              <w:rPr/>
              <w:t> </w:t>
            </w:r>
          </w:p>
        </w:tc>
      </w:tr>
      <w:tr>
        <w:trPr/>
        <w:tc>
          <w:tcPr>
            <w:tcW w:w="6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317,972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593" w:type="dxa"/>
            <w:tcBorders/>
            <w:shd w:fill="CFF0FC"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6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vAlign w:val="center"/>
          </w:tcPr>
          <w:p>
            <w:pPr>
              <w:pStyle w:val="TableContents"/>
              <w:bidi w:val="0"/>
              <w:spacing w:before="0" w:after="283"/>
              <w:jc w:val="left"/>
              <w:rPr/>
            </w:pPr>
            <w:r>
              <w:rPr/>
              <w:t> </w:t>
            </w:r>
          </w:p>
        </w:tc>
        <w:tc>
          <w:tcPr>
            <w:tcW w:w="116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2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108,078</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164,980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170,682</w:t>
            </w:r>
          </w:p>
        </w:tc>
        <w:tc>
          <w:tcPr>
            <w:tcW w:w="593" w:type="dxa"/>
            <w:tcBorders/>
            <w:shd w:fill="CFF0FC"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239,267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66,615</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6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117,790,025 and 116,562,252 shares issued and outstanding at March 31, 2024 and December 31, 2023, respectively</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39,664,004 and 39,238,832 shares issued and outstanding, respectively, at March 31, 2024, and 39,762,700 and 39,168,047 shares issued and outstanding, respectively, at December 31, 2023</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1,095,482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1,086,581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2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(227,450</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1,199,174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amounts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832"/>
        <w:gridCol w:w="1346"/>
        <w:gridCol w:w="211"/>
        <w:gridCol w:w="1141"/>
        <w:gridCol w:w="266"/>
        <w:gridCol w:w="246"/>
        <w:gridCol w:w="211"/>
        <w:gridCol w:w="1141"/>
        <w:gridCol w:w="811"/>
      </w:tblGrid>
      <w:tr>
        <w:trPr/>
        <w:tc>
          <w:tcPr>
            <w:tcW w:w="48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vAlign w:val="center"/>
          </w:tcPr>
          <w:p>
            <w:pPr>
              <w:pStyle w:val="TableContents"/>
              <w:bidi w:val="0"/>
              <w:spacing w:before="0" w:after="283"/>
              <w:ind w:left="0" w:right="0" w:firstLine="100"/>
              <w:jc w:val="left"/>
              <w:rPr/>
            </w:pPr>
            <w:r>
              <w:rPr/>
              <w:t> </w:t>
            </w:r>
          </w:p>
        </w:tc>
        <w:tc>
          <w:tcPr>
            <w:tcW w:w="1346" w:type="dxa"/>
            <w:tcBorders/>
            <w:shd w:fill="FFFFFF" w:val="clear"/>
            <w:vAlign w:val="center"/>
          </w:tcPr>
          <w:p>
            <w:pPr>
              <w:pStyle w:val="TableContents"/>
              <w:bidi w:val="0"/>
              <w:spacing w:before="0" w:after="283"/>
              <w:ind w:left="10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FFFFFF" w:val="clear"/>
            <w:vAlign w:val="center"/>
          </w:tcPr>
          <w:p>
            <w:pPr>
              <w:pStyle w:val="TableContents"/>
              <w:bidi w:val="0"/>
              <w:spacing w:before="0" w:after="283"/>
              <w:ind w:left="0" w:right="0" w:firstLine="100"/>
              <w:jc w:val="left"/>
              <w:rPr/>
            </w:pPr>
            <w:r>
              <w:rPr/>
              <w:t> </w:t>
            </w:r>
          </w:p>
        </w:tc>
        <w:tc>
          <w:tcPr>
            <w:tcW w:w="13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59,201</w:t>
            </w:r>
          </w:p>
        </w:tc>
        <w:tc>
          <w:tcPr>
            <w:tcW w:w="811" w:type="dxa"/>
            <w:tcBorders/>
            <w:shd w:fill="CFF0FC" w:val="clear"/>
            <w:vAlign w:val="center"/>
          </w:tcPr>
          <w:p>
            <w:pPr>
              <w:pStyle w:val="TableContents"/>
              <w:bidi w:val="0"/>
              <w:spacing w:before="0" w:after="283"/>
              <w:jc w:val="left"/>
              <w:rPr/>
            </w:pPr>
            <w:r>
              <w:rPr/>
              <w:t> </w:t>
            </w:r>
          </w:p>
        </w:tc>
      </w:tr>
      <w:tr>
        <w:trPr/>
        <w:tc>
          <w:tcPr>
            <w:tcW w:w="483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8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CFF0FC"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8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8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FFFFFF"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CFF0FC"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8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Gain (loss) on remeasurement of tax receivable agreement liability</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income (expense), net</w:t>
            </w:r>
          </w:p>
        </w:tc>
        <w:tc>
          <w:tcPr>
            <w:tcW w:w="1346" w:type="dxa"/>
            <w:tcBorders/>
            <w:shd w:fill="CFF0FC"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483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vAlign w:val="center"/>
          </w:tcPr>
          <w:p>
            <w:pPr>
              <w:pStyle w:val="TableContents"/>
              <w:bidi w:val="0"/>
              <w:spacing w:before="0" w:after="283"/>
              <w:ind w:left="80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483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vAlign w:val="center"/>
          </w:tcPr>
          <w:p>
            <w:pPr>
              <w:pStyle w:val="TableContents"/>
              <w:bidi w:val="0"/>
              <w:spacing w:before="0" w:after="283"/>
              <w:ind w:left="80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117,433,520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108,234,043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omprehensive_loss"/>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8791" w:type="dxa"/>
        <w:jc w:val="left"/>
        <w:tblInd w:w="0" w:type="dxa"/>
        <w:tblLayout w:type="fixed"/>
        <w:tblCellMar>
          <w:top w:w="28" w:type="dxa"/>
          <w:left w:w="28" w:type="dxa"/>
          <w:bottom w:w="28" w:type="dxa"/>
          <w:right w:w="28" w:type="dxa"/>
        </w:tblCellMar>
      </w:tblPr>
      <w:tblGrid>
        <w:gridCol w:w="5636"/>
        <w:gridCol w:w="146"/>
        <w:gridCol w:w="229"/>
        <w:gridCol w:w="801"/>
        <w:gridCol w:w="180"/>
        <w:gridCol w:w="158"/>
        <w:gridCol w:w="229"/>
        <w:gridCol w:w="801"/>
        <w:gridCol w:w="611"/>
      </w:tblGrid>
      <w:tr>
        <w:trPr/>
        <w:tc>
          <w:tcPr>
            <w:tcW w:w="5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left"/>
              <w:rPr>
                <w:sz w:val="4"/>
                <w:szCs w:val="4"/>
              </w:rPr>
            </w:pPr>
            <w:r>
              <w:rPr>
                <w:sz w:val="4"/>
                <w:szCs w:val="4"/>
              </w:rPr>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on interest rate hedging instruments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sz w:val="20"/>
        </w:rPr>
      </w:pPr>
      <w:bookmarkStart w:id="8" w:name="changes_in_members_equity"/>
      <w:bookmarkEnd w:id="8"/>
      <w:r>
        <w:rPr>
          <w:rFonts w:ascii="Times New Roman" w:hAnsi="Times New Roman"/>
          <w:b/>
          <w:color w:val="000000"/>
          <w:sz w:val="18"/>
        </w:rPr>
        <w:t>CONDENSED CONSOLIDATED STATEMENTS OF CHANGES IN TOTAL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11095" w:type="dxa"/>
        <w:jc w:val="left"/>
        <w:tblInd w:w="0" w:type="dxa"/>
        <w:tblLayout w:type="fixed"/>
        <w:tblCellMar>
          <w:top w:w="28" w:type="dxa"/>
          <w:left w:w="28" w:type="dxa"/>
          <w:bottom w:w="28" w:type="dxa"/>
          <w:right w:w="28" w:type="dxa"/>
        </w:tblCellMar>
      </w:tblPr>
      <w:tblGrid>
        <w:gridCol w:w="1186"/>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82"/>
        <w:gridCol w:w="739"/>
        <w:gridCol w:w="166"/>
        <w:gridCol w:w="225"/>
        <w:gridCol w:w="796"/>
        <w:gridCol w:w="16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2024</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116,562,252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39,762,700</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1,086,581</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337,817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1,199,174</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(12,718</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Class A Common Stock upon vesting of RSUs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1,822,506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(646,041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LLC unit exchanges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 unvested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15,582</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117,790,025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39,664,004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1,095,482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1,195,031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999" w:type="dxa"/>
        <w:jc w:val="left"/>
        <w:tblInd w:w="0" w:type="dxa"/>
        <w:tblLayout w:type="fixed"/>
        <w:tblCellMar>
          <w:top w:w="28" w:type="dxa"/>
          <w:left w:w="28" w:type="dxa"/>
          <w:bottom w:w="28" w:type="dxa"/>
          <w:right w:w="28" w:type="dxa"/>
        </w:tblCellMar>
      </w:tblPr>
      <w:tblGrid>
        <w:gridCol w:w="1186"/>
        <w:gridCol w:w="146"/>
        <w:gridCol w:w="1006"/>
        <w:gridCol w:w="166"/>
        <w:gridCol w:w="196"/>
        <w:gridCol w:w="376"/>
        <w:gridCol w:w="146"/>
        <w:gridCol w:w="146"/>
        <w:gridCol w:w="916"/>
        <w:gridCol w:w="166"/>
        <w:gridCol w:w="206"/>
        <w:gridCol w:w="365"/>
        <w:gridCol w:w="146"/>
        <w:gridCol w:w="196"/>
        <w:gridCol w:w="826"/>
        <w:gridCol w:w="166"/>
        <w:gridCol w:w="199"/>
        <w:gridCol w:w="672"/>
        <w:gridCol w:w="166"/>
        <w:gridCol w:w="282"/>
        <w:gridCol w:w="739"/>
        <w:gridCol w:w="166"/>
        <w:gridCol w:w="225"/>
        <w:gridCol w:w="796"/>
        <w:gridCol w:w="16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2023</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105,138,273</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50,433,101</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970,207</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533,027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1,481,945</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(15,972</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Class A Common Stock upon vesting of RSUs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380,676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LLC unit exchanges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4,771,545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(4,771,545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41,881</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(10,466</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 unvested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7,811</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110,162,665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45,626,933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1,018,692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479,388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1,463,858</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(Unaudited)</w:t>
      </w:r>
    </w:p>
    <w:tbl>
      <w:tblPr>
        <w:tblW w:w="10095" w:type="dxa"/>
        <w:jc w:val="left"/>
        <w:tblInd w:w="0" w:type="dxa"/>
        <w:tblLayout w:type="fixed"/>
        <w:tblCellMar>
          <w:top w:w="28" w:type="dxa"/>
          <w:left w:w="28" w:type="dxa"/>
          <w:bottom w:w="28" w:type="dxa"/>
          <w:right w:w="28" w:type="dxa"/>
        </w:tblCellMar>
      </w:tblPr>
      <w:tblGrid>
        <w:gridCol w:w="5561"/>
        <w:gridCol w:w="946"/>
        <w:gridCol w:w="205"/>
        <w:gridCol w:w="725"/>
        <w:gridCol w:w="279"/>
        <w:gridCol w:w="258"/>
        <w:gridCol w:w="205"/>
        <w:gridCol w:w="725"/>
        <w:gridCol w:w="1191"/>
      </w:tblGrid>
      <w:tr>
        <w:trPr/>
        <w:tc>
          <w:tcPr>
            <w:tcW w:w="55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5561" w:type="dxa"/>
            <w:tcBorders/>
            <w:shd w:fill="FFFFFF" w:val="clear"/>
            <w:vAlign w:val="center"/>
          </w:tcPr>
          <w:p>
            <w:pPr>
              <w:pStyle w:val="TableContents"/>
              <w:bidi w:val="0"/>
              <w:spacing w:before="0" w:after="283"/>
              <w:ind w:left="0" w:right="0" w:firstLine="100"/>
              <w:jc w:val="left"/>
              <w:rPr/>
            </w:pPr>
            <w:r>
              <w:rPr/>
              <w:t> </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1" w:type="dxa"/>
            <w:tcBorders/>
            <w:shd w:fill="FFFFFF" w:val="clear"/>
            <w:vAlign w:val="center"/>
          </w:tcPr>
          <w:p>
            <w:pPr>
              <w:pStyle w:val="TableContents"/>
              <w:bidi w:val="0"/>
              <w:spacing w:before="0" w:after="283"/>
              <w:ind w:left="0" w:right="0" w:firstLine="100"/>
              <w:jc w:val="left"/>
              <w:rPr/>
            </w:pPr>
            <w:r>
              <w:rPr/>
              <w:t> </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ind w:left="0" w:right="0" w:firstLine="100"/>
              <w:jc w:val="righ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191" w:type="dxa"/>
            <w:tcBorders/>
            <w:shd w:fill="CFF0FC" w:val="clear"/>
            <w:vAlign w:val="center"/>
          </w:tcPr>
          <w:p>
            <w:pPr>
              <w:pStyle w:val="TableContents"/>
              <w:bidi w:val="0"/>
              <w:spacing w:before="0" w:after="283"/>
              <w:ind w:left="0" w:right="0" w:firstLine="400"/>
              <w:jc w:val="righ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(15,972</w:t>
            </w:r>
          </w:p>
        </w:tc>
        <w:tc>
          <w:tcPr>
            <w:tcW w:w="119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ind w:left="0" w:right="0" w:firstLine="100"/>
              <w:jc w:val="righ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191" w:type="dxa"/>
            <w:tcBorders/>
            <w:shd w:fill="CFF0FC" w:val="clear"/>
            <w:vAlign w:val="center"/>
          </w:tcPr>
          <w:p>
            <w:pPr>
              <w:pStyle w:val="TableContents"/>
              <w:bidi w:val="0"/>
              <w:spacing w:before="0" w:after="283"/>
              <w:ind w:left="0" w:right="0" w:firstLine="700"/>
              <w:jc w:val="righ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12,130</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12,431</w:t>
            </w:r>
          </w:p>
        </w:tc>
        <w:tc>
          <w:tcPr>
            <w:tcW w:w="1191" w:type="dxa"/>
            <w:tcBorders/>
            <w:shd w:fill="CFF0FC" w:val="clear"/>
            <w:vAlign w:val="center"/>
          </w:tcPr>
          <w:p>
            <w:pPr>
              <w:pStyle w:val="TableContents"/>
              <w:bidi w:val="0"/>
              <w:spacing w:before="0" w:after="283"/>
              <w:ind w:left="0" w:right="0" w:firstLine="700"/>
              <w:jc w:val="lef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3,692</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2,860</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15,582</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11,128</w:t>
            </w:r>
          </w:p>
        </w:tc>
        <w:tc>
          <w:tcPr>
            <w:tcW w:w="1191" w:type="dxa"/>
            <w:tcBorders/>
            <w:shd w:fill="CFF0FC" w:val="clear"/>
            <w:vAlign w:val="center"/>
          </w:tcPr>
          <w:p>
            <w:pPr>
              <w:pStyle w:val="TableContents"/>
              <w:bidi w:val="0"/>
              <w:spacing w:before="0" w:after="283"/>
              <w:ind w:left="0" w:right="0" w:firstLine="700"/>
              <w:jc w:val="lef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Provision for doubtful 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191" w:type="dxa"/>
            <w:tcBorders/>
            <w:shd w:fill="CFF0FC" w:val="clear"/>
            <w:vAlign w:val="center"/>
          </w:tcPr>
          <w:p>
            <w:pPr>
              <w:pStyle w:val="TableContents"/>
              <w:bidi w:val="0"/>
              <w:spacing w:before="0" w:after="283"/>
              <w:ind w:left="0" w:right="0" w:firstLine="700"/>
              <w:jc w:val="lef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impairment charges related to office leases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3,552</w:t>
            </w:r>
          </w:p>
        </w:tc>
        <w:tc>
          <w:tcPr>
            <w:tcW w:w="1191" w:type="dxa"/>
            <w:tcBorders/>
            <w:shd w:fill="CFF0FC" w:val="clear"/>
            <w:vAlign w:val="center"/>
          </w:tcPr>
          <w:p>
            <w:pPr>
              <w:pStyle w:val="TableContents"/>
              <w:bidi w:val="0"/>
              <w:spacing w:before="0" w:after="283"/>
              <w:ind w:left="0" w:right="0" w:firstLine="700"/>
              <w:jc w:val="lef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w:t>
            </w:r>
          </w:p>
        </w:tc>
        <w:tc>
          <w:tcPr>
            <w:tcW w:w="11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ind w:left="0" w:right="0" w:firstLine="100"/>
              <w:jc w:val="righ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700"/>
              <w:jc w:val="righ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2,999</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6,966</w:t>
            </w:r>
          </w:p>
        </w:tc>
        <w:tc>
          <w:tcPr>
            <w:tcW w:w="1191" w:type="dxa"/>
            <w:tcBorders/>
            <w:shd w:fill="CFF0FC" w:val="clear"/>
            <w:vAlign w:val="center"/>
          </w:tcPr>
          <w:p>
            <w:pPr>
              <w:pStyle w:val="TableContents"/>
              <w:bidi w:val="0"/>
              <w:spacing w:before="0" w:after="283"/>
              <w:ind w:left="0" w:right="0" w:firstLine="700"/>
              <w:jc w:val="left"/>
              <w:rPr/>
            </w:pPr>
            <w:r>
              <w:rPr/>
              <w:t> </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(1,399</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(3,796</w:t>
            </w:r>
          </w:p>
        </w:tc>
        <w:tc>
          <w:tcPr>
            <w:tcW w:w="1191" w:type="dxa"/>
            <w:tcBorders/>
            <w:shd w:fill="FFFFFF" w:val="cle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(2,699</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(4,021</w:t>
            </w:r>
          </w:p>
        </w:tc>
        <w:tc>
          <w:tcPr>
            <w:tcW w:w="1191" w:type="dxa"/>
            <w:tcBorders/>
            <w:shd w:fill="CFF0FC" w:val="cle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Contingent consideration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191" w:type="dxa"/>
            <w:tcBorders/>
            <w:shd w:fill="FFFFFF" w:val="clear"/>
            <w:vAlign w:val="center"/>
          </w:tcPr>
          <w:p>
            <w:pPr>
              <w:pStyle w:val="TableContents"/>
              <w:bidi w:val="0"/>
              <w:spacing w:before="0" w:after="283"/>
              <w:ind w:left="0" w:right="0" w:firstLine="700"/>
              <w:jc w:val="left"/>
              <w:rPr/>
            </w:pPr>
            <w:r>
              <w:rPr/>
              <w:t> </w:t>
            </w:r>
          </w:p>
        </w:tc>
      </w:tr>
      <w:tr>
        <w:trPr/>
        <w:tc>
          <w:tcPr>
            <w:tcW w:w="5561" w:type="dxa"/>
            <w:tcBorders/>
            <w:shd w:fill="CFF0FC"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(8,231</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(3,855</w:t>
            </w:r>
          </w:p>
        </w:tc>
        <w:tc>
          <w:tcPr>
            <w:tcW w:w="1191" w:type="dxa"/>
            <w:tcBorders/>
            <w:shd w:fill="CFF0FC" w:val="cle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9,738</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16,589</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14,957</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ind w:left="0" w:right="0" w:firstLine="100"/>
              <w:jc w:val="righ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400"/>
              <w:jc w:val="righ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property, equipment, and other assets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w:t>
            </w:r>
          </w:p>
        </w:tc>
        <w:tc>
          <w:tcPr>
            <w:tcW w:w="11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(83,826</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(90,252</w:t>
            </w:r>
          </w:p>
        </w:tc>
        <w:tc>
          <w:tcPr>
            <w:tcW w:w="11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73,588</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58,120</w:t>
            </w:r>
          </w:p>
        </w:tc>
        <w:tc>
          <w:tcPr>
            <w:tcW w:w="1191" w:type="dxa"/>
            <w:tcBorders/>
            <w:shd w:fill="CFF0FC" w:val="clear"/>
            <w:vAlign w:val="center"/>
          </w:tcPr>
          <w:p>
            <w:pPr>
              <w:pStyle w:val="TableContents"/>
              <w:bidi w:val="0"/>
              <w:spacing w:before="0" w:after="283"/>
              <w:ind w:left="0" w:right="0" w:firstLine="400"/>
              <w:jc w:val="lef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for acquisitions, net of cash acquired</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used in investing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(24,034</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(33,470</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financing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ind w:left="0" w:right="0" w:firstLine="100"/>
              <w:jc w:val="righ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400"/>
              <w:jc w:val="righ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Repayments of term loans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(3,438</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(1,719</w:t>
            </w:r>
          </w:p>
        </w:tc>
        <w:tc>
          <w:tcPr>
            <w:tcW w:w="11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(5,806</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(1,530</w:t>
            </w:r>
          </w:p>
        </w:tc>
        <w:tc>
          <w:tcPr>
            <w:tcW w:w="11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 of contingent consideration</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191" w:type="dxa"/>
            <w:tcBorders/>
            <w:shd w:fill="CFF0FC" w:val="clear"/>
            <w:vAlign w:val="center"/>
          </w:tcPr>
          <w:p>
            <w:pPr>
              <w:pStyle w:val="TableContents"/>
              <w:bidi w:val="0"/>
              <w:spacing w:before="0" w:after="283"/>
              <w:ind w:left="0" w:right="0" w:firstLine="400"/>
              <w:jc w:val="lef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(6,950</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11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equity offering issuance costs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11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(17,194</w:t>
            </w:r>
          </w:p>
        </w:tc>
        <w:tc>
          <w:tcPr>
            <w:tcW w:w="279"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(3,525</w:t>
            </w:r>
          </w:p>
        </w:tc>
        <w:tc>
          <w:tcPr>
            <w:tcW w:w="1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decrease in cash and cash equivalents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(24,639</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(22,038</w:t>
            </w:r>
          </w:p>
        </w:tc>
        <w:tc>
          <w:tcPr>
            <w:tcW w:w="11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w:t>
            </w:r>
          </w:p>
        </w:tc>
        <w:tc>
          <w:tcPr>
            <w:tcW w:w="279" w:type="dxa"/>
            <w:tcBorders/>
            <w:shd w:fill="FFFFFF"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w:t>
            </w:r>
          </w:p>
        </w:tc>
        <w:tc>
          <w:tcPr>
            <w:tcW w:w="1191" w:type="dxa"/>
            <w:tcBorders/>
            <w:shd w:fill="FFFFFF" w:val="clear"/>
            <w:vAlign w:val="center"/>
          </w:tcPr>
          <w:p>
            <w:pPr>
              <w:pStyle w:val="TableContents"/>
              <w:bidi w:val="0"/>
              <w:spacing w:before="0" w:after="283"/>
              <w:ind w:left="0" w:right="0" w:firstLine="400"/>
              <w:jc w:val="lef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130,976</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146,934</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105,994</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124,961</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1"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ind w:left="0" w:right="0" w:firstLine="100"/>
              <w:jc w:val="righ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191" w:type="dxa"/>
            <w:tcBorders/>
            <w:shd w:fill="CFF0FC" w:val="clear"/>
            <w:vAlign w:val="center"/>
          </w:tcPr>
          <w:p>
            <w:pPr>
              <w:pStyle w:val="TableContents"/>
              <w:bidi w:val="0"/>
              <w:spacing w:before="0" w:after="283"/>
              <w:ind w:left="0" w:right="0" w:firstLine="400"/>
              <w:jc w:val="righ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ind w:left="0" w:right="0" w:firstLine="100"/>
              <w:jc w:val="righ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600"/>
              <w:jc w:val="righ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3,642</w:t>
            </w:r>
          </w:p>
        </w:tc>
        <w:tc>
          <w:tcPr>
            <w:tcW w:w="279" w:type="dxa"/>
            <w:tcBorders/>
            <w:shd w:fill="CFF0FC" w:val="clear"/>
            <w:vAlign w:val="center"/>
          </w:tcPr>
          <w:p>
            <w:pPr>
              <w:pStyle w:val="TableContents"/>
              <w:bidi w:val="0"/>
              <w:spacing w:before="0" w:after="283"/>
              <w:ind w:left="0" w:right="0" w:firstLine="100"/>
              <w:jc w:val="lef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3,475</w:t>
            </w:r>
          </w:p>
        </w:tc>
        <w:tc>
          <w:tcPr>
            <w:tcW w:w="1191" w:type="dxa"/>
            <w:tcBorders/>
            <w:shd w:fill="CFF0FC" w:val="clear"/>
            <w:vAlign w:val="center"/>
          </w:tcPr>
          <w:p>
            <w:pPr>
              <w:pStyle w:val="TableContents"/>
              <w:bidi w:val="0"/>
              <w:spacing w:before="0" w:after="283"/>
              <w:ind w:left="0" w:right="0" w:firstLine="600"/>
              <w:jc w:val="lef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w:t>
            </w:r>
          </w:p>
        </w:tc>
        <w:tc>
          <w:tcPr>
            <w:tcW w:w="1191" w:type="dxa"/>
            <w:tcBorders/>
            <w:shd w:fill="FFFFFF" w:val="clear"/>
            <w:vAlign w:val="center"/>
          </w:tcPr>
          <w:p>
            <w:pPr>
              <w:pStyle w:val="TableContents"/>
              <w:bidi w:val="0"/>
              <w:spacing w:before="0" w:after="283"/>
              <w:ind w:left="0" w:right="0" w:firstLine="600"/>
              <w:jc w:val="lef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Acquisitions: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ind w:left="0" w:right="0" w:firstLine="100"/>
              <w:jc w:val="righ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191" w:type="dxa"/>
            <w:tcBorders/>
            <w:shd w:fill="CFF0FC" w:val="clear"/>
            <w:vAlign w:val="center"/>
          </w:tcPr>
          <w:p>
            <w:pPr>
              <w:pStyle w:val="TableContents"/>
              <w:bidi w:val="0"/>
              <w:spacing w:before="0" w:after="283"/>
              <w:ind w:left="0" w:right="0" w:firstLine="800"/>
              <w:jc w:val="righ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assets acquired, net of cash acquired</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13,675</w:t>
            </w:r>
          </w:p>
        </w:tc>
        <w:tc>
          <w:tcPr>
            <w:tcW w:w="279" w:type="dxa"/>
            <w:tcBorders/>
            <w:shd w:fill="FFFFFF" w:val="cle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191" w:type="dxa"/>
            <w:tcBorders/>
            <w:shd w:fill="FFFFFF" w:val="clear"/>
            <w:vAlign w:val="center"/>
          </w:tcPr>
          <w:p>
            <w:pPr>
              <w:pStyle w:val="TableContents"/>
              <w:bidi w:val="0"/>
              <w:spacing w:before="0" w:after="283"/>
              <w:ind w:left="0" w:right="0" w:firstLine="800"/>
              <w:jc w:val="lef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Working capital adjustment receivable</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279" w:type="dxa"/>
            <w:tcBorders/>
            <w:shd w:fill="CFF0FC" w:val="cle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191" w:type="dxa"/>
            <w:tcBorders/>
            <w:shd w:fill="CFF0FC" w:val="clear"/>
            <w:vAlign w:val="center"/>
          </w:tcPr>
          <w:p>
            <w:pPr>
              <w:pStyle w:val="TableContents"/>
              <w:bidi w:val="0"/>
              <w:spacing w:before="0" w:after="283"/>
              <w:ind w:left="0" w:right="0" w:firstLine="1000"/>
              <w:jc w:val="left"/>
              <w:rPr/>
            </w:pPr>
            <w:r>
              <w:rPr/>
              <w:t> </w:t>
            </w:r>
          </w:p>
        </w:tc>
      </w:tr>
      <w:tr>
        <w:trPr/>
        <w:tc>
          <w:tcPr>
            <w:tcW w:w="5561" w:type="dxa"/>
            <w:tcBorders/>
            <w:shd w:fill="FFFFFF" w:val="cle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paid for acquisitions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279"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58" w:type="dxa"/>
            <w:tcBorders/>
            <w:shd w:fill="FFFFFF" w:val="clear"/>
            <w:vAlign w:val="center"/>
          </w:tcPr>
          <w:p>
            <w:pPr>
              <w:pStyle w:val="TableContents"/>
              <w:bidi w:val="0"/>
              <w:spacing w:before="0" w:after="283"/>
              <w:ind w:left="100" w:right="0" w:firstLine="100"/>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CFF0FC" w:val="clear"/>
            <w:vAlign w:val="center"/>
          </w:tcPr>
          <w:p>
            <w:pPr>
              <w:pStyle w:val="TableContents"/>
              <w:bidi w:val="0"/>
              <w:spacing w:before="0" w:after="283"/>
              <w:ind w:left="0" w:right="0" w:firstLine="5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ind w:left="0" w:right="0" w:firstLine="100"/>
              <w:jc w:val="right"/>
              <w:rPr/>
            </w:pPr>
            <w:r>
              <w:rPr/>
              <w:t> </w:t>
            </w:r>
          </w:p>
        </w:tc>
        <w:tc>
          <w:tcPr>
            <w:tcW w:w="258" w:type="dxa"/>
            <w:tcBorders/>
            <w:shd w:fill="CFF0FC" w:val="clear"/>
            <w:vAlign w:val="center"/>
          </w:tcPr>
          <w:p>
            <w:pPr>
              <w:pStyle w:val="TableContents"/>
              <w:bidi w:val="0"/>
              <w:spacing w:before="0" w:after="283"/>
              <w:ind w:left="100" w:right="0" w:firstLine="100"/>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191" w:type="dxa"/>
            <w:tcBorders/>
            <w:shd w:fill="CFF0FC" w:val="clear"/>
            <w:vAlign w:val="center"/>
          </w:tcPr>
          <w:p>
            <w:pPr>
              <w:pStyle w:val="TableContents"/>
              <w:bidi w:val="0"/>
              <w:spacing w:before="0" w:after="283"/>
              <w:ind w:left="0" w:right="0" w:firstLine="400"/>
              <w:jc w:val="right"/>
              <w:rPr/>
            </w:pPr>
            <w:r>
              <w:rPr/>
              <w:t> </w:t>
            </w:r>
          </w:p>
        </w:tc>
      </w:tr>
      <w:tr>
        <w:trPr/>
        <w:tc>
          <w:tcPr>
            <w:tcW w:w="5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Capital expenditures included in accrued expenses and other liabilities</w:t>
            </w:r>
          </w:p>
        </w:tc>
        <w:tc>
          <w:tcPr>
            <w:tcW w:w="9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2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11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10" w:name="notes_to_financial_statements"/>
      <w:bookmarkEnd w:id="10"/>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 and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below,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Definitive Healthcare Corp entered into a tax receivable agreement.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March 31, 2024 and for the three months ended March 31, 2024 and 2023 are unaudited and should be read in conjunction with the Company’s audited financial statements for the year ended December 31, 2023. All adjustments, consisting of normal recurring adjustments, except as otherwise noted, considered, in the opinion of management, necessary for a fair presentation of the unaudited interim condensed consolidated financial statements for these interim periods have been included.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2023 Form 10-K for the Company’s significant accounting policies and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 in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condensed consolidated statements or disclosures.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Restatement of Previously Issued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the Company’s Annual Report on Form 10-K for the year ended December 31, 2023 filed with the SEC on February 28, 2024, the Company filed an Amendment No. 1 on Form 10-Q/A to amend the Quarterly Report on Form 10-Q for the three months ended March 31, 2023 with the SEC on August 14, 2023 to restate the Company’s unaudited condensed consolidated financial statements for the three months ended March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restated prior-year results are reflected in the condensed consolidated financial results disclosed within this Quarterly Report on Form 10-Q.</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Carevoyance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price allocations for the Carevoyance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March 31, 2024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pStyle w:val="TextBody"/>
        <w:bidi w:val="0"/>
        <w:spacing w:before="120" w:after="283"/>
        <w:jc w:val="left"/>
        <w:rPr/>
      </w:pPr>
      <w:r>
        <w:rPr/>
        <w:t> </w:t>
      </w:r>
    </w:p>
    <w:tbl>
      <w:tblPr>
        <w:tblW w:w="6234" w:type="dxa"/>
        <w:jc w:val="left"/>
        <w:tblInd w:w="0" w:type="dxa"/>
        <w:tblLayout w:type="fixed"/>
        <w:tblCellMar>
          <w:top w:w="28" w:type="dxa"/>
          <w:left w:w="28" w:type="dxa"/>
          <w:bottom w:w="28" w:type="dxa"/>
          <w:right w:w="28" w:type="dxa"/>
        </w:tblCellMar>
      </w:tblPr>
      <w:tblGrid>
        <w:gridCol w:w="3821"/>
        <w:gridCol w:w="946"/>
        <w:gridCol w:w="232"/>
        <w:gridCol w:w="744"/>
        <w:gridCol w:w="491"/>
      </w:tblGrid>
      <w:tr>
        <w:trPr/>
        <w:tc>
          <w:tcPr>
            <w:tcW w:w="38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2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38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491" w:type="dxa"/>
            <w:tcBorders/>
            <w:shd w:fill="CFF0FC" w:val="clear"/>
            <w:vAlign w:val="center"/>
          </w:tcPr>
          <w:p>
            <w:pPr>
              <w:pStyle w:val="TableContents"/>
              <w:bidi w:val="0"/>
              <w:spacing w:before="0" w:after="283"/>
              <w:jc w:val="left"/>
              <w:rPr/>
            </w:pPr>
            <w:r>
              <w:rPr/>
              <w:t> </w:t>
            </w:r>
          </w:p>
        </w:tc>
      </w:tr>
      <w:tr>
        <w:trPr/>
        <w:tc>
          <w:tcPr>
            <w:tcW w:w="38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91" w:type="dxa"/>
            <w:tcBorders/>
            <w:shd w:fill="FFFFFF" w:val="clear"/>
            <w:vAlign w:val="center"/>
          </w:tcPr>
          <w:p>
            <w:pPr>
              <w:pStyle w:val="TableContents"/>
              <w:bidi w:val="0"/>
              <w:spacing w:before="0" w:after="283"/>
              <w:jc w:val="left"/>
              <w:rPr/>
            </w:pPr>
            <w:r>
              <w:rPr/>
              <w:t> </w:t>
            </w:r>
          </w:p>
        </w:tc>
      </w:tr>
      <w:tr>
        <w:trPr/>
        <w:tc>
          <w:tcPr>
            <w:tcW w:w="38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1"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Carevoyance acquisition are estimated to be amortized over a weighted average of 6.9 years. See Note 7.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recognized acquisition related costs of $0.1 million which were recorded within transaction, integration, and restructuring expenses in the accompanying condensed consolidated statements of operations for the three months ended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Carevoyance’s post-acquisition revenue and net loss on a standalone basis were not material.</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Populi,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2023, the Company completed the acquisition of Populi, Inc. (“Populi”), a provider-focused data and analytics company that works with healthcare organizations to optimize physician relationships, reduce network leakage, and expand market share, for total estimated consideration of $54.1 million, consisting of approximately $46.4 million of cash paid at closing, $0.1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condensed consolidated statements of operations. The assets acquired and liabilities assumed were recorded at their estimated fair values and the results of operations were included in the Company’s consolidated results as of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transferred for the transaction is summarized as follows:</w:t>
      </w:r>
    </w:p>
    <w:p>
      <w:pPr>
        <w:pStyle w:val="TextBody"/>
        <w:bidi w:val="0"/>
        <w:jc w:val="left"/>
        <w:rPr/>
      </w:pPr>
      <w:r>
        <w:rPr/>
        <w:t> </w:t>
      </w:r>
    </w:p>
    <w:tbl>
      <w:tblPr>
        <w:tblW w:w="5150" w:type="dxa"/>
        <w:jc w:val="left"/>
        <w:tblInd w:w="0" w:type="dxa"/>
        <w:tblLayout w:type="fixed"/>
        <w:tblCellMar>
          <w:top w:w="28" w:type="dxa"/>
          <w:left w:w="28" w:type="dxa"/>
          <w:bottom w:w="28" w:type="dxa"/>
          <w:right w:w="28" w:type="dxa"/>
        </w:tblCellMar>
      </w:tblPr>
      <w:tblGrid>
        <w:gridCol w:w="3026"/>
        <w:gridCol w:w="646"/>
        <w:gridCol w:w="211"/>
        <w:gridCol w:w="676"/>
        <w:gridCol w:w="591"/>
      </w:tblGrid>
      <w:tr>
        <w:trPr/>
        <w:tc>
          <w:tcPr>
            <w:tcW w:w="30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0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consideration paid at closing</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46,446</w:t>
            </w:r>
          </w:p>
        </w:tc>
        <w:tc>
          <w:tcPr>
            <w:tcW w:w="591" w:type="dxa"/>
            <w:tcBorders/>
            <w:shd w:fill="CFF0FC" w:val="clear"/>
            <w:vAlign w:val="center"/>
          </w:tcPr>
          <w:p>
            <w:pPr>
              <w:pStyle w:val="TableContents"/>
              <w:bidi w:val="0"/>
              <w:spacing w:before="0" w:after="283"/>
              <w:jc w:val="left"/>
              <w:rPr/>
            </w:pPr>
            <w:r>
              <w:rPr/>
              <w:t> </w:t>
            </w:r>
          </w:p>
        </w:tc>
      </w:tr>
      <w:tr>
        <w:trPr/>
        <w:tc>
          <w:tcPr>
            <w:tcW w:w="30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Working capital adjustment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Purchase price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condensed consolidated balance sheet as of March 31, 2024. Refer to Note 11. </w:t>
      </w:r>
      <w:r>
        <w:rPr>
          <w:rFonts w:ascii="Times New Roman" w:hAnsi="Times New Roman"/>
          <w:i/>
          <w:color w:val="000000"/>
          <w:sz w:val="20"/>
        </w:rPr>
        <w:t>Fair Value Measurements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finalized the purchase price allocations of the Populi acquisition during the three months ended March 31, 2024. Acquisition-date fair values of assets and liabilities pertaining to this business combination have been allocated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2"/>
        <w:gridCol w:w="946"/>
        <w:gridCol w:w="518"/>
        <w:gridCol w:w="1669"/>
        <w:gridCol w:w="166"/>
        <w:gridCol w:w="525"/>
        <w:gridCol w:w="1581"/>
        <w:gridCol w:w="166"/>
        <w:gridCol w:w="221"/>
        <w:gridCol w:w="707"/>
        <w:gridCol w:w="494"/>
      </w:tblGrid>
      <w:tr>
        <w:trPr/>
        <w:tc>
          <w:tcPr>
            <w:tcW w:w="321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21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vAlign w:val="center"/>
          </w:tcPr>
          <w:p>
            <w:pPr>
              <w:pStyle w:val="TableContents"/>
              <w:bidi w:val="0"/>
              <w:spacing w:before="0" w:after="283"/>
              <w:jc w:val="left"/>
              <w:rPr/>
            </w:pPr>
            <w:r>
              <w:rPr/>
              <w:t> </w:t>
            </w:r>
          </w:p>
        </w:tc>
        <w:tc>
          <w:tcPr>
            <w:tcW w:w="2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8" w:type="dxa"/>
            <w:gridSpan w:val="2"/>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r>
      <w:tr>
        <w:trPr/>
        <w:tc>
          <w:tcPr>
            <w:tcW w:w="321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vAlign w:val="center"/>
          </w:tcPr>
          <w:p>
            <w:pPr>
              <w:pStyle w:val="TableContents"/>
              <w:bidi w:val="0"/>
              <w:spacing w:before="0" w:after="283"/>
              <w:jc w:val="left"/>
              <w:rPr/>
            </w:pPr>
            <w:r>
              <w:rPr/>
              <w:t> </w:t>
            </w:r>
          </w:p>
        </w:tc>
        <w:tc>
          <w:tcPr>
            <w:tcW w:w="2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as originally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5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494" w:type="dxa"/>
            <w:tcBorders/>
            <w:shd w:fill="CFF0FC" w:val="clear"/>
            <w:vAlign w:val="center"/>
          </w:tcPr>
          <w:p>
            <w:pPr>
              <w:pStyle w:val="TableContents"/>
              <w:bidi w:val="0"/>
              <w:spacing w:before="0" w:after="283"/>
              <w:jc w:val="left"/>
              <w:rPr/>
            </w:pPr>
            <w:r>
              <w:rPr/>
              <w:t> </w:t>
            </w:r>
          </w:p>
        </w:tc>
      </w:tr>
      <w:tr>
        <w:trPr/>
        <w:tc>
          <w:tcPr>
            <w:tcW w:w="32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518"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494" w:type="dxa"/>
            <w:tcBorders/>
            <w:shd w:fill="FFFFFF" w:val="clear"/>
            <w:vAlign w:val="center"/>
          </w:tcPr>
          <w:p>
            <w:pPr>
              <w:pStyle w:val="TableContents"/>
              <w:bidi w:val="0"/>
              <w:spacing w:before="0" w:after="283"/>
              <w:jc w:val="left"/>
              <w:rPr/>
            </w:pPr>
            <w:r>
              <w:rPr/>
              <w:t> </w:t>
            </w:r>
          </w:p>
        </w:tc>
      </w:tr>
      <w:tr>
        <w:trPr/>
        <w:tc>
          <w:tcPr>
            <w:tcW w:w="32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518" w:type="dxa"/>
            <w:tcBorders/>
            <w:shd w:fill="CFF0FC" w:val="clear"/>
            <w:vAlign w:val="center"/>
          </w:tcPr>
          <w:p>
            <w:pPr>
              <w:pStyle w:val="TableContents"/>
              <w:bidi w:val="0"/>
              <w:spacing w:before="0" w:after="283"/>
              <w:jc w:val="left"/>
              <w:rPr/>
            </w:pPr>
            <w:r>
              <w:rPr/>
              <w:t> </w:t>
            </w:r>
          </w:p>
        </w:tc>
        <w:tc>
          <w:tcPr>
            <w:tcW w:w="1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94" w:type="dxa"/>
            <w:tcBorders/>
            <w:shd w:fill="CFF0FC" w:val="clear"/>
            <w:vAlign w:val="center"/>
          </w:tcPr>
          <w:p>
            <w:pPr>
              <w:pStyle w:val="TableContents"/>
              <w:bidi w:val="0"/>
              <w:spacing w:before="0" w:after="283"/>
              <w:jc w:val="left"/>
              <w:rPr/>
            </w:pPr>
            <w:r>
              <w:rPr/>
              <w:t> </w:t>
            </w:r>
          </w:p>
        </w:tc>
      </w:tr>
      <w:tr>
        <w:trPr/>
        <w:tc>
          <w:tcPr>
            <w:tcW w:w="32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518"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4" w:type="dxa"/>
            <w:tcBorders/>
            <w:shd w:fill="FFFFFF" w:val="clear"/>
            <w:vAlign w:val="center"/>
          </w:tcPr>
          <w:p>
            <w:pPr>
              <w:pStyle w:val="TableContents"/>
              <w:bidi w:val="0"/>
              <w:spacing w:before="0" w:after="283"/>
              <w:jc w:val="left"/>
              <w:rPr/>
            </w:pPr>
            <w:r>
              <w:rPr/>
              <w:t> </w:t>
            </w:r>
          </w:p>
        </w:tc>
      </w:tr>
      <w:tr>
        <w:trPr/>
        <w:tc>
          <w:tcPr>
            <w:tcW w:w="32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518" w:type="dxa"/>
            <w:tcBorders/>
            <w:shd w:fill="CFF0FC" w:val="clear"/>
            <w:vAlign w:val="center"/>
          </w:tcPr>
          <w:p>
            <w:pPr>
              <w:pStyle w:val="TableContents"/>
              <w:bidi w:val="0"/>
              <w:spacing w:before="0" w:after="283"/>
              <w:jc w:val="left"/>
              <w:rPr/>
            </w:pPr>
            <w:r>
              <w:rPr/>
              <w:t> </w:t>
            </w:r>
          </w:p>
        </w:tc>
        <w:tc>
          <w:tcPr>
            <w:tcW w:w="1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6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w:t>
            </w:r>
          </w:p>
        </w:tc>
        <w:tc>
          <w:tcPr>
            <w:tcW w:w="494" w:type="dxa"/>
            <w:tcBorders/>
            <w:shd w:fill="CFF0FC" w:val="clear"/>
            <w:vAlign w:val="center"/>
          </w:tcPr>
          <w:p>
            <w:pPr>
              <w:pStyle w:val="TableContents"/>
              <w:bidi w:val="0"/>
              <w:spacing w:before="0" w:after="283"/>
              <w:jc w:val="left"/>
              <w:rPr/>
            </w:pPr>
            <w:r>
              <w:rPr/>
              <w:t> </w:t>
            </w:r>
          </w:p>
        </w:tc>
      </w:tr>
      <w:tr>
        <w:trPr/>
        <w:tc>
          <w:tcPr>
            <w:tcW w:w="32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518"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4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518" w:type="dxa"/>
            <w:tcBorders/>
            <w:shd w:fill="CFF0FC" w:val="clear"/>
            <w:vAlign w:val="center"/>
          </w:tcPr>
          <w:p>
            <w:pPr>
              <w:pStyle w:val="TableContents"/>
              <w:bidi w:val="0"/>
              <w:spacing w:before="0" w:after="283"/>
              <w:jc w:val="left"/>
              <w:rPr/>
            </w:pPr>
            <w:r>
              <w:rPr/>
              <w:t> </w:t>
            </w:r>
          </w:p>
        </w:tc>
        <w:tc>
          <w:tcPr>
            <w:tcW w:w="1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4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518" w:type="dxa"/>
            <w:tcBorders/>
            <w:shd w:fill="CFF0FC" w:val="clear"/>
            <w:vAlign w:val="center"/>
          </w:tcPr>
          <w:p>
            <w:pPr>
              <w:pStyle w:val="TableContents"/>
              <w:bidi w:val="0"/>
              <w:spacing w:before="0" w:after="283"/>
              <w:jc w:val="left"/>
              <w:rPr/>
            </w:pPr>
            <w:r>
              <w:rPr/>
              <w:t> </w:t>
            </w:r>
          </w:p>
        </w:tc>
        <w:tc>
          <w:tcPr>
            <w:tcW w:w="1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17,430</w:t>
            </w:r>
          </w:p>
        </w:tc>
        <w:tc>
          <w:tcPr>
            <w:tcW w:w="16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16,354</w:t>
            </w:r>
          </w:p>
        </w:tc>
        <w:tc>
          <w:tcPr>
            <w:tcW w:w="494" w:type="dxa"/>
            <w:tcBorders/>
            <w:shd w:fill="CFF0FC" w:val="clear"/>
            <w:vAlign w:val="center"/>
          </w:tcPr>
          <w:p>
            <w:pPr>
              <w:pStyle w:val="TableContents"/>
              <w:bidi w:val="0"/>
              <w:spacing w:before="0" w:after="283"/>
              <w:jc w:val="left"/>
              <w:rPr/>
            </w:pPr>
            <w:r>
              <w:rPr/>
              <w:t> </w:t>
            </w:r>
          </w:p>
        </w:tc>
      </w:tr>
      <w:tr>
        <w:trPr/>
        <w:tc>
          <w:tcPr>
            <w:tcW w:w="32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1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Populi acquisition are estimated to be amortized over a weighted average of 7.2 years. See Note 7.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recognized acquisition related costs of $0.7 million which were recorded within transaction, integration, and restructuring expenses in the accompanying condensed consolidated statements of operations for the three months ended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Supplementary Data as if the Populi acquisition had occurred on January 1, 2023:</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1126"/>
        <w:gridCol w:w="146"/>
        <w:gridCol w:w="625"/>
        <w:gridCol w:w="2180"/>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280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60,675</w:t>
            </w:r>
          </w:p>
        </w:tc>
        <w:tc>
          <w:tcPr>
            <w:tcW w:w="21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21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 forma results have been prepared for comparative purposes only and do not purport to be indicative of the operating results of the Company that would have been achieved had the acquisition actually taken place on January 1, 2023.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from its arrangements with customers by type of service as it believes these categories best depict how the nature, amount, timing, and uncertainty of revenue and cash flows are affected by economic factors.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three months ended March 31, 2024 and 2023, respectively: </w:t>
      </w:r>
    </w:p>
    <w:tbl>
      <w:tblPr>
        <w:tblW w:w="4781" w:type="dxa"/>
        <w:jc w:val="left"/>
        <w:tblInd w:w="0" w:type="dxa"/>
        <w:tblLayout w:type="fixed"/>
        <w:tblCellMar>
          <w:top w:w="28" w:type="dxa"/>
          <w:left w:w="28" w:type="dxa"/>
          <w:bottom w:w="28" w:type="dxa"/>
          <w:right w:w="28" w:type="dxa"/>
        </w:tblCellMar>
      </w:tblPr>
      <w:tblGrid>
        <w:gridCol w:w="1946"/>
        <w:gridCol w:w="246"/>
        <w:gridCol w:w="223"/>
        <w:gridCol w:w="716"/>
        <w:gridCol w:w="260"/>
        <w:gridCol w:w="260"/>
        <w:gridCol w:w="223"/>
        <w:gridCol w:w="716"/>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260" w:type="dxa"/>
            <w:tcBorders/>
            <w:shd w:fill="CFF0FC" w:val="clear"/>
            <w:vAlign w:val="center"/>
          </w:tcPr>
          <w:p>
            <w:pPr>
              <w:pStyle w:val="TableContents"/>
              <w:bidi w:val="0"/>
              <w:spacing w:before="0" w:after="283"/>
              <w:ind w:left="0" w:right="0" w:firstLine="100"/>
              <w:jc w:val="left"/>
              <w:rPr/>
            </w:pPr>
            <w:r>
              <w:rPr/>
              <w:t> </w:t>
            </w:r>
          </w:p>
        </w:tc>
        <w:tc>
          <w:tcPr>
            <w:tcW w:w="260" w:type="dxa"/>
            <w:tcBorders/>
            <w:shd w:fill="CFF0FC" w:val="clear"/>
            <w:vAlign w:val="center"/>
          </w:tcPr>
          <w:p>
            <w:pPr>
              <w:pStyle w:val="TableContents"/>
              <w:bidi w:val="0"/>
              <w:spacing w:before="0" w:after="283"/>
              <w:ind w:left="100" w:right="0" w:firstLine="100"/>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58,517</w:t>
            </w:r>
          </w:p>
        </w:tc>
        <w:tc>
          <w:tcPr>
            <w:tcW w:w="191" w:type="dxa"/>
            <w:tcBorders/>
            <w:shd w:fill="CFF0FC" w:val="clear"/>
            <w:vAlign w:val="center"/>
          </w:tcPr>
          <w:p>
            <w:pPr>
              <w:pStyle w:val="TableContents"/>
              <w:bidi w:val="0"/>
              <w:spacing w:before="0" w:after="283"/>
              <w:jc w:val="left"/>
              <w:rPr/>
            </w:pPr>
            <w:r>
              <w:rPr/>
              <w:t> </w:t>
            </w:r>
          </w:p>
        </w:tc>
      </w:tr>
      <w:tr>
        <w:trPr/>
        <w:tc>
          <w:tcPr>
            <w:tcW w:w="194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vAlign w:val="center"/>
          </w:tcPr>
          <w:p>
            <w:pPr>
              <w:pStyle w:val="TableContents"/>
              <w:bidi w:val="0"/>
              <w:spacing w:before="0" w:after="283"/>
              <w:ind w:left="10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vAlign w:val="center"/>
          </w:tcPr>
          <w:p>
            <w:pPr>
              <w:pStyle w:val="TableContents"/>
              <w:bidi w:val="0"/>
              <w:spacing w:before="0" w:after="283"/>
              <w:ind w:left="10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opening and closing balances of the Company’s receivables, deferred contract costs and contract liabilities from contracts with customers are as follows: </w:t>
      </w:r>
    </w:p>
    <w:tbl>
      <w:tblPr>
        <w:tblW w:w="6387" w:type="dxa"/>
        <w:jc w:val="left"/>
        <w:tblInd w:w="0" w:type="dxa"/>
        <w:tblLayout w:type="fixed"/>
        <w:tblCellMar>
          <w:top w:w="28" w:type="dxa"/>
          <w:left w:w="28" w:type="dxa"/>
          <w:bottom w:w="28" w:type="dxa"/>
          <w:right w:w="28" w:type="dxa"/>
        </w:tblCellMar>
      </w:tblPr>
      <w:tblGrid>
        <w:gridCol w:w="3371"/>
        <w:gridCol w:w="246"/>
        <w:gridCol w:w="211"/>
        <w:gridCol w:w="781"/>
        <w:gridCol w:w="246"/>
        <w:gridCol w:w="246"/>
        <w:gridCol w:w="260"/>
        <w:gridCol w:w="835"/>
        <w:gridCol w:w="1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191" w:type="dxa"/>
            <w:tcBorders/>
            <w:shd w:fill="CFF0FC" w:val="cle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contract costs, current portion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191" w:type="dxa"/>
            <w:tcBorders/>
            <w:shd w:fill="FFFFFF" w:val="clear"/>
            <w:vAlign w:val="center"/>
          </w:tcPr>
          <w:p>
            <w:pPr>
              <w:pStyle w:val="TableContents"/>
              <w:bidi w:val="0"/>
              <w:spacing w:before="0" w:after="283"/>
              <w:jc w:val="left"/>
              <w:rPr/>
            </w:pPr>
            <w:r>
              <w:rPr/>
              <w:t> </w:t>
            </w:r>
          </w:p>
        </w:tc>
      </w:tr>
      <w:tr>
        <w:trPr/>
        <w:tc>
          <w:tcPr>
            <w:tcW w:w="3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contract costs, long-term</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191" w:type="dxa"/>
            <w:tcBorders/>
            <w:shd w:fill="CFF0FC" w:val="cle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for the three months ended March 31, 2024 and the year ended December 31, 2023 is presented below: </w:t>
      </w:r>
    </w:p>
    <w:tbl>
      <w:tblPr>
        <w:tblW w:w="10205" w:type="dxa"/>
        <w:jc w:val="left"/>
        <w:tblInd w:w="0" w:type="dxa"/>
        <w:tblLayout w:type="fixed"/>
        <w:tblCellMar>
          <w:top w:w="28" w:type="dxa"/>
          <w:left w:w="28" w:type="dxa"/>
          <w:bottom w:w="28" w:type="dxa"/>
          <w:right w:w="28" w:type="dxa"/>
        </w:tblCellMar>
      </w:tblPr>
      <w:tblGrid>
        <w:gridCol w:w="3642"/>
        <w:gridCol w:w="646"/>
        <w:gridCol w:w="539"/>
        <w:gridCol w:w="1729"/>
        <w:gridCol w:w="266"/>
        <w:gridCol w:w="246"/>
        <w:gridCol w:w="561"/>
        <w:gridCol w:w="1961"/>
        <w:gridCol w:w="615"/>
      </w:tblGrid>
      <w:tr>
        <w:trPr/>
        <w:tc>
          <w:tcPr>
            <w:tcW w:w="36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4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center"/>
              <w:rPr/>
            </w:pPr>
            <w:r>
              <w:rPr/>
              <w:t> </w:t>
            </w:r>
          </w:p>
        </w:tc>
        <w:tc>
          <w:tcPr>
            <w:tcW w:w="2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5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364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4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68"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2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3642"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3642"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months ended March 31, 2024 and for the year ended December 31, 2023 is presented below: </w:t>
      </w:r>
    </w:p>
    <w:tbl>
      <w:tblPr>
        <w:tblW w:w="9650" w:type="dxa"/>
        <w:jc w:val="left"/>
        <w:tblInd w:w="0" w:type="dxa"/>
        <w:tblLayout w:type="fixed"/>
        <w:tblCellMar>
          <w:top w:w="28" w:type="dxa"/>
          <w:left w:w="28" w:type="dxa"/>
          <w:bottom w:w="28" w:type="dxa"/>
          <w:right w:w="28" w:type="dxa"/>
        </w:tblCellMar>
      </w:tblPr>
      <w:tblGrid>
        <w:gridCol w:w="2741"/>
        <w:gridCol w:w="246"/>
        <w:gridCol w:w="596"/>
        <w:gridCol w:w="2209"/>
        <w:gridCol w:w="266"/>
        <w:gridCol w:w="246"/>
        <w:gridCol w:w="628"/>
        <w:gridCol w:w="2507"/>
        <w:gridCol w:w="211"/>
      </w:tblGrid>
      <w:tr>
        <w:trP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99,928</w:t>
            </w:r>
          </w:p>
        </w:tc>
        <w:tc>
          <w:tcPr>
            <w:tcW w:w="211" w:type="dxa"/>
            <w:tcBorders/>
            <w:shd w:fill="CFF0FC" w:val="cle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96" w:type="dxa"/>
            <w:tcBorders/>
            <w:shd w:fill="FFFFFF" w:val="clear"/>
            <w:vAlign w:val="center"/>
          </w:tcPr>
          <w:p>
            <w:pPr>
              <w:pStyle w:val="TableContents"/>
              <w:bidi w:val="0"/>
              <w:spacing w:before="0" w:after="283"/>
              <w:jc w:val="left"/>
              <w:rPr/>
            </w:pPr>
            <w:r>
              <w:rPr/>
              <w:t> </w:t>
            </w:r>
          </w:p>
        </w:tc>
        <w:tc>
          <w:tcPr>
            <w:tcW w:w="2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28" w:type="dxa"/>
            <w:tcBorders/>
            <w:shd w:fill="FFFFFF" w:val="clear"/>
            <w:vAlign w:val="center"/>
          </w:tcPr>
          <w:p>
            <w:pPr>
              <w:pStyle w:val="TableContents"/>
              <w:bidi w:val="0"/>
              <w:spacing w:before="0" w:after="283"/>
              <w:jc w:val="left"/>
              <w:rPr/>
            </w:pPr>
            <w:r>
              <w:rPr/>
              <w:t> </w:t>
            </w:r>
          </w:p>
        </w:tc>
        <w:tc>
          <w:tcPr>
            <w:tcW w:w="25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187,331</w:t>
            </w:r>
          </w:p>
        </w:tc>
        <w:tc>
          <w:tcPr>
            <w:tcW w:w="591" w:type="dxa"/>
            <w:tcBorders/>
            <w:shd w:fill="CFF0FC" w:val="clear"/>
            <w:vAlign w:val="center"/>
          </w:tcPr>
          <w:p>
            <w:pPr>
              <w:pStyle w:val="TableContents"/>
              <w:bidi w:val="0"/>
              <w:spacing w:before="0" w:after="283"/>
              <w:jc w:val="left"/>
              <w:rPr/>
            </w:pPr>
            <w:r>
              <w:rPr/>
              <w:t> </w:t>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270,348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632"/>
        <w:gridCol w:w="950"/>
        <w:gridCol w:w="246"/>
        <w:gridCol w:w="246"/>
        <w:gridCol w:w="488"/>
        <w:gridCol w:w="1115"/>
        <w:gridCol w:w="266"/>
        <w:gridCol w:w="246"/>
        <w:gridCol w:w="211"/>
        <w:gridCol w:w="781"/>
        <w:gridCol w:w="394"/>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6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8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603"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54,485</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32" w:type="dxa"/>
            <w:tcBorders/>
            <w:shd w:fill="CFF0FC" w:val="clear"/>
            <w:vAlign w:val="center"/>
          </w:tcPr>
          <w:p>
            <w:pPr>
              <w:pStyle w:val="TableContents"/>
              <w:bidi w:val="0"/>
              <w:spacing w:before="0" w:after="283"/>
              <w:jc w:val="left"/>
              <w:rPr/>
            </w:pPr>
            <w:r>
              <w:rPr/>
              <w:t> </w:t>
            </w:r>
          </w:p>
        </w:tc>
        <w:tc>
          <w:tcPr>
            <w:tcW w:w="9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526"/>
        <w:gridCol w:w="1055"/>
        <w:gridCol w:w="246"/>
        <w:gridCol w:w="246"/>
        <w:gridCol w:w="575"/>
        <w:gridCol w:w="1028"/>
        <w:gridCol w:w="266"/>
        <w:gridCol w:w="246"/>
        <w:gridCol w:w="211"/>
        <w:gridCol w:w="781"/>
        <w:gridCol w:w="395"/>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68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603"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Corporate Bonds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75"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75"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177,023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177,092</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March 31, 2024 and December 31, 2023 is net accumulated accretion of $2.2 million and $2.8 million, respectively. Interest accretion on short-term investments was $2.0 million and $1.8 million during the three months ended March 31, 2024 and 2023,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5. Accounts Receivable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consisted of the following:</w:t>
      </w:r>
    </w:p>
    <w:tbl>
      <w:tblPr>
        <w:tblW w:w="6947" w:type="dxa"/>
        <w:jc w:val="left"/>
        <w:tblInd w:w="0" w:type="dxa"/>
        <w:tblLayout w:type="fixed"/>
        <w:tblCellMar>
          <w:top w:w="28" w:type="dxa"/>
          <w:left w:w="28" w:type="dxa"/>
          <w:bottom w:w="28" w:type="dxa"/>
          <w:right w:w="28" w:type="dxa"/>
        </w:tblCellMar>
      </w:tblPr>
      <w:tblGrid>
        <w:gridCol w:w="3216"/>
        <w:gridCol w:w="646"/>
        <w:gridCol w:w="211"/>
        <w:gridCol w:w="676"/>
        <w:gridCol w:w="266"/>
        <w:gridCol w:w="246"/>
        <w:gridCol w:w="260"/>
        <w:gridCol w:w="835"/>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60,206</w:t>
            </w:r>
          </w:p>
        </w:tc>
        <w:tc>
          <w:tcPr>
            <w:tcW w:w="591" w:type="dxa"/>
            <w:tcBorders/>
            <w:shd w:fill="CFF0FC" w:val="clear"/>
            <w:vAlign w:val="center"/>
          </w:tcPr>
          <w:p>
            <w:pPr>
              <w:pStyle w:val="TableContents"/>
              <w:bidi w:val="0"/>
              <w:spacing w:before="0" w:after="283"/>
              <w:jc w:val="left"/>
              <w:rPr/>
            </w:pPr>
            <w:r>
              <w:rPr/>
              <w:t> </w:t>
            </w:r>
          </w:p>
        </w:tc>
      </w:tr>
      <w:tr>
        <w:trPr/>
        <w:tc>
          <w:tcPr>
            <w:tcW w:w="32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61,552</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21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consisted of the following: </w:t>
      </w:r>
    </w:p>
    <w:tbl>
      <w:tblPr>
        <w:tblW w:w="8342" w:type="dxa"/>
        <w:jc w:val="left"/>
        <w:tblInd w:w="0" w:type="dxa"/>
        <w:tblLayout w:type="fixed"/>
        <w:tblCellMar>
          <w:top w:w="28" w:type="dxa"/>
          <w:left w:w="28" w:type="dxa"/>
          <w:bottom w:w="28" w:type="dxa"/>
          <w:right w:w="28" w:type="dxa"/>
        </w:tblCellMar>
      </w:tblPr>
      <w:tblGrid>
        <w:gridCol w:w="4611"/>
        <w:gridCol w:w="646"/>
        <w:gridCol w:w="211"/>
        <w:gridCol w:w="676"/>
        <w:gridCol w:w="266"/>
        <w:gridCol w:w="246"/>
        <w:gridCol w:w="260"/>
        <w:gridCol w:w="835"/>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software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591"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591" w:type="dxa"/>
            <w:tcBorders/>
            <w:shd w:fill="FFFFFF" w:val="clear"/>
            <w:vAlign w:val="center"/>
          </w:tcPr>
          <w:p>
            <w:pPr>
              <w:pStyle w:val="TableContents"/>
              <w:bidi w:val="0"/>
              <w:spacing w:before="0" w:after="283"/>
              <w:jc w:val="left"/>
              <w:rPr/>
            </w:pPr>
            <w:r>
              <w:rPr/>
              <w:t> </w:t>
            </w:r>
          </w:p>
        </w:tc>
      </w:tr>
      <w:tr>
        <w:trPr/>
        <w:tc>
          <w:tcPr>
            <w:tcW w:w="4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591"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associated with property and equipment was $0.6 million and $0.5 million for the three months ended March 31, 2024 and 2023,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Goodwill and Intangible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amounts of goodwill and intangible assets, as of March 31, 2024 and December 31, 2023, consisted of the following: </w:t>
      </w:r>
    </w:p>
    <w:tbl>
      <w:tblPr>
        <w:tblW w:w="8782" w:type="dxa"/>
        <w:jc w:val="left"/>
        <w:tblInd w:w="0" w:type="dxa"/>
        <w:tblLayout w:type="fixed"/>
        <w:tblCellMar>
          <w:top w:w="28" w:type="dxa"/>
          <w:left w:w="28" w:type="dxa"/>
          <w:bottom w:w="28" w:type="dxa"/>
          <w:right w:w="28" w:type="dxa"/>
        </w:tblCellMar>
      </w:tblPr>
      <w:tblGrid>
        <w:gridCol w:w="3176"/>
        <w:gridCol w:w="6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43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(171,776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238,614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85,116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48,970</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581,808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(263,836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317,972</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1,082,137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(263,836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82" w:type="dxa"/>
        <w:jc w:val="left"/>
        <w:tblInd w:w="0" w:type="dxa"/>
        <w:tblLayout w:type="fixed"/>
        <w:tblCellMar>
          <w:top w:w="28" w:type="dxa"/>
          <w:left w:w="28" w:type="dxa"/>
          <w:bottom w:w="28" w:type="dxa"/>
          <w:right w:w="28" w:type="dxa"/>
        </w:tblCellMar>
      </w:tblPr>
      <w:tblGrid>
        <w:gridCol w:w="3176"/>
        <w:gridCol w:w="6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43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vAlign w:val="center"/>
          </w:tcPr>
          <w:p>
            <w:pPr>
              <w:pStyle w:val="TableContents"/>
              <w:bidi w:val="0"/>
              <w:spacing w:before="0" w:after="283"/>
              <w:ind w:left="0" w:right="0" w:firstLine="100"/>
              <w:jc w:val="left"/>
              <w:rPr/>
            </w:pPr>
            <w:r>
              <w:rPr/>
              <w:t> </w:t>
            </w:r>
          </w:p>
        </w:tc>
        <w:tc>
          <w:tcPr>
            <w:tcW w:w="1142" w:type="dxa"/>
            <w:gridSpan w:val="2"/>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81"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42" w:type="dxa"/>
            <w:gridSpan w:val="2"/>
            <w:tcBorders/>
            <w:shd w:fill="CFF0FC" w:val="clear"/>
            <w:vAlign w:val="center"/>
          </w:tcPr>
          <w:p>
            <w:pPr>
              <w:pStyle w:val="TableContents"/>
              <w:bidi w:val="0"/>
              <w:spacing w:before="0" w:after="283"/>
              <w:ind w:left="100" w:right="0" w:firstLine="100"/>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410,210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(163,586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246,624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44,665</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574,927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associated with finite-lived intangible assets was $12.1 million and $12.4 million for the three months ended March 31, 2024 and 2023, respectively, of which $3.3 million and $3.4 million was included in cost of revenue for each respective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Estimated total intangible amortization expense during the next five years and thereafter is as follows:</w:t>
      </w:r>
    </w:p>
    <w:tbl>
      <w:tblPr>
        <w:tblW w:w="6055" w:type="dxa"/>
        <w:jc w:val="left"/>
        <w:tblInd w:w="0" w:type="dxa"/>
        <w:tblLayout w:type="fixed"/>
        <w:tblCellMar>
          <w:top w:w="28" w:type="dxa"/>
          <w:left w:w="28" w:type="dxa"/>
          <w:bottom w:w="28" w:type="dxa"/>
          <w:right w:w="28" w:type="dxa"/>
        </w:tblCellMar>
      </w:tblPr>
      <w:tblGrid>
        <w:gridCol w:w="4726"/>
        <w:gridCol w:w="146"/>
        <w:gridCol w:w="211"/>
        <w:gridCol w:w="781"/>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excluding the three months ended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36,661</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47,013</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40,838</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34,942</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it had one reporting unit.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Goodwill consisted of the following:</w:t>
      </w:r>
    </w:p>
    <w:tbl>
      <w:tblPr>
        <w:tblW w:w="7120" w:type="dxa"/>
        <w:jc w:val="left"/>
        <w:tblInd w:w="0" w:type="dxa"/>
        <w:tblLayout w:type="fixed"/>
        <w:tblCellMar>
          <w:top w:w="28" w:type="dxa"/>
          <w:left w:w="28" w:type="dxa"/>
          <w:bottom w:w="28" w:type="dxa"/>
          <w:right w:w="28" w:type="dxa"/>
        </w:tblCellMar>
      </w:tblPr>
      <w:tblGrid>
        <w:gridCol w:w="2991"/>
        <w:gridCol w:w="146"/>
        <w:gridCol w:w="296"/>
        <w:gridCol w:w="1309"/>
        <w:gridCol w:w="146"/>
        <w:gridCol w:w="146"/>
        <w:gridCol w:w="313"/>
        <w:gridCol w:w="1382"/>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b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beginning of period</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acquired during period</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3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end of period</w:t>
            </w:r>
          </w:p>
        </w:tc>
        <w:tc>
          <w:tcPr>
            <w:tcW w:w="146" w:type="dxa"/>
            <w:tcBorders/>
            <w:shd w:fill="FFFFFF" w:val="cle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w:t>
      </w:r>
    </w:p>
    <w:tbl>
      <w:tblPr>
        <w:tblW w:w="6522" w:type="dxa"/>
        <w:jc w:val="left"/>
        <w:tblInd w:w="0" w:type="dxa"/>
        <w:tblLayout w:type="fixed"/>
        <w:tblCellMar>
          <w:top w:w="28" w:type="dxa"/>
          <w:left w:w="28" w:type="dxa"/>
          <w:bottom w:w="28" w:type="dxa"/>
          <w:right w:w="28" w:type="dxa"/>
        </w:tblCellMar>
      </w:tblPr>
      <w:tblGrid>
        <w:gridCol w:w="3611"/>
        <w:gridCol w:w="246"/>
        <w:gridCol w:w="211"/>
        <w:gridCol w:w="676"/>
        <w:gridCol w:w="246"/>
        <w:gridCol w:w="246"/>
        <w:gridCol w:w="260"/>
        <w:gridCol w:w="835"/>
        <w:gridCol w:w="191"/>
      </w:tblGrid>
      <w:tr>
        <w:trPr/>
        <w:tc>
          <w:tcPr>
            <w:tcW w:w="36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w:t>
            </w:r>
          </w:p>
        </w:tc>
        <w:tc>
          <w:tcPr>
            <w:tcW w:w="1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current portion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20,095</w:t>
            </w:r>
          </w:p>
        </w:tc>
        <w:tc>
          <w:tcPr>
            <w:tcW w:w="1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1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During the three months ended March 31, 2024, the Company incurred restructuring and related charges of $7.2 million, consisting of severance payments, employee benefits and related cash expenses. As of March 31, 2024, $2.0 million of severance and separation benefits is included in accrued expenses and other liabilities in the condensed consolidated balance sheets and the Company expects these payments will be made over the next nine months. The Company expects to incur additional restructuring and related charges associated with the 2024 Restructuring Plan of $0.5 million during the second quarter of 2024.</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Long-term debt consisted of the following as of March 31, 2024 and December 31, 2023, respectively: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254,375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253,017</w:t>
            </w:r>
          </w:p>
        </w:tc>
        <w:tc>
          <w:tcPr>
            <w:tcW w:w="191" w:type="dxa"/>
            <w:tcBorders/>
            <w:shd w:fill="CFF0FC" w:val="clear"/>
            <w:vAlign w:val="center"/>
          </w:tcPr>
          <w:p>
            <w:pPr>
              <w:pStyle w:val="TableContents"/>
              <w:bidi w:val="0"/>
              <w:spacing w:before="0" w:after="283"/>
              <w:jc w:val="left"/>
              <w:rPr/>
            </w:pPr>
            <w:r>
              <w:rPr/>
              <w:t> </w:t>
            </w:r>
          </w:p>
        </w:tc>
      </w:tr>
      <w:tr>
        <w:trPr/>
        <w:tc>
          <w:tcPr>
            <w:tcW w:w="33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vAlign w:val="center"/>
          </w:tcPr>
          <w:p>
            <w:pPr>
              <w:pStyle w:val="TableContents"/>
              <w:bidi w:val="0"/>
              <w:spacing w:before="0" w:after="283"/>
              <w:ind w:left="0" w:right="0" w:firstLine="100"/>
              <w:jc w:val="left"/>
              <w:rPr/>
            </w:pPr>
            <w:r>
              <w:rPr/>
              <w:t> </w:t>
            </w:r>
          </w:p>
        </w:tc>
        <w:tc>
          <w:tcPr>
            <w:tcW w:w="992" w:type="dxa"/>
            <w:gridSpan w:val="2"/>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410"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vAlign w:val="center"/>
          </w:tcPr>
          <w:p>
            <w:pPr>
              <w:pStyle w:val="TableContents"/>
              <w:bidi w:val="0"/>
              <w:spacing w:before="0" w:after="283"/>
              <w:ind w:left="0" w:right="0" w:firstLine="100"/>
              <w:jc w:val="left"/>
              <w:rPr/>
            </w:pPr>
            <w:r>
              <w:rPr/>
              <w:t> </w:t>
            </w:r>
          </w:p>
        </w:tc>
        <w:tc>
          <w:tcPr>
            <w:tcW w:w="992" w:type="dxa"/>
            <w:gridSpan w:val="2"/>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410"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256,317</w:t>
            </w:r>
          </w:p>
        </w:tc>
        <w:tc>
          <w:tcPr>
            <w:tcW w:w="191"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repaid $3.4 million in outstanding principal of the 2021 Term Loan (as defined below).</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$254.4 million outstanding on the 2021 Term Loan at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March 31, 2024. In September 2023, the lessor of the Company’s corporate headquarters transitioned from one entity to another. As a result, in December 2023, in lieu of a security deposit, the Company provided a standby letter of credit of $0.6 million, which reduced the amount available under our revolving credit facility to $74.4 million as of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March 31, 2024, the effective interest rate was 7.18%.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2022, the Company amended the 2021 Credit Agreement to replace the LIBO rate with Term Secured Overnight Financing Rate (“SOFR”) plus an applicable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March 31, 2024 and December 31, 2023, the unamortized financing costs were $0.4 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9.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entered into two interest rate swap agreements, effective on March 31, 2022. Until October 31, 2022, the counterparties to each of the agreements paid the Company interest at a floating rate on the notional amounts based on the one-month USD-LIBO swap rate. On October 31, 2022, in conjunction with the amendment to the 2021 Credit Agreement (See Note 9. </w:t>
      </w:r>
      <w:r>
        <w:rPr>
          <w:rFonts w:ascii="Times New Roman" w:hAnsi="Times New Roman"/>
          <w:i/>
          <w:color w:val="000000"/>
          <w:sz w:val="20"/>
        </w:rPr>
        <w:t>Long-Term Debt</w:t>
      </w:r>
      <w:r>
        <w:rPr>
          <w:rFonts w:ascii="Times New Roman" w:hAnsi="Times New Roman"/>
          <w:color w:val="000000"/>
          <w:sz w:val="20"/>
        </w:rPr>
        <w:t>), the Company amended the two interest rate swap agreements to replace the LIBO rate with Term SOFR. As a result, subsequent to October 31, 2022, the counterparties paid and will continue to pay interest at a floating rate based on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2024, the two outstanding interest rate swap agreements each had a notional value of $63.6 million with fixed interest rates of 1.90650% and 1.90900%. Interest payments under the swaps are made monthly on a net settlement basis. The Company has not recorded any amounts due to ineffectiveness for the period ended March 31, 2024. The notional value of each interest rate swap agreement is expected to match the corresponding principal amount of a portion of our borrowings under the 2021 Term Loan. The swap agreements mature on March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$3.7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values of the interest rate swaps and their respective locations in our condensed consolidated balance sheets at March 31, 2024 and December 31, 2023 were as follows:</w:t>
      </w:r>
    </w:p>
    <w:tbl>
      <w:tblPr>
        <w:tblW w:w="9237" w:type="dxa"/>
        <w:jc w:val="left"/>
        <w:tblInd w:w="0" w:type="dxa"/>
        <w:tblLayout w:type="fixed"/>
        <w:tblCellMar>
          <w:top w:w="28" w:type="dxa"/>
          <w:left w:w="28" w:type="dxa"/>
          <w:bottom w:w="28" w:type="dxa"/>
          <w:right w:w="28" w:type="dxa"/>
        </w:tblCellMar>
      </w:tblPr>
      <w:tblGrid>
        <w:gridCol w:w="2381"/>
        <w:gridCol w:w="246"/>
        <w:gridCol w:w="2921"/>
        <w:gridCol w:w="246"/>
        <w:gridCol w:w="340"/>
        <w:gridCol w:w="920"/>
        <w:gridCol w:w="246"/>
        <w:gridCol w:w="246"/>
        <w:gridCol w:w="403"/>
        <w:gridCol w:w="1097"/>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92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91" w:type="dxa"/>
            <w:tcBorders/>
            <w:shd w:fill="CFF0FC" w:val="clear"/>
            <w:vAlign w:val="center"/>
          </w:tcPr>
          <w:p>
            <w:pPr>
              <w:pStyle w:val="TableContents"/>
              <w:bidi w:val="0"/>
              <w:spacing w:before="0" w:after="283"/>
              <w:jc w:val="left"/>
              <w:rPr/>
            </w:pPr>
            <w:r>
              <w:rPr/>
              <w:t> </w:t>
            </w:r>
          </w:p>
        </w:tc>
      </w:tr>
      <w:tr>
        <w:trPr/>
        <w:tc>
          <w:tcPr>
            <w:tcW w:w="23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9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 Observable inputs that reflect unadjusted quoted prices in active markets for identical assets or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March 31, 2024 and December 31, 2023, based on interest rates currently available to the Company for similar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2024 and December 31, 2023 were classified as Level 2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March 31, 2024, the fair value of the contingent consideration associated with this acquisition was estimated to be $9.0 million and was included in other long-term liabilities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contingent consideration that resulted from the earnout associated with the acquisition of Analytical Wizards Inc. in February 2022, which was included in accrued expenses and other liabilities in the condensed consolidated balance sheets as of December 31, 2023, was paid during the three months ended March 31, 2024.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7917" w:type="dxa"/>
        <w:jc w:val="left"/>
        <w:tblInd w:w="0" w:type="dxa"/>
        <w:tblLayout w:type="fixed"/>
        <w:tblCellMar>
          <w:top w:w="28" w:type="dxa"/>
          <w:left w:w="28" w:type="dxa"/>
          <w:bottom w:w="28" w:type="dxa"/>
          <w:right w:w="28" w:type="dxa"/>
        </w:tblCellMar>
      </w:tblPr>
      <w:tblGrid>
        <w:gridCol w:w="4386"/>
        <w:gridCol w:w="646"/>
        <w:gridCol w:w="211"/>
        <w:gridCol w:w="676"/>
        <w:gridCol w:w="266"/>
        <w:gridCol w:w="246"/>
        <w:gridCol w:w="260"/>
        <w:gridCol w:w="835"/>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8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8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8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Payments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consolidated financial statements in the Company’s 2023 Form 10-K.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2024 and December 31, 2023, assets and liabilities measured at fair value on a recurring basis were as follows:</w:t>
      </w:r>
    </w:p>
    <w:tbl>
      <w:tblPr>
        <w:tblW w:w="8762" w:type="dxa"/>
        <w:jc w:val="left"/>
        <w:tblInd w:w="0" w:type="dxa"/>
        <w:tblLayout w:type="fixed"/>
        <w:tblCellMar>
          <w:top w:w="28" w:type="dxa"/>
          <w:left w:w="28" w:type="dxa"/>
          <w:bottom w:w="28" w:type="dxa"/>
          <w:right w:w="28" w:type="dxa"/>
        </w:tblCellMar>
      </w:tblPr>
      <w:tblGrid>
        <w:gridCol w:w="2996"/>
        <w:gridCol w:w="246"/>
        <w:gridCol w:w="211"/>
        <w:gridCol w:w="781"/>
        <w:gridCol w:w="246"/>
        <w:gridCol w:w="246"/>
        <w:gridCol w:w="211"/>
        <w:gridCol w:w="676"/>
        <w:gridCol w:w="246"/>
        <w:gridCol w:w="246"/>
        <w:gridCol w:w="211"/>
        <w:gridCol w:w="781"/>
        <w:gridCol w:w="146"/>
        <w:gridCol w:w="146"/>
        <w:gridCol w:w="211"/>
        <w:gridCol w:w="571"/>
        <w:gridCol w:w="591"/>
      </w:tblGrid>
      <w:tr>
        <w:trPr/>
        <w:tc>
          <w:tcPr>
            <w:tcW w:w="29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9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9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9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9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9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9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w:t>
            </w:r>
          </w:p>
        </w:tc>
        <w:tc>
          <w:tcPr>
            <w:tcW w:w="5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67" w:type="dxa"/>
        <w:jc w:val="left"/>
        <w:tblInd w:w="0" w:type="dxa"/>
        <w:tblLayout w:type="fixed"/>
        <w:tblCellMar>
          <w:top w:w="28" w:type="dxa"/>
          <w:left w:w="28" w:type="dxa"/>
          <w:bottom w:w="28" w:type="dxa"/>
          <w:right w:w="28" w:type="dxa"/>
        </w:tblCellMar>
      </w:tblPr>
      <w:tblGrid>
        <w:gridCol w:w="4406"/>
        <w:gridCol w:w="246"/>
        <w:gridCol w:w="211"/>
        <w:gridCol w:w="676"/>
        <w:gridCol w:w="246"/>
        <w:gridCol w:w="246"/>
        <w:gridCol w:w="211"/>
        <w:gridCol w:w="676"/>
        <w:gridCol w:w="246"/>
        <w:gridCol w:w="246"/>
        <w:gridCol w:w="211"/>
        <w:gridCol w:w="676"/>
        <w:gridCol w:w="146"/>
        <w:gridCol w:w="146"/>
        <w:gridCol w:w="211"/>
        <w:gridCol w:w="676"/>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8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 (maturities less than 90 days)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 (maturities less than 90 days)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2024 and December 31, 2023,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51,308 LLC Units held by Continuing Pre-IPO LLC Members were exchanged for shares of Class A Common Stock of Definitive Healthcare Corp. pursuant to the terms of the Amended LLC Agreement. In addition, 1,822,506 restricted stock units vested and 646,041 shares were withheld to cover withholding tax obligations, resulting in the net issuance of 1,176,465 shares of Class A Common Stock of Definitive Healthcare Corp., for which LLC Units were issued on a one-for-one basis pursuant to the Definitive OpCo second amended and restated limited liability company agreement entered into in connection with the IPO.</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2024 and December 31, 2023, Definitive Healthcare Corp. held ownership interests in Definitive OpCo of 75.0% and 74.9%, respectively, and noncontrolling interests of 25.0% and 25.1%, respectively</w:t>
      </w:r>
      <w:r>
        <w:rPr>
          <w:rFonts w:ascii="Times New Roman" w:hAnsi="Times New Roman"/>
          <w:color w:val="000000"/>
          <w:sz w:val="24"/>
        </w:rPr>
        <w: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Accumulated Other Comprehensive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changes in accumulated balances of other comprehensive income for the three months ended March 31, 2024 and 2023, respectively. </w:t>
      </w:r>
    </w:p>
    <w:tbl>
      <w:tblPr>
        <w:tblW w:w="10205" w:type="dxa"/>
        <w:jc w:val="left"/>
        <w:tblInd w:w="0" w:type="dxa"/>
        <w:tblLayout w:type="fixed"/>
        <w:tblCellMar>
          <w:top w:w="28" w:type="dxa"/>
          <w:left w:w="28" w:type="dxa"/>
          <w:bottom w:w="28" w:type="dxa"/>
          <w:right w:w="28" w:type="dxa"/>
        </w:tblCellMar>
      </w:tblPr>
      <w:tblGrid>
        <w:gridCol w:w="2939"/>
        <w:gridCol w:w="533"/>
        <w:gridCol w:w="1444"/>
        <w:gridCol w:w="166"/>
        <w:gridCol w:w="551"/>
        <w:gridCol w:w="1258"/>
        <w:gridCol w:w="166"/>
        <w:gridCol w:w="603"/>
        <w:gridCol w:w="1382"/>
        <w:gridCol w:w="166"/>
        <w:gridCol w:w="211"/>
        <w:gridCol w:w="571"/>
        <w:gridCol w:w="215"/>
      </w:tblGrid>
      <w:tr>
        <w:trPr/>
        <w:tc>
          <w:tcPr>
            <w:tcW w:w="293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39" w:type="dxa"/>
            <w:tcBorders/>
            <w:shd w:fill="FFFFFF" w:val="clear"/>
            <w:vAlign w:val="center"/>
          </w:tcPr>
          <w:p>
            <w:pPr>
              <w:pStyle w:val="TableContents"/>
              <w:bidi w:val="0"/>
              <w:spacing w:before="0" w:after="283"/>
              <w:jc w:val="left"/>
              <w:rPr/>
            </w:pPr>
            <w:r>
              <w:rPr/>
              <w:t> </w:t>
            </w:r>
          </w:p>
        </w:tc>
        <w:tc>
          <w:tcPr>
            <w:tcW w:w="70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15" w:type="dxa"/>
            <w:tcBorders/>
            <w:shd w:fill="FFFFFF" w:val="clear"/>
            <w:vAlign w:val="center"/>
          </w:tcPr>
          <w:p>
            <w:pPr>
              <w:pStyle w:val="TableContents"/>
              <w:bidi w:val="0"/>
              <w:spacing w:before="0" w:after="283"/>
              <w:jc w:val="left"/>
              <w:rPr/>
            </w:pPr>
            <w:r>
              <w:rPr/>
              <w:t> </w:t>
            </w:r>
          </w:p>
        </w:tc>
      </w:tr>
      <w:tr>
        <w:trPr/>
        <w:tc>
          <w:tcPr>
            <w:tcW w:w="29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533" w:type="dxa"/>
            <w:tcBorders/>
            <w:shd w:fill="CFF0FC" w:val="clear"/>
            <w:vAlign w:val="center"/>
          </w:tcPr>
          <w:p>
            <w:pPr>
              <w:pStyle w:val="TableContents"/>
              <w:bidi w:val="0"/>
              <w:spacing w:before="0" w:after="283"/>
              <w:jc w:val="left"/>
              <w:rPr/>
            </w:pPr>
            <w:r>
              <w:rPr/>
              <w:t> </w:t>
            </w:r>
          </w:p>
        </w:tc>
        <w:tc>
          <w:tcPr>
            <w:tcW w:w="14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left"/>
              <w:rPr/>
            </w:pPr>
            <w:r>
              <w:rPr/>
              <w:t> </w:t>
            </w:r>
          </w:p>
        </w:tc>
        <w:tc>
          <w:tcPr>
            <w:tcW w:w="12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vAlign w:val="center"/>
          </w:tcPr>
          <w:p>
            <w:pPr>
              <w:pStyle w:val="TableContents"/>
              <w:bidi w:val="0"/>
              <w:spacing w:before="0" w:after="283"/>
              <w:jc w:val="left"/>
              <w:rPr/>
            </w:pPr>
            <w:r>
              <w:rPr/>
              <w:t> </w:t>
            </w:r>
          </w:p>
        </w:tc>
        <w:tc>
          <w:tcPr>
            <w:tcW w:w="13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5" w:type="dxa"/>
            <w:tcBorders/>
            <w:shd w:fill="CFF0FC" w:val="clear"/>
            <w:vAlign w:val="center"/>
          </w:tcPr>
          <w:p>
            <w:pPr>
              <w:pStyle w:val="TableContents"/>
              <w:bidi w:val="0"/>
              <w:spacing w:before="0" w:after="283"/>
              <w:jc w:val="left"/>
              <w:rPr/>
            </w:pPr>
            <w:r>
              <w:rPr/>
              <w:t> </w:t>
            </w:r>
          </w:p>
        </w:tc>
      </w:tr>
      <w:tr>
        <w:trPr/>
        <w:tc>
          <w:tcPr>
            <w:tcW w:w="29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9"/>
        <w:gridCol w:w="533"/>
        <w:gridCol w:w="1444"/>
        <w:gridCol w:w="166"/>
        <w:gridCol w:w="551"/>
        <w:gridCol w:w="1258"/>
        <w:gridCol w:w="166"/>
        <w:gridCol w:w="603"/>
        <w:gridCol w:w="1382"/>
        <w:gridCol w:w="166"/>
        <w:gridCol w:w="211"/>
        <w:gridCol w:w="571"/>
        <w:gridCol w:w="215"/>
      </w:tblGrid>
      <w:tr>
        <w:trPr/>
        <w:tc>
          <w:tcPr>
            <w:tcW w:w="293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39" w:type="dxa"/>
            <w:tcBorders/>
            <w:shd w:fill="FFFFFF" w:val="clear"/>
            <w:vAlign w:val="center"/>
          </w:tcPr>
          <w:p>
            <w:pPr>
              <w:pStyle w:val="TableContents"/>
              <w:bidi w:val="0"/>
              <w:spacing w:before="0" w:after="283"/>
              <w:jc w:val="left"/>
              <w:rPr/>
            </w:pPr>
            <w:r>
              <w:rPr/>
              <w:t> </w:t>
            </w:r>
          </w:p>
        </w:tc>
        <w:tc>
          <w:tcPr>
            <w:tcW w:w="70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215" w:type="dxa"/>
            <w:tcBorders/>
            <w:shd w:fill="FFFFFF" w:val="clear"/>
            <w:vAlign w:val="center"/>
          </w:tcPr>
          <w:p>
            <w:pPr>
              <w:pStyle w:val="TableContents"/>
              <w:bidi w:val="0"/>
              <w:spacing w:before="0" w:after="283"/>
              <w:jc w:val="left"/>
              <w:rPr/>
            </w:pPr>
            <w:r>
              <w:rPr/>
              <w:t> </w:t>
            </w:r>
          </w:p>
        </w:tc>
      </w:tr>
      <w:tr>
        <w:trPr/>
        <w:tc>
          <w:tcPr>
            <w:tcW w:w="29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533" w:type="dxa"/>
            <w:tcBorders/>
            <w:shd w:fill="CFF0FC" w:val="clear"/>
            <w:vAlign w:val="center"/>
          </w:tcPr>
          <w:p>
            <w:pPr>
              <w:pStyle w:val="TableContents"/>
              <w:bidi w:val="0"/>
              <w:spacing w:before="0" w:after="283"/>
              <w:jc w:val="left"/>
              <w:rPr/>
            </w:pPr>
            <w:r>
              <w:rPr/>
              <w:t> </w:t>
            </w:r>
          </w:p>
        </w:tc>
        <w:tc>
          <w:tcPr>
            <w:tcW w:w="14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left"/>
              <w:rPr/>
            </w:pPr>
            <w:r>
              <w:rPr/>
              <w:t> </w:t>
            </w:r>
          </w:p>
        </w:tc>
        <w:tc>
          <w:tcPr>
            <w:tcW w:w="12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13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Equity-Based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condensed consolidated statements of operations for the three months ended March 31, 2024 and 2023, respectively, is provided in the following table.</w:t>
      </w:r>
    </w:p>
    <w:tbl>
      <w:tblPr>
        <w:tblW w:w="5281" w:type="dxa"/>
        <w:jc w:val="left"/>
        <w:tblInd w:w="0" w:type="dxa"/>
        <w:tblLayout w:type="fixed"/>
        <w:tblCellMar>
          <w:top w:w="28" w:type="dxa"/>
          <w:left w:w="28" w:type="dxa"/>
          <w:bottom w:w="28" w:type="dxa"/>
          <w:right w:w="28" w:type="dxa"/>
        </w:tblCellMar>
      </w:tblPr>
      <w:tblGrid>
        <w:gridCol w:w="2446"/>
        <w:gridCol w:w="246"/>
        <w:gridCol w:w="245"/>
        <w:gridCol w:w="785"/>
        <w:gridCol w:w="169"/>
        <w:gridCol w:w="169"/>
        <w:gridCol w:w="245"/>
        <w:gridCol w:w="785"/>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the 2024 Restructuring Plan announced in the three months ended March 31, 2024, along with the departure of an executive-level employee, the Company accelerated the vesting of 596,476 previously unvested time-based RSUs (“RSUs”), 49,265 previously unvested performance-based RSUs (“PSUs”), and 61,240 LLC Units, which resulted in an incremental stock-based compensation charge resulting from the modifications of approximately $6.9 million. Remaining unvested shares held by the award holders were forfeited upon separation.</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Company has recorded net deferred tax liabilities of $66.5 million and $67.2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5.8% and 4.3% for the three months ended March 31, 2024 and 2023,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entered into a Tax Receivable Agreement (“TRA”) among Definitive Healthcare Corp., Definitive OpCo, and the TRA Parties and has recorded a liability under the TRA of $138.3 million and $147.1 million as of March 31, 2024 and December 31, 2023, respectively. During the three months ended March 31, 2024 and 2023, the Company recognized a TRA remeasurement gain of $2.3 million and a loss of $3.6 million, respectively, within other income (expense), net in the Company’s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reconciliations of the numerators and denominators used to compute basic and diluted net loss per share of Class A Common Stock for the three months ended March 31, 2024 and 2023. </w:t>
      </w:r>
    </w:p>
    <w:tbl>
      <w:tblPr>
        <w:tblW w:w="7035" w:type="dxa"/>
        <w:jc w:val="left"/>
        <w:tblInd w:w="0" w:type="dxa"/>
        <w:tblLayout w:type="fixed"/>
        <w:tblCellMar>
          <w:top w:w="28" w:type="dxa"/>
          <w:left w:w="28" w:type="dxa"/>
          <w:bottom w:w="28" w:type="dxa"/>
          <w:right w:w="28" w:type="dxa"/>
        </w:tblCellMar>
      </w:tblPr>
      <w:tblGrid>
        <w:gridCol w:w="4426"/>
        <w:gridCol w:w="212"/>
        <w:gridCol w:w="740"/>
        <w:gridCol w:w="247"/>
        <w:gridCol w:w="247"/>
        <w:gridCol w:w="212"/>
        <w:gridCol w:w="740"/>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952" w:type="dxa"/>
            <w:gridSpan w:val="2"/>
            <w:tcBorders/>
            <w:shd w:fill="CFF0FC" w:val="clear"/>
            <w:vAlign w:val="center"/>
          </w:tcPr>
          <w:p>
            <w:pPr>
              <w:pStyle w:val="TableContents"/>
              <w:bidi w:val="0"/>
              <w:spacing w:before="0" w:after="283"/>
              <w:ind w:left="100" w:right="0" w:firstLine="100"/>
              <w:jc w:val="right"/>
              <w:rPr/>
            </w:pPr>
            <w:r>
              <w:rPr/>
              <w:t> </w:t>
            </w:r>
          </w:p>
        </w:tc>
        <w:tc>
          <w:tcPr>
            <w:tcW w:w="247" w:type="dxa"/>
            <w:tcBorders/>
            <w:shd w:fill="CFF0FC" w:val="clear"/>
            <w:vAlign w:val="center"/>
          </w:tcPr>
          <w:p>
            <w:pPr>
              <w:pStyle w:val="TableContents"/>
              <w:bidi w:val="0"/>
              <w:spacing w:before="0" w:after="283"/>
              <w:ind w:left="0" w:right="0" w:firstLine="100"/>
              <w:jc w:val="right"/>
              <w:rPr/>
            </w:pPr>
            <w:r>
              <w:rPr/>
              <w:t> </w:t>
            </w:r>
          </w:p>
        </w:tc>
        <w:tc>
          <w:tcPr>
            <w:tcW w:w="247" w:type="dxa"/>
            <w:tcBorders/>
            <w:shd w:fill="CFF0FC" w:val="clear"/>
            <w:vAlign w:val="center"/>
          </w:tcPr>
          <w:p>
            <w:pPr>
              <w:pStyle w:val="TableContents"/>
              <w:bidi w:val="0"/>
              <w:spacing w:before="0" w:after="283"/>
              <w:ind w:left="0" w:right="0" w:firstLine="100"/>
              <w:jc w:val="right"/>
              <w:rPr/>
            </w:pPr>
            <w:r>
              <w:rPr/>
              <w:t> </w:t>
            </w:r>
          </w:p>
        </w:tc>
        <w:tc>
          <w:tcPr>
            <w:tcW w:w="952" w:type="dxa"/>
            <w:gridSpan w:val="2"/>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 for the three months ended March 31, 2024 and 2023 (per share amounts unaudited).</w:t>
      </w:r>
    </w:p>
    <w:tbl>
      <w:tblPr>
        <w:tblW w:w="9803" w:type="dxa"/>
        <w:jc w:val="left"/>
        <w:tblInd w:w="0" w:type="dxa"/>
        <w:tblLayout w:type="fixed"/>
        <w:tblCellMar>
          <w:top w:w="28" w:type="dxa"/>
          <w:left w:w="28" w:type="dxa"/>
          <w:bottom w:w="28" w:type="dxa"/>
          <w:right w:w="28" w:type="dxa"/>
        </w:tblCellMar>
      </w:tblPr>
      <w:tblGrid>
        <w:gridCol w:w="6396"/>
        <w:gridCol w:w="211"/>
        <w:gridCol w:w="1141"/>
        <w:gridCol w:w="166"/>
        <w:gridCol w:w="146"/>
        <w:gridCol w:w="211"/>
        <w:gridCol w:w="1141"/>
        <w:gridCol w:w="391"/>
      </w:tblGrid>
      <w:tr>
        <w:trPr/>
        <w:tc>
          <w:tcPr>
            <w:tcW w:w="6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 attributable to common stockholders</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number of shares of Class A Common Stock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117,433,520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108,234,043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242424"/>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242424"/>
          <w:sz w:val="20"/>
        </w:rPr>
      </w:pPr>
      <w:r>
        <w:rPr>
          <w:rFonts w:ascii="Times New Roman" w:hAnsi="Times New Roman"/>
          <w:color w:val="242424"/>
          <w:sz w:val="20"/>
        </w:rPr>
        <w:t>The following table presents potentially dilutive securities excluded from the computation of diluted net loss per share for the period presented because their effect would have been anti-dilutive:</w:t>
      </w:r>
    </w:p>
    <w:tbl>
      <w:tblPr>
        <w:tblW w:w="7033" w:type="dxa"/>
        <w:jc w:val="left"/>
        <w:tblInd w:w="0" w:type="dxa"/>
        <w:tblLayout w:type="fixed"/>
        <w:tblCellMar>
          <w:top w:w="28" w:type="dxa"/>
          <w:left w:w="28" w:type="dxa"/>
          <w:bottom w:w="28" w:type="dxa"/>
          <w:right w:w="28" w:type="dxa"/>
        </w:tblCellMar>
      </w:tblPr>
      <w:tblGrid>
        <w:gridCol w:w="4186"/>
        <w:gridCol w:w="146"/>
        <w:gridCol w:w="1036"/>
        <w:gridCol w:w="146"/>
        <w:gridCol w:w="146"/>
        <w:gridCol w:w="146"/>
        <w:gridCol w:w="103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LLC Units (vested and unvested)</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45,626,933</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6,211,625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17. Related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has engaged in revenue transactions within the ordinary course of business with entities affiliated with its Sponsors and with members of the Company’s board of directors. During each of the three months ended March 31, 2024 and 2023 the Company recorded revenue from related parties of $0.4 million. Receivables for related party revenue transactions amounted to $0.1 million and $0.9 million at March 31, 2024 and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 May 2024, the Company’s Board of Directors authorized a stock repurchase program of up to $20.0 million of its Class A Common Stock, which expires on December 31, 2024. Repurchases may be effected, from time to time, either on the open market (including pre-set trading plans), in privately negotiated transactions, and other transactions in accordance with applicable securities laws.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 As of May 7, 2024, no repurchases have been made pursuant to the repurchase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
      <w:bookmarkEnd w:id="11"/>
      <w:r>
        <w:rPr>
          <w:rFonts w:ascii="Times New Roman" w:hAnsi="Times New Roman"/>
          <w:b/>
          <w:color w:val="000000"/>
          <w:sz w:val="20"/>
        </w:rPr>
        <w:t>ITEM 2 -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2023 Form 10-K.</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2023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2,800 customers as of March 31, 2024. We generally define a customer as a company that maintains one or more active paid subscriptions to our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and current Interim Chief Executive Officer,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Restatement of Previously Issued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of “Notes to the Unaudited Condensed Consolidated Financial Statements,” we previously filed an Amendment No. 1 on Form 10-Q/A with the SEC on August 14, 2023 to amend our Quarterly Report on Form 10-Q for the three months ended March 31, 2023 and to restate our unaudited condensed consolidated financial statements for the three months ended March 31, 2023 and 2022.</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restated prior-year results are reflected in the unaudited condensed consolidated financial results and in Item 2. </w:t>
      </w:r>
      <w:r>
        <w:rPr>
          <w:rFonts w:ascii="Times New Roman" w:hAnsi="Times New Roman"/>
          <w:i/>
          <w:color w:val="000000"/>
          <w:sz w:val="20"/>
        </w:rPr>
        <w:t>Management’s Discussion of Financial Condition and Results of Operations</w:t>
      </w:r>
      <w:r>
        <w:rPr>
          <w:rFonts w:ascii="Times New Roman" w:hAnsi="Times New Roman"/>
          <w:color w:val="000000"/>
          <w:sz w:val="20"/>
        </w:rPr>
        <w:t xml:space="preserve"> disclosed within this Quarterly Report on Form 10-Q.</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On January 16, 2024, the Company completed the purchase of assets comprising the Carevoyance business line of H1 Insights, Inc., a product that helps medical technology (“MedTech”) customers to improve segmentation, targeting, and prospect engagement for $13.7 million, subject to closing adjustments. The initial accounting for the business combination is incomplete as a result of the timing of the acquisition. Refer to Note 2. </w:t>
      </w:r>
      <w:r>
        <w:rPr>
          <w:rFonts w:ascii="Times New Roman" w:hAnsi="Times New Roman"/>
          <w:i/>
          <w:color w:val="000000"/>
          <w:sz w:val="20"/>
        </w:rPr>
        <w:t>Acquisitions</w:t>
      </w:r>
      <w:r>
        <w:rPr>
          <w:rFonts w:ascii="Times New Roman" w:hAnsi="Times New Roman"/>
          <w:color w:val="000000"/>
          <w:sz w:val="20"/>
        </w:rPr>
        <w:t xml:space="preserve">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months ended March 31, 2024, we incurred restructuring and related charges of $7.2 million, consisting primarily of severance payments, employee benefits, and related cash expenses. These charges were recognized within Transaction, integration, and restructuring expenses in our unaudited condensed consolidated statements of operations. We expect to incur additional restructuring and related charges associated with the 2024 Restructuring Plan of $0.5 million during the second quarter of 2024, consisting of severance payments, employee benefits, and related cash expenses. We expect the 2024 Restructuring Plan will be substantially complete by the end of the second quarter of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the Russia-Ukraine war, the evolving conflict in Israel and surrounding areas, global geopolitical tension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This churn impacted our revenue growth in 2023 and in the first quarter of 2024, and we expect this will continue to impact our growth in 2024. Additionally, we are monitoring the impacts of data source disruption currently impacting the industry. We are continuing to evaluate these and other past and potential future direct and indirect impacts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created disruptions to our sales efforts in the first quarter of 2024, impacting both new customer acquisition and, to a lesser extent, upsell to existing customers, which we expect will continue to impact our results in the second quarter of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 Our total customer count, which includes smaller customers, was approximately 2,800 as of March 31, 2024 compared with approximately 3,000 customers as of March 31, 2023. Though our total customer count has decreased as smaller customers have churned at disproportionately higher rates due to current macroeconomic conditions, our Enterprise Customer accounts have increased by 30 to 559 customers as of March 31, 2024 compared with 529 customers as of March 31, 2023.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opportunity to generate additional revenue from our existing customer base of approximately 2,800 customers as of March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expanding usage of our platform with our existing customers is demonstrated by our NDR, which is further described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Dollar Retention Rate (“NDR”)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Remaining Performance Obligations (“cRPO”)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2024 relative to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cRPO as of March 31, 2024 and December 31, 2023: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187,331</w:t>
            </w:r>
          </w:p>
        </w:tc>
        <w:tc>
          <w:tcPr>
            <w:tcW w:w="591" w:type="dxa"/>
            <w:tcBorders/>
            <w:shd w:fill="CFF0FC" w:val="clear"/>
            <w:vAlign w:val="center"/>
          </w:tcPr>
          <w:p>
            <w:pPr>
              <w:pStyle w:val="TableContents"/>
              <w:bidi w:val="0"/>
              <w:spacing w:before="0" w:after="283"/>
              <w:jc w:val="left"/>
              <w:rPr/>
            </w:pPr>
            <w:r>
              <w:rPr/>
              <w:t> </w:t>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270,348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Impact of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seek to enhance our platform, data and business through internal development and through acquisitions of and investments in businesses that broaden and strengthen our platform. On January 16,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hAnsi="Times New Roman"/>
          <w:i/>
          <w:color w:val="000000"/>
          <w:sz w:val="20"/>
        </w:rPr>
        <w:t>Acquisitions</w:t>
      </w:r>
      <w:r>
        <w:rPr>
          <w:rFonts w:ascii="Times New Roman" w:hAnsi="Times New Roman"/>
          <w:color w:val="000000"/>
          <w:sz w:val="20"/>
        </w:rPr>
        <w:t xml:space="preserve"> in the notes to our unaudited condensed consolidated financial statements included elsewhere in this Form 10-Q for further details.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we derived approximately 97%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the first quarter of 2024. Although subscription renewals were in line with expectations, upsells, new business, and professional services, inclusive of transactional services and one-time consulting arrangements, were more heavily impacted than anticipated. Based on these impacts, we expect our revenue growth in the second quarter and full year 2024 to be slower than in the same periods in the prior year.</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beginning of 2023, additional third-party data sources were rolled out to our customers, which resulted in, and is expected to continue to result in, an increase in cost of revenue, including amortization.</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expect our overall gross profit to increase for 2024 due to anticipated revenue growth, our gross margin is expected to modestly decrease due to the expansion of data sources, as described above, and costs associated with the acquisitions of Populi and Carevoyance.</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During the first quarter of 2024, as part of the 2024 Restructuring Plan, we made significant changes to our go-to-market team, which reduced overlay expenses, created a separate group and sales motion for small and medium sized customers, and allocated more resources to our Enterprise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Product development expenses primarily consist of personnel costs such as salaries, bonuses, stock-based compensation, and other employee-related benefits for our engineering, data science and product teams, as well as non-personnel costs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and integration activities we have undertaken, primarily accounting and legal due diligence, and consulting and advisory fees, as well as expenses related to our restructuring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expense on our debt obligations and the amortization of debt discounts and debt issuance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earnings resulting from our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a summary of our unaudited condensed consolidated statements of operations for the periods presented: </w:t>
      </w:r>
    </w:p>
    <w:tbl>
      <w:tblPr>
        <w:tblW w:w="10189" w:type="dxa"/>
        <w:jc w:val="left"/>
        <w:tblInd w:w="0" w:type="dxa"/>
        <w:tblLayout w:type="fixed"/>
        <w:tblCellMar>
          <w:top w:w="28" w:type="dxa"/>
          <w:left w:w="28" w:type="dxa"/>
          <w:bottom w:w="28" w:type="dxa"/>
          <w:right w:w="28" w:type="dxa"/>
        </w:tblCellMar>
      </w:tblPr>
      <w:tblGrid>
        <w:gridCol w:w="5626"/>
        <w:gridCol w:w="1346"/>
        <w:gridCol w:w="211"/>
        <w:gridCol w:w="736"/>
        <w:gridCol w:w="266"/>
        <w:gridCol w:w="246"/>
        <w:gridCol w:w="211"/>
        <w:gridCol w:w="736"/>
        <w:gridCol w:w="811"/>
      </w:tblGrid>
      <w:tr>
        <w:trPr/>
        <w:tc>
          <w:tcPr>
            <w:tcW w:w="56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before="0" w:after="283"/>
              <w:jc w:val="center"/>
              <w:rPr/>
            </w:pPr>
            <w:r>
              <w:rPr/>
              <w:t> </w:t>
            </w:r>
          </w:p>
        </w:tc>
        <w:tc>
          <w:tcPr>
            <w:tcW w:w="1346" w:type="dxa"/>
            <w:tcBorders/>
            <w:shd w:fill="FFFFFF" w:val="cle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59,201</w:t>
            </w:r>
          </w:p>
        </w:tc>
        <w:tc>
          <w:tcPr>
            <w:tcW w:w="81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62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62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2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3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26" w:type="dxa"/>
            <w:tcBorders/>
            <w:shd w:fill="FFFFFF"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FFFFFF" w:val="clear"/>
            <w:vAlign w:val="center"/>
          </w:tcPr>
          <w:p>
            <w:pPr>
              <w:pStyle w:val="TableContents"/>
              <w:bidi w:val="0"/>
              <w:spacing w:before="0" w:after="283"/>
              <w:ind w:left="700" w:right="0" w:firstLine="7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47,295</w:t>
            </w:r>
          </w:p>
        </w:tc>
        <w:tc>
          <w:tcPr>
            <w:tcW w:w="81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62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62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62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62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626" w:type="dxa"/>
            <w:tcBorders/>
            <w:shd w:fill="CFF0FC"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vAlign w:val="center"/>
          </w:tcPr>
          <w:p>
            <w:pPr>
              <w:pStyle w:val="TableContents"/>
              <w:bidi w:val="0"/>
              <w:spacing w:before="0" w:after="283"/>
              <w:ind w:left="700" w:right="0" w:firstLine="7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59,566</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26" w:type="dxa"/>
            <w:tcBorders/>
            <w:shd w:fill="FFFFFF" w:val="cle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vAlign w:val="center"/>
          </w:tcPr>
          <w:p>
            <w:pPr>
              <w:pStyle w:val="TableContents"/>
              <w:bidi w:val="0"/>
              <w:spacing w:before="0" w:after="283"/>
              <w:ind w:left="1100" w:right="0" w:firstLine="1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vAlign w:val="center"/>
          </w:tcPr>
          <w:p>
            <w:pPr>
              <w:pStyle w:val="TableContents"/>
              <w:bidi w:val="0"/>
              <w:spacing w:before="0" w:after="283"/>
              <w:ind w:left="1100" w:right="0" w:firstLine="1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CFF0FC" w:val="clear"/>
            <w:vAlign w:val="center"/>
          </w:tcPr>
          <w:p>
            <w:pPr>
              <w:pStyle w:val="TableContents"/>
              <w:bidi w:val="0"/>
              <w:spacing w:before="0" w:after="283"/>
              <w:ind w:left="1100" w:right="0" w:firstLine="1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26" w:type="dxa"/>
            <w:tcBorders/>
            <w:shd w:fill="FFFFFF" w:val="cle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vAlign w:val="center"/>
          </w:tcPr>
          <w:p>
            <w:pPr>
              <w:pStyle w:val="TableContents"/>
              <w:bidi w:val="0"/>
              <w:spacing w:before="0" w:after="283"/>
              <w:ind w:left="1100" w:right="0" w:firstLine="1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CFF0FC"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626" w:type="dxa"/>
            <w:tcBorders/>
            <w:shd w:fill="FFFFFF" w:val="cle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br/>
        <w:t>Three Months Ended March 31, 2024 compared to Three Months Ended March 31, 2023</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$4.3 million, or 7%, in the three months ended March 31, 2024 compared with the same period in the prior year, due to higher subscription revenue of $3.3 million and higher professional services revenue of $1.0 million. Approximately $1.8 million of the overall increase in revenue was driven primarily by the addition of new customers during the first quarter of 2024, while $2.5 million of the increase was the result of net growth from customers that existed prior to the start of the first quarter of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increased $1.2 million, or 10%, in the three months ended March 31, 2024 compared with the same period in the prior year. This increase was driven primarily by a $1.6 million increase in hosting fees and data subscription costs as a result of expanded customer usage of our platform and the Populi acquisition, partially offset by a decrease of $0.4 million in employee and other costs driven primarily by the restructuring plan we committed to during the third quarter of 2023.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increased $7.1 million, or 12%, during the three months ended March 31, 2024 compared with the same period in the prior year. The increase to operating expense as compared to the prior-year period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$1.7 million for the three months ended March 31, 2024, primarily due to lower personnel costs, including stock-based compensation expense, resulting from the 2024 Restructuring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product development expense of $0.2 million for the three months ended March 31, 2024. There were no individually significant drivers that contributed to the change from the comparable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general and administrative expense of $2.8 million for the three months ended March 31, 2024, primarily due to increased stock-based compensation expense resulting from new equity grants in the current year and the acceleration of certain shares in connection with the departure of an executive-level employee, partially offset by savings resulting from lower franchise taxes and relief from sales tax exposure, including penalties and interest, resulting from voluntary disclosure agreements, and lower professional service fees;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$0.3 million for the three months ended March 31, 2024, primarily due to the full amortization of a database intangible asset during the third quarter of 2023;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transaction, integration and restructuring expenses of $5.9 million for the three months ended March 31, 2024, due primarily to costs associated with the restructuring plan we committed to in the first quarter of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$2.8 million for the three months ended March 31, 2024 compared to total other expense, net of $4.4 million in the same period in the prior year. The overall change was primarily attributable to a $2.3 million TRA liability remeasurement gain in the first quarter of 2024, driven by future realizability of tax attributes payable under the TRA, compared with a $3.6 million TRA liability remeasurement loss in the comparable prior year period. Interest income earned from our short-term investments also increased by $1.1 million to $3.9 million in the first quarter of 2024 compared with $2.8 million in the comparable prior year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income taxes was $0.8 million for the three months ended March 31, 2024 compared to $0.7 million in the comparable prior year period. There were no individually significant drivers that contributed to the change.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Gross Profit and Adjusted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for the periods presented: </w:t>
      </w:r>
    </w:p>
    <w:tbl>
      <w:tblPr>
        <w:tblW w:w="10205" w:type="dxa"/>
        <w:jc w:val="left"/>
        <w:tblInd w:w="0" w:type="dxa"/>
        <w:tblLayout w:type="fixed"/>
        <w:tblCellMar>
          <w:top w:w="28" w:type="dxa"/>
          <w:left w:w="28" w:type="dxa"/>
          <w:bottom w:w="28" w:type="dxa"/>
          <w:right w:w="28" w:type="dxa"/>
        </w:tblCellMar>
      </w:tblPr>
      <w:tblGrid>
        <w:gridCol w:w="5106"/>
        <w:gridCol w:w="146"/>
        <w:gridCol w:w="211"/>
        <w:gridCol w:w="676"/>
        <w:gridCol w:w="146"/>
        <w:gridCol w:w="146"/>
        <w:gridCol w:w="292"/>
        <w:gridCol w:w="637"/>
        <w:gridCol w:w="271"/>
        <w:gridCol w:w="146"/>
        <w:gridCol w:w="211"/>
        <w:gridCol w:w="676"/>
        <w:gridCol w:w="146"/>
        <w:gridCol w:w="146"/>
        <w:gridCol w:w="292"/>
        <w:gridCol w:w="637"/>
        <w:gridCol w:w="320"/>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 resulting from acquisition-related purchase accounting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and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(ii) interest income, (iii) income taxes, and (iv) depreciation and amortization. Management further adjusts EBITDA in its presentation of Adjusted EBITDA to exclude (i) other (income) expense, (ii) equity-based compensation, (iii) transaction, integration, and restructuring expenses, and (iv)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3937"/>
        <w:gridCol w:w="246"/>
        <w:gridCol w:w="211"/>
        <w:gridCol w:w="736"/>
        <w:gridCol w:w="266"/>
        <w:gridCol w:w="246"/>
        <w:gridCol w:w="288"/>
        <w:gridCol w:w="749"/>
        <w:gridCol w:w="418"/>
        <w:gridCol w:w="246"/>
        <w:gridCol w:w="211"/>
        <w:gridCol w:w="736"/>
        <w:gridCol w:w="266"/>
        <w:gridCol w:w="246"/>
        <w:gridCol w:w="288"/>
        <w:gridCol w:w="749"/>
        <w:gridCol w:w="366"/>
      </w:tblGrid>
      <w:tr>
        <w:trPr/>
        <w:tc>
          <w:tcPr>
            <w:tcW w:w="39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93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w:t>
            </w:r>
            <w:r>
              <w:rPr>
                <w:rFonts w:ascii="Times New Roman" w:hAnsi="Times New Roman"/>
                <w:b/>
                <w:color w:val="000000"/>
                <w:sz w:val="20"/>
              </w:rPr>
              <w:t>and margin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from income taxes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&amp;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EBITDA</w:t>
            </w:r>
            <w:r>
              <w:rPr>
                <w:rFonts w:ascii="Times New Roman" w:hAnsi="Times New Roman"/>
                <w:color w:val="000000"/>
                <w:sz w:val="20"/>
              </w:rPr>
              <w:t xml:space="preserve"> </w:t>
            </w:r>
            <w:r>
              <w:rPr>
                <w:rFonts w:ascii="Times New Roman" w:hAnsi="Times New Roman"/>
                <w:b/>
                <w:color w:val="000000"/>
                <w:sz w:val="20"/>
              </w:rPr>
              <w:t>and margin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(income) expense, net </w:t>
            </w:r>
            <w:r>
              <w:rPr>
                <w:rFonts w:ascii="Times New Roman" w:hAnsi="Times New Roman"/>
                <w:color w:val="000000"/>
                <w:sz w:val="13"/>
              </w:rPr>
              <w:t>(a)</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Equity-based compensation </w:t>
            </w:r>
            <w:r>
              <w:rPr>
                <w:rFonts w:ascii="Times New Roman" w:hAnsi="Times New Roman"/>
                <w:color w:val="000000"/>
                <w:sz w:val="13"/>
              </w:rPr>
              <w:t>(b)</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integration, and restructuring expenses </w:t>
            </w:r>
            <w:r>
              <w:rPr>
                <w:rFonts w:ascii="Times New Roman" w:hAnsi="Times New Roman"/>
                <w:color w:val="000000"/>
                <w:sz w:val="13"/>
              </w:rPr>
              <w:t>(c)</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7"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r>
              <w:rPr>
                <w:rFonts w:ascii="Times New Roman" w:hAnsi="Times New Roman"/>
                <w:b/>
                <w:color w:val="000000"/>
                <w:sz w:val="20"/>
              </w:rPr>
              <w:t>and margin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w:t>
      </w:r>
    </w:p>
    <w:p>
      <w:pPr>
        <w:pStyle w:val="TextBody"/>
        <w:bidi w:val="0"/>
        <w:jc w:val="left"/>
        <w:rPr/>
      </w:pPr>
      <w:r>
        <w:rPr/>
        <w:t> </w:t>
      </w:r>
    </w:p>
    <w:tbl>
      <w:tblPr>
        <w:tblW w:w="9131" w:type="dxa"/>
        <w:jc w:val="left"/>
        <w:tblInd w:w="0" w:type="dxa"/>
        <w:tblLayout w:type="fixed"/>
        <w:tblCellMar>
          <w:top w:w="28" w:type="dxa"/>
          <w:left w:w="28" w:type="dxa"/>
          <w:bottom w:w="28" w:type="dxa"/>
          <w:right w:w="28" w:type="dxa"/>
        </w:tblCellMar>
      </w:tblPr>
      <w:tblGrid>
        <w:gridCol w:w="5996"/>
        <w:gridCol w:w="546"/>
        <w:gridCol w:w="246"/>
        <w:gridCol w:w="666"/>
        <w:gridCol w:w="287"/>
        <w:gridCol w:w="287"/>
        <w:gridCol w:w="246"/>
        <w:gridCol w:w="666"/>
        <w:gridCol w:w="19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87" w:type="dxa"/>
            <w:tcBorders/>
            <w:shd w:fill="CFF0FC" w:val="clear"/>
            <w:vAlign w:val="center"/>
          </w:tcPr>
          <w:p>
            <w:pPr>
              <w:pStyle w:val="TableContents"/>
              <w:bidi w:val="0"/>
              <w:spacing w:before="0" w:after="283"/>
              <w:ind w:left="0" w:right="0" w:firstLine="100"/>
              <w:jc w:val="left"/>
              <w:rPr/>
            </w:pPr>
            <w:r>
              <w:rPr/>
              <w:t> </w:t>
            </w:r>
          </w:p>
        </w:tc>
        <w:tc>
          <w:tcPr>
            <w:tcW w:w="287" w:type="dxa"/>
            <w:tcBorders/>
            <w:shd w:fill="CFF0FC" w:val="clear"/>
            <w:vAlign w:val="center"/>
          </w:tcPr>
          <w:p>
            <w:pPr>
              <w:pStyle w:val="TableContents"/>
              <w:bidi w:val="0"/>
              <w:spacing w:before="0" w:after="283"/>
              <w:ind w:left="100" w:right="0" w:firstLine="100"/>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CFF0FC" w:val="cle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87" w:type="dxa"/>
            <w:tcBorders/>
            <w:shd w:fill="FFFFFF" w:val="clear"/>
            <w:vAlign w:val="center"/>
          </w:tcPr>
          <w:p>
            <w:pPr>
              <w:pStyle w:val="TableContents"/>
              <w:bidi w:val="0"/>
              <w:spacing w:before="0" w:after="283"/>
              <w:ind w:left="0" w:right="0" w:firstLine="100"/>
              <w:jc w:val="left"/>
              <w:rPr/>
            </w:pPr>
            <w:r>
              <w:rPr/>
              <w:t> </w:t>
            </w:r>
          </w:p>
        </w:tc>
        <w:tc>
          <w:tcPr>
            <w:tcW w:w="287" w:type="dxa"/>
            <w:tcBorders/>
            <w:shd w:fill="FFFFFF" w:val="clear"/>
            <w:vAlign w:val="center"/>
          </w:tcPr>
          <w:p>
            <w:pPr>
              <w:pStyle w:val="TableContents"/>
              <w:bidi w:val="0"/>
              <w:spacing w:before="0" w:after="283"/>
              <w:ind w:left="100" w:right="0" w:firstLine="100"/>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vAlign w:val="center"/>
          </w:tcPr>
          <w:p>
            <w:pPr>
              <w:pStyle w:val="TableContents"/>
              <w:bidi w:val="0"/>
              <w:spacing w:before="0" w:after="283"/>
              <w:jc w:val="left"/>
              <w:rPr/>
            </w:pPr>
            <w:r>
              <w:rPr/>
              <w:t> </w:t>
            </w:r>
          </w:p>
        </w:tc>
      </w:tr>
      <w:tr>
        <w:trPr/>
        <w:tc>
          <w:tcPr>
            <w:tcW w:w="5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87" w:type="dxa"/>
            <w:tcBorders/>
            <w:shd w:fill="CFF0FC" w:val="clear"/>
            <w:vAlign w:val="center"/>
          </w:tcPr>
          <w:p>
            <w:pPr>
              <w:pStyle w:val="TableContents"/>
              <w:bidi w:val="0"/>
              <w:spacing w:before="0" w:after="283"/>
              <w:ind w:left="0" w:right="0" w:firstLine="100"/>
              <w:jc w:val="left"/>
              <w:rPr/>
            </w:pPr>
            <w:r>
              <w:rPr/>
              <w:t> </w:t>
            </w:r>
          </w:p>
        </w:tc>
        <w:tc>
          <w:tcPr>
            <w:tcW w:w="287" w:type="dxa"/>
            <w:tcBorders/>
            <w:shd w:fill="CFF0FC" w:val="clear"/>
            <w:vAlign w:val="center"/>
          </w:tcPr>
          <w:p>
            <w:pPr>
              <w:pStyle w:val="TableContents"/>
              <w:bidi w:val="0"/>
              <w:spacing w:before="0" w:after="283"/>
              <w:ind w:left="100" w:right="0" w:firstLine="100"/>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287" w:type="dxa"/>
            <w:tcBorders/>
            <w:shd w:fill="FFFFFF" w:val="clear"/>
            <w:vAlign w:val="center"/>
          </w:tcPr>
          <w:p>
            <w:pPr>
              <w:pStyle w:val="TableContents"/>
              <w:bidi w:val="0"/>
              <w:spacing w:before="0" w:after="283"/>
              <w:ind w:left="0" w:right="0" w:firstLine="100"/>
              <w:jc w:val="left"/>
              <w:rPr/>
            </w:pPr>
            <w:r>
              <w:rPr/>
              <w:t> </w:t>
            </w:r>
          </w:p>
        </w:tc>
        <w:tc>
          <w:tcPr>
            <w:tcW w:w="287" w:type="dxa"/>
            <w:tcBorders/>
            <w:shd w:fill="FFFFFF" w:val="clear"/>
            <w:vAlign w:val="center"/>
          </w:tcPr>
          <w:p>
            <w:pPr>
              <w:pStyle w:val="TableContents"/>
              <w:bidi w:val="0"/>
              <w:spacing w:before="0" w:after="283"/>
              <w:ind w:left="100" w:right="0" w:firstLine="100"/>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91" w:type="dxa"/>
            <w:tcBorders/>
            <w:shd w:fill="FFFFFF" w:val="clear"/>
            <w:vAlign w:val="center"/>
          </w:tcPr>
          <w:p>
            <w:pPr>
              <w:pStyle w:val="TableContents"/>
              <w:bidi w:val="0"/>
              <w:spacing w:before="0" w:after="283"/>
              <w:jc w:val="left"/>
              <w:rPr/>
            </w:pPr>
            <w:r>
              <w:rPr/>
              <w:t> </w:t>
            </w:r>
          </w:p>
        </w:tc>
      </w:tr>
      <w:tr>
        <w:trPr/>
        <w:tc>
          <w:tcPr>
            <w:tcW w:w="5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7" w:type="dxa"/>
            <w:tcBorders/>
            <w:shd w:fill="CFF0FC" w:val="clear"/>
            <w:vAlign w:val="center"/>
          </w:tcPr>
          <w:p>
            <w:pPr>
              <w:pStyle w:val="TableContents"/>
              <w:bidi w:val="0"/>
              <w:spacing w:before="0" w:after="283"/>
              <w:ind w:left="100" w:right="0" w:firstLine="100"/>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vAlign w:val="center"/>
          </w:tcPr>
          <w:p>
            <w:pPr>
              <w:pStyle w:val="TableContents"/>
              <w:bidi w:val="0"/>
              <w:spacing w:before="0" w:after="283"/>
              <w:ind w:left="100" w:right="0" w:firstLine="100"/>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2024 and in certain previous years, and other non-recurring legal and regulatory matters. Other non-core items also include non-recurring consulting fees associated with our 2024 Restructuring Plan, as well as professional fees related to financing, capital structure changes, and other non-recurring costs.</w:t>
      </w:r>
    </w:p>
    <w:p>
      <w:pPr>
        <w:pStyle w:val="TextBody"/>
        <w:bidi w:val="0"/>
        <w:jc w:val="left"/>
        <w:rPr/>
      </w:pPr>
      <w:r>
        <w:rPr/>
        <w:t> </w:t>
      </w:r>
    </w:p>
    <w:tbl>
      <w:tblPr>
        <w:tblW w:w="8172" w:type="dxa"/>
        <w:jc w:val="left"/>
        <w:tblInd w:w="0" w:type="dxa"/>
        <w:tblLayout w:type="fixed"/>
        <w:tblCellMar>
          <w:top w:w="28" w:type="dxa"/>
          <w:left w:w="28" w:type="dxa"/>
          <w:bottom w:w="28" w:type="dxa"/>
          <w:right w:w="28" w:type="dxa"/>
        </w:tblCellMar>
      </w:tblPr>
      <w:tblGrid>
        <w:gridCol w:w="5036"/>
        <w:gridCol w:w="546"/>
        <w:gridCol w:w="255"/>
        <w:gridCol w:w="581"/>
        <w:gridCol w:w="321"/>
        <w:gridCol w:w="297"/>
        <w:gridCol w:w="255"/>
        <w:gridCol w:w="690"/>
        <w:gridCol w:w="191"/>
      </w:tblGrid>
      <w:tr>
        <w:trPr/>
        <w:tc>
          <w:tcPr>
            <w:tcW w:w="5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97" w:type="dxa"/>
            <w:tcBorders/>
            <w:shd w:fill="CFF0FC" w:val="clear"/>
            <w:vAlign w:val="center"/>
          </w:tcPr>
          <w:p>
            <w:pPr>
              <w:pStyle w:val="TableContents"/>
              <w:bidi w:val="0"/>
              <w:spacing w:before="0" w:after="283"/>
              <w:ind w:left="100" w:right="0" w:firstLine="100"/>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91" w:type="dxa"/>
            <w:tcBorders/>
            <w:shd w:fill="CFF0FC" w:val="clear"/>
            <w:vAlign w:val="center"/>
          </w:tcPr>
          <w:p>
            <w:pPr>
              <w:pStyle w:val="TableContents"/>
              <w:bidi w:val="0"/>
              <w:spacing w:before="0" w:after="283"/>
              <w:jc w:val="left"/>
              <w:rPr/>
            </w:pPr>
            <w:r>
              <w:rPr/>
              <w:t> </w:t>
            </w:r>
          </w:p>
        </w:tc>
      </w:tr>
      <w:tr>
        <w:trPr/>
        <w:tc>
          <w:tcPr>
            <w:tcW w:w="503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fees for non-recurring strategic restructuring</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21" w:type="dxa"/>
            <w:tcBorders/>
            <w:shd w:fill="FFFFFF" w:val="clear"/>
            <w:vAlign w:val="center"/>
          </w:tcPr>
          <w:p>
            <w:pPr>
              <w:pStyle w:val="TableContents"/>
              <w:bidi w:val="0"/>
              <w:spacing w:before="0" w:after="283"/>
              <w:ind w:left="0" w:right="0" w:firstLine="100"/>
              <w:jc w:val="left"/>
              <w:rPr/>
            </w:pPr>
            <w:r>
              <w:rPr/>
              <w:t> </w:t>
            </w:r>
          </w:p>
        </w:tc>
        <w:tc>
          <w:tcPr>
            <w:tcW w:w="297" w:type="dxa"/>
            <w:tcBorders/>
            <w:shd w:fill="FFFFFF" w:val="clear"/>
            <w:vAlign w:val="center"/>
          </w:tcPr>
          <w:p>
            <w:pPr>
              <w:pStyle w:val="TableContents"/>
              <w:bidi w:val="0"/>
              <w:spacing w:before="0" w:after="283"/>
              <w:ind w:left="100" w:right="0" w:firstLine="100"/>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03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97" w:type="dxa"/>
            <w:tcBorders/>
            <w:shd w:fill="CFF0FC" w:val="clear"/>
            <w:vAlign w:val="center"/>
          </w:tcPr>
          <w:p>
            <w:pPr>
              <w:pStyle w:val="TableContents"/>
              <w:bidi w:val="0"/>
              <w:spacing w:before="0" w:after="283"/>
              <w:ind w:left="100" w:right="0" w:firstLine="100"/>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97" w:type="dxa"/>
            <w:tcBorders/>
            <w:shd w:fill="FFFFFF" w:val="clear"/>
            <w:vAlign w:val="center"/>
          </w:tcPr>
          <w:p>
            <w:pPr>
              <w:pStyle w:val="TableContents"/>
              <w:bidi w:val="0"/>
              <w:spacing w:before="0" w:after="283"/>
              <w:ind w:left="100" w:right="0" w:firstLine="100"/>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2024, we had $106.0 million of cash and cash equivalents, $189.2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including the acquisition of Carevoyance in January 2024, as well as debt services (see Note 9. </w:t>
      </w:r>
      <w:r>
        <w:rPr>
          <w:rFonts w:ascii="Times New Roman" w:hAnsi="Times New Roman"/>
          <w:i/>
          <w:color w:val="000000"/>
          <w:sz w:val="20"/>
        </w:rPr>
        <w:t>Long-Term Debt</w:t>
      </w:r>
      <w:r>
        <w:rPr>
          <w:rFonts w:ascii="Times New Roman" w:hAnsi="Times New Roman"/>
          <w:color w:val="000000"/>
          <w:sz w:val="20"/>
        </w:rPr>
        <w:t xml:space="preserve"> for further details) and distributions to members of Definitive OpCo. </w:t>
      </w:r>
    </w:p>
    <w:p>
      <w:pPr>
        <w:pStyle w:val="TextBody"/>
        <w:bidi w:val="0"/>
        <w:spacing w:before="120" w:after="283"/>
        <w:jc w:val="left"/>
        <w:rPr>
          <w:rFonts w:ascii="Times New Roman" w:hAnsi="Times New Roman"/>
          <w:sz w:val="20"/>
        </w:rPr>
      </w:pPr>
      <w:r>
        <w:rPr>
          <w:rFonts w:ascii="Times New Roman" w:hAnsi="Times New Roman"/>
          <w:color w:val="000000"/>
          <w:sz w:val="20"/>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hAnsi="Times New Roman"/>
          <w:color w:val="231F20"/>
          <w:sz w:val="20"/>
        </w:rPr>
        <w:t>’</w:t>
      </w:r>
      <w:r>
        <w:rPr>
          <w:rFonts w:ascii="Times New Roman" w:hAnsi="Times New Roman"/>
          <w:color w:val="000000"/>
          <w:sz w:val="20"/>
        </w:rPr>
        <w:t xml:space="preserve">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2023 Form 10-K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6642"/>
        <w:gridCol w:w="546"/>
        <w:gridCol w:w="211"/>
        <w:gridCol w:w="736"/>
        <w:gridCol w:w="266"/>
        <w:gridCol w:w="246"/>
        <w:gridCol w:w="211"/>
        <w:gridCol w:w="736"/>
        <w:gridCol w:w="611"/>
      </w:tblGrid>
      <w:tr>
        <w:trPr/>
        <w:tc>
          <w:tcPr>
            <w:tcW w:w="66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42"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2"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4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4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4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$16.6 million during the three months ended March 31, 2024, primarily as a result of a net loss of $12.7 million, offset by non-cash charges of $29.5 million. The non-cash charges were primarily comprised of equity compensation costs of $15.6 million, amortization of intangible assets of $12.1 million, amortization of deferred contract costs of $3.7 million, and a gain on remeasurement of the TRA of $2.3 million. The net decrease in operating assets and liabilities of $0.2 million for the three months ended March 31, 2024 was primarily driven by cash outflows resulting from lower accounts payable, accrued expenses, and other liabilities, collectively, of $8.2 million, an increase in deferred contract costs of $2.7 million, an increase in prepaid expenses and other assets of $1.4 million, and a $0.6 million payment of contingent consideration. These factors were almost entirely offset by an increase in deferred revenue of $9.7 million due to the timing of billings and cash received in advance of revenue recognition for subscription services, and a decrease in accounts receivable of $3.0 million.</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three months ended March 31, 2024 was $24.0 million, driven primarily by $83.8 million in purchases of short-term investments and $13.7 million in cash paid for the acquisition of Carevoyance, net of cash acquired, partially offset by $73.6 million in maturities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three months ended March 31, 2024 was $17.2 million, driven by payments of $7.0 million under the TRA, taxes paid related to the net share settlement of equity awards of $5.8 million, repayments of the 2021 Term Loan (as defined below) of $3.4 million, and payments of contingent consideration of $1.0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The 2021 Term Loan of $275.0 million has a maturity date of September 17, 2026. The 2021 Term Loan was recorded net of $3.5 million in issuance costs, which are amortized to interest expense over the term of the loan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$254.4 million outstanding on the 2021 Term Loan at March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Revolving Line of Credit is committed for $75.0 million and has a maturity date of September 17, 2026. There was no outstanding balance as of March 31, 2024. In September 2023, the lessor of the Company’s corporate headquarters transitioned from one entity to another. As a result, in December 2023, in lieu of a security deposit, the Company provided a standby letter of credit of $0.6 million, which reduces the amount available under our revolving credit facility to $74.4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2022, the Company amended the 2021 Credit Agreement to replace the LIBO rate with Term Secured Overnight Financing Rate (“SOFR”) plus an applicable 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includes certain financial covenants, and the Company was compliant with its financial covenants under the 2021 Credit Agreement as of March 31, 2024 and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the 2021 Term Loan, lease payments, and purchase obligations. There have been no material changes to our financing obligations during the three months ended March 31, 2024. Refer to Note 5. </w:t>
      </w:r>
      <w:r>
        <w:rPr>
          <w:rFonts w:ascii="Times New Roman" w:hAnsi="Times New Roman"/>
          <w:i/>
          <w:color w:val="000000"/>
          <w:sz w:val="20"/>
        </w:rPr>
        <w:t>Leases</w:t>
      </w:r>
      <w:r>
        <w:rPr>
          <w:rFonts w:ascii="Times New Roman" w:hAnsi="Times New Roman"/>
          <w:color w:val="000000"/>
          <w:sz w:val="20"/>
        </w:rPr>
        <w:t xml:space="preserve"> and Note 14. </w:t>
      </w:r>
      <w:r>
        <w:rPr>
          <w:rFonts w:ascii="Times New Roman" w:hAnsi="Times New Roman"/>
          <w:i/>
          <w:color w:val="000000"/>
          <w:sz w:val="20"/>
        </w:rPr>
        <w:t>Commitments and Contingencies</w:t>
      </w:r>
      <w:r>
        <w:rPr>
          <w:rFonts w:ascii="Times New Roman" w:hAnsi="Times New Roman"/>
          <w:color w:val="000000"/>
          <w:sz w:val="20"/>
        </w:rPr>
        <w:t xml:space="preserve"> in our Annual Report on Form 10-K filed with the SEC on February 28, 2024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our Board of Directors authorized a stock repurchase program of up to $20.0 million of our Class A Common Stock, which expires on December 31, 2024. Repurchases may be effected, from time to time, either on the open market (including pre-set trading plans), in privately negotiated transactions, and other transactions in accordance with applicable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May 7, 2024, no repurchases have been made pursuant to the repurchase program.</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hAnsi="Times New Roman"/>
          <w:i/>
          <w:color w:val="000000"/>
          <w:sz w:val="20"/>
        </w:rPr>
        <w:t>Income Taxes</w:t>
      </w:r>
      <w:r>
        <w:rPr>
          <w:rFonts w:ascii="Times New Roman" w:hAnsi="Times New Roman"/>
          <w:color w:val="000000"/>
          <w:sz w:val="20"/>
        </w:rPr>
        <w:t xml:space="preserve"> in our unaudited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requirement of our lease agreement for our corporate headquarters, in lieu of a security deposit, we provided a standby letter of credit of $0.6 million, which is effective through March 2038.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decreased by $1.1 million to $0.3 million for the three months ended March 31, 2024 compared to $1.3 million for the same period in the prior year, primarily driven by lower spend on historical data purchases in the current year compared with the comparable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interim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2023 included in our 2023 Form 10-K. There have been no material changes to these policies or estimates as of March 31, 2024. </w:t>
      </w:r>
    </w:p>
    <w:p>
      <w:pPr>
        <w:pStyle w:val="TextBody"/>
        <w:bidi w:val="0"/>
        <w:spacing w:before="240" w:after="283"/>
        <w:jc w:val="left"/>
        <w:rPr>
          <w:rFonts w:ascii="Times New Roman" w:hAnsi="Times New Roman"/>
          <w:sz w:val="20"/>
        </w:rPr>
      </w:pPr>
      <w:r>
        <w:rPr>
          <w:rFonts w:ascii="Times New Roman" w:hAnsi="Times New Roman"/>
          <w:b/>
          <w:i/>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new accounting pronouncements described under “—Adoption of Recently Issued Financial Accounting Standards” and “—Recently Issued Accounting Pronouncements Not Yet Adopted”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in the Notes to the unaudited interim condensed consolidated financial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represents the risk of loss that may impact our financial condition due to adverse changes in financial market prices and rates. Our market risk exposure is primarily a result of exposure due to potential changes in inflation, interest rates, or currency rates.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cash equivalents, and short-term investments primarily consist of cash on hand and highly liquid investments in money market funds, U.S. government securities, and commercial paper. As of March 31, 2024, we had cash and cash equivalents of $106.0 million and short-term investments of $189.2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swap agreement on a portion of our borrowings. As of March 31, 2024, the total principal balance outstanding was $254.4 million. Excluding the effect of the interest rate swap agreement, a hypothetical 1.0% increase or decrease in the interest rate associated with borrowings under the 2021 Credit Agreement would have resulted in an impact to interest expense of approximately $0.6 million for the three months ended March 31, 2024.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the period covered by this Quarterly Report, we carried out an evaluation, under the supervision and with the participation of our management, including our Interim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our management’s evaluation, management concluded that our disclosure controls and procedures were not effective as of March 31, 2024 as a result of the material weakness discussed below. Notwithstanding this material weakness, our management concluded that our condensed consolidated financial statements included in Part I, Item 1 of this Quarterly Report on Form 10-Q fairly present, in all material respects, our financial condition, results of operations and cash flows as of and for the periods presented in conformity with accounting principles generally accepted in the United States (“U.S.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a material weakness in the design of our controls over the collection and remittance of sales taxes, as well as the accurate recording of our sales tax obligations in the financial statements. This material weakness remains unremediated as of March 31, 2024. Management is taking steps to remediate this material weakness (see “Remediation Efforts to Address Material Weakness” below for details).</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Remediation Efforts to Address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identified material weakness, management, with the oversight of the Audit Committee of the Board of Directors, has designed and implemented measures to improve our internal control over financial reporting and remediate the material weakness. Our efforts include a number of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immediately engaged additional third-party tax experts to assist in the review of the classification for sales tax purposes of our existing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implemented additional sales tax nexus reviews, including controls over the monitoring of changes in our products and service offerings and identification of new and/or enhanced products and services, to put in place effective review controls over the classification of products and services for sales tax purposes;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implemented controls over the collection, control, and subsequent monitoring of applicable documentation of exempt status from customers in affected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Interim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 </w:t>
      </w:r>
    </w:p>
    <w:p>
      <w:pPr>
        <w:pStyle w:val="TextBody"/>
        <w:bidi w:val="0"/>
        <w:spacing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a more detailed discussion of our risks and uncertainties, see also Item 1A – Risk Factors in our 2023 Form 10-K. There have been no material changes in our risk factors since the filing of our 2023 Form 10-K.</w:t>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left"/>
        <w:rPr>
          <w:rFonts w:ascii="Times New Roman" w:hAnsi="Times New Roman"/>
          <w:b/>
          <w:color w:val="000000"/>
          <w:sz w:val="20"/>
        </w:rPr>
      </w:pPr>
      <w:bookmarkStart w:id="17" w:name="item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March 31, 2024 are as follows:</w:t>
      </w:r>
    </w:p>
    <w:tbl>
      <w:tblPr>
        <w:tblW w:w="4553" w:type="dxa"/>
        <w:jc w:val="left"/>
        <w:tblInd w:w="0" w:type="dxa"/>
        <w:tblLayout w:type="fixed"/>
        <w:tblCellMar>
          <w:top w:w="28" w:type="dxa"/>
          <w:left w:w="28" w:type="dxa"/>
          <w:bottom w:w="28" w:type="dxa"/>
          <w:right w:w="28" w:type="dxa"/>
        </w:tblCellMar>
      </w:tblPr>
      <w:tblGrid>
        <w:gridCol w:w="1606"/>
        <w:gridCol w:w="146"/>
        <w:gridCol w:w="462"/>
        <w:gridCol w:w="2148"/>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5, 2024</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2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2024</w:t>
            </w:r>
          </w:p>
        </w:tc>
        <w:tc>
          <w:tcPr>
            <w:tcW w:w="146"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2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2024</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2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4, 2024</w:t>
            </w:r>
          </w:p>
        </w:tc>
        <w:tc>
          <w:tcPr>
            <w:tcW w:w="146"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2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Departure of Directors or Certain Officers; Election of Directors; Appointment of Certain Officers; Compensatory Arrangements of Certain Officers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1, 2024, as part of its planning and organizational design with respect to its executive leadership team, the Company agreed with Jonathan Maack that the President position that he held would be eliminated. Accordingly, Mr. Maack will remain employed with the Company through May 31, 2024. Mr. Maack’s departure constitutes a termination of employment without “cause” for purposes of any employment, equity compensation, or benefit agreement, plan, or arrangement of the Company and its subsidiaries to which Mr. Maack is a party or otherwise participates. In addition, effective May 1, 2024, Kate Shamsuddin Jensen was appointed as the Company’s Chief Strategy Officer, transitioning from her prior role of Chief Product Officer.</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757"/>
        <w:gridCol w:w="146"/>
        <w:gridCol w:w="9302"/>
      </w:tblGrid>
      <w:tr>
        <w:trP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2" w:type="dxa"/>
            <w:tcBorders/>
            <w:vAlign w:val="center"/>
          </w:tcPr>
          <w:p>
            <w:pPr>
              <w:pStyle w:val="TableContents"/>
              <w:bidi w:val="0"/>
              <w:spacing w:before="0" w:after="283"/>
              <w:jc w:val="left"/>
              <w:rPr>
                <w:sz w:val="4"/>
                <w:szCs w:val="4"/>
              </w:rPr>
            </w:pPr>
            <w:r>
              <w:rPr>
                <w:sz w:val="4"/>
                <w:szCs w:val="4"/>
              </w:rPr>
            </w:r>
          </w:p>
        </w:tc>
      </w:tr>
      <w:tr>
        <w:trPr/>
        <w:tc>
          <w:tcPr>
            <w:tcW w:w="75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Separation Agreement and Release of Claims, dated as of January 12, 2024, by and between Definitive Healthcare Corp. and Robert Musslewhite (incorporated by reference to Exhibit 10.1 to the Company’s Current Report on Form 8-K (File No. 001-40815) filed with the SEC on January 16, 2024).</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6255" w:type="dxa"/>
        <w:jc w:val="left"/>
        <w:tblInd w:w="0" w:type="dxa"/>
        <w:tblLayout w:type="fixed"/>
        <w:tblCellMar>
          <w:top w:w="28" w:type="dxa"/>
          <w:left w:w="28" w:type="dxa"/>
          <w:bottom w:w="28" w:type="dxa"/>
          <w:right w:w="28" w:type="dxa"/>
        </w:tblCellMar>
      </w:tblPr>
      <w:tblGrid>
        <w:gridCol w:w="1156"/>
        <w:gridCol w:w="146"/>
        <w:gridCol w:w="406"/>
        <w:gridCol w:w="631"/>
        <w:gridCol w:w="391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5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4547" w:type="dxa"/>
            <w:gridSpan w:val="2"/>
            <w:tcBorders/>
            <w:vAlign w:val="center"/>
          </w:tcPr>
          <w:p>
            <w:pPr>
              <w:pStyle w:val="TableContents"/>
              <w:bidi w:val="0"/>
              <w:spacing w:before="0" w:after="283"/>
              <w:jc w:val="left"/>
              <w:rPr/>
            </w:pPr>
            <w:r>
              <w:rPr/>
              <w:t> </w:t>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47" w:type="dxa"/>
            <w:gridSpan w:val="2"/>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Jason Krantz</w:t>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and Executive</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Chairman (</w:t>
            </w:r>
            <w:r>
              <w:rPr>
                <w:rFonts w:ascii="Times New Roman" w:hAnsi="Times New Roman"/>
                <w:i/>
                <w:color w:val="000000"/>
                <w:sz w:val="20"/>
              </w:rPr>
              <w:t>Principal Executive Officer</w:t>
            </w:r>
            <w:r>
              <w:rPr>
                <w:rFonts w:ascii="Times New Roman" w:hAnsi="Times New Roman"/>
                <w:color w:val="000000"/>
                <w:sz w:val="20"/>
              </w:rPr>
              <w:t>)</w:t>
            </w:r>
          </w:p>
        </w:tc>
      </w:tr>
    </w:tbl>
    <w:tbl>
      <w:tblPr>
        <w:tblW w:w="6765" w:type="dxa"/>
        <w:jc w:val="left"/>
        <w:tblInd w:w="0" w:type="dxa"/>
        <w:tblLayout w:type="fixed"/>
        <w:tblCellMar>
          <w:top w:w="28" w:type="dxa"/>
          <w:left w:w="28" w:type="dxa"/>
          <w:bottom w:w="28" w:type="dxa"/>
          <w:right w:w="28" w:type="dxa"/>
        </w:tblCellMar>
      </w:tblPr>
      <w:tblGrid>
        <w:gridCol w:w="1156"/>
        <w:gridCol w:w="146"/>
        <w:gridCol w:w="406"/>
        <w:gridCol w:w="631"/>
        <w:gridCol w:w="442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57" w:type="dxa"/>
            <w:gridSpan w:val="2"/>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Richard Booth</w:t>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2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dh-ex31_1.htm"/>
      <w:bookmarkStart w:id="24" w:name="ksdhex31_1"/>
      <w:bookmarkEnd w:id="23"/>
      <w:bookmarkEnd w:id="24"/>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Krantz,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805" w:type="dxa"/>
        <w:jc w:val="left"/>
        <w:tblInd w:w="0" w:type="dxa"/>
        <w:tblLayout w:type="fixed"/>
        <w:tblCellMar>
          <w:top w:w="28" w:type="dxa"/>
          <w:left w:w="28" w:type="dxa"/>
          <w:bottom w:w="28" w:type="dxa"/>
          <w:right w:w="28" w:type="dxa"/>
        </w:tblCellMar>
      </w:tblPr>
      <w:tblGrid>
        <w:gridCol w:w="556"/>
        <w:gridCol w:w="1201"/>
        <w:gridCol w:w="146"/>
        <w:gridCol w:w="146"/>
        <w:gridCol w:w="4756"/>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Krantz</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and Interim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dh-ex31_2.htm"/>
      <w:bookmarkStart w:id="26" w:name="ksdhex31_2"/>
      <w:bookmarkEnd w:id="25"/>
      <w:bookmarkEnd w:id="26"/>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Booth,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424" w:type="dxa"/>
        <w:jc w:val="left"/>
        <w:tblInd w:w="0" w:type="dxa"/>
        <w:tblLayout w:type="fixed"/>
        <w:tblCellMar>
          <w:top w:w="28" w:type="dxa"/>
          <w:left w:w="28" w:type="dxa"/>
          <w:bottom w:w="28" w:type="dxa"/>
          <w:right w:w="28" w:type="dxa"/>
        </w:tblCellMar>
      </w:tblPr>
      <w:tblGrid>
        <w:gridCol w:w="556"/>
        <w:gridCol w:w="120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dh-ex32_1.htm"/>
      <w:bookmarkStart w:id="28" w:name="ksdhex32_1"/>
      <w:bookmarkEnd w:id="27"/>
      <w:bookmarkEnd w:id="28"/>
      <w:r>
        <w:rPr>
          <w:rFonts w:ascii="Times New Roman" w:hAnsi="Times New Roman"/>
          <w:b/>
          <w:color w:val="000000"/>
          <w:sz w:val="20"/>
        </w:rPr>
        <w:t>Exhibit 32.1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Definitive Healthcare Corp. (the “Company”) for the quarterly period ended March 31, 2024 as filed with the Securities and Exchange Commission on the date hereof (the “Report”), Jason Krantz, Executive Chairman and Interim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2024</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Krantz</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and Interim Chief Executive Officer</w:t>
            </w:r>
          </w:p>
        </w:tc>
      </w:tr>
      <w:tr>
        <w:trPr/>
        <w:tc>
          <w:tcPr>
            <w:tcW w:w="47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 </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3_1.htm" TargetMode="External"/><Relationship Id="rId3" Type="http://schemas.openxmlformats.org/officeDocument/2006/relationships/hyperlink" Target="https://www.sec.gov/Archives/edgar/data/1861795/000095017021003484/dh-ex3_2.htm" TargetMode="External"/><Relationship Id="rId4" Type="http://schemas.openxmlformats.org/officeDocument/2006/relationships/hyperlink" Target="https://www.sec.gov/Archives/edgar/data/1861795/000119312524008562/d683059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22704</Words>
  <Characters>127488</Characters>
  <CharactersWithSpaces>150949</CharactersWithSpaces>
  <Paragraphs>5510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