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60226.htm"/>
      <w:bookmarkStart w:id="1" w:name="ksdh20260226"/>
      <w:bookmarkEnd w:id="0"/>
      <w:bookmarkEnd w:id="1"/>
      <w:r>
        <w:rPr>
          <w:rFonts w:ascii="Times New Roman" w:hAnsi="Times New Roman"/>
          <w:b/>
          <w:color w:val="000000"/>
          <w:sz w:val="20"/>
        </w:rPr>
        <w:t>As filed with the Securities and Exchange Commission on February 26, 2026</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color w:val="000000"/>
          <w:sz w:val="20"/>
        </w:rPr>
        <w:t>Registration No. 333-   </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b/>
          <w:color w:val="000000"/>
          <w:sz w:val="32"/>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2"/>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2"/>
        </w:rPr>
        <w:t>THE SECURITIES ACT OF 1933</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b/>
          <w:color w:val="000000"/>
          <w:sz w:val="44"/>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336" w:type="dxa"/>
        <w:jc w:val="left"/>
        <w:tblInd w:w="0" w:type="dxa"/>
        <w:tblLayout w:type="fixed"/>
        <w:tblCellMar>
          <w:top w:w="28" w:type="dxa"/>
          <w:left w:w="28" w:type="dxa"/>
          <w:bottom w:w="28" w:type="dxa"/>
          <w:right w:w="28" w:type="dxa"/>
        </w:tblCellMar>
      </w:tblPr>
      <w:tblGrid>
        <w:gridCol w:w="1981"/>
        <w:gridCol w:w="109"/>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86-3988281</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Identification No.)</w:t>
            </w:r>
          </w:p>
        </w:tc>
      </w:tr>
    </w:tbl>
    <w:tbl>
      <w:tblPr>
        <w:tblW w:w="3786" w:type="dxa"/>
        <w:jc w:val="left"/>
        <w:tblInd w:w="0" w:type="dxa"/>
        <w:tblLayout w:type="fixed"/>
        <w:tblCellMar>
          <w:top w:w="28" w:type="dxa"/>
          <w:left w:w="28" w:type="dxa"/>
          <w:bottom w:w="28" w:type="dxa"/>
          <w:right w:w="28" w:type="dxa"/>
        </w:tblCellMar>
      </w:tblPr>
      <w:tblGrid>
        <w:gridCol w:w="2896"/>
        <w:gridCol w:w="109"/>
        <w:gridCol w:w="781"/>
      </w:tblGrid>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8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492 Old Connecticut Path, Suite 401</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Framingham, MA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01701</w:t>
            </w:r>
          </w:p>
        </w:tc>
      </w:tr>
      <w:tr>
        <w:trPr/>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18"/>
        </w:rPr>
        <w:t>Definitive Healthcare Corp. 2021 Equity Incentive Plan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(Full Title of Plans)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Jonathan Paris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Chief Legal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492 Old Connecticut Path, Suite 401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Framingham, MA 01701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(508) 720-4224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(Name, Address, Including Zip Code, and Telephone Number, Including Area Code, of Agent For Service)</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sz w:val="20"/>
        </w:rPr>
      </w:pPr>
      <w:r>
        <w:rPr>
          <w:rFonts w:ascii="Times New Roman" w:hAnsi="Times New Roman"/>
          <w:b/>
          <w:i/>
          <w:color w:val="000000"/>
          <w:sz w:val="18"/>
        </w:rPr>
        <w:t>Copies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Richard Aftanas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Hogan Lovells US LLP</w:t>
      </w:r>
    </w:p>
    <w:p>
      <w:pPr>
        <w:pStyle w:val="TextBody"/>
        <w:bidi w:val="0"/>
        <w:jc w:val="center"/>
        <w:rPr>
          <w:rFonts w:ascii="Times New Roman" w:hAnsi="Times New Roman"/>
          <w:sz w:val="20"/>
        </w:rPr>
      </w:pPr>
      <w:r>
        <w:rPr>
          <w:rFonts w:ascii="Times New Roman" w:hAnsi="Times New Roman"/>
          <w:b/>
          <w:color w:val="000000"/>
          <w:sz w:val="18"/>
        </w:rPr>
        <w:t>390 Madison Avenue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New York, NY 10017</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(212) 918-3000</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236" w:type="dxa"/>
        <w:jc w:val="left"/>
        <w:tblInd w:w="0" w:type="dxa"/>
        <w:tblLayout w:type="fixed"/>
        <w:tblCellMar>
          <w:top w:w="28" w:type="dxa"/>
          <w:left w:w="28" w:type="dxa"/>
          <w:bottom w:w="28" w:type="dxa"/>
          <w:right w:w="28" w:type="dxa"/>
        </w:tblCellMar>
      </w:tblPr>
      <w:tblGrid>
        <w:gridCol w:w="1921"/>
        <w:gridCol w:w="109"/>
        <w:gridCol w:w="316"/>
        <w:gridCol w:w="109"/>
        <w:gridCol w:w="2311"/>
        <w:gridCol w:w="109"/>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pBdr>
          <w:bottom w:val="single" w:sz="8" w:space="1" w:color="000000"/>
        </w:pBdr>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doub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Registration Statement is being filed for the purpose of increasing the number of securities of the same class as other securities for which Registration Statements of Definitive Healthcare Corp. (the “Registrant”) on Form S-8 relating to the same employee benefit plan are effective. Pursuant to General Instruction E of Form S-8, the Registrant is filing this Registration Statement with the Securities and Exchange Commission (the “Commission”) to register 5,201,047 additional shares of its Class A Common Stock, par value $0.001 per share (“Common Stock”), that were automatically added to the shares authorized for issuance under the Registrant’s 2021 Equity Incentive Plan (“2021 Plan”). </w:t>
      </w:r>
    </w:p>
    <w:p>
      <w:pPr>
        <w:pStyle w:val="TextBody"/>
        <w:bidi w:val="0"/>
        <w:spacing w:before="240" w:after="283"/>
        <w:jc w:val="left"/>
        <w:rPr/>
      </w:pPr>
      <w:r>
        <w:rPr>
          <w:rFonts w:ascii="Times New Roman" w:hAnsi="Times New Roman"/>
          <w:color w:val="000000"/>
          <w:sz w:val="20"/>
        </w:rPr>
        <w:t xml:space="preserve">The Registrant previously registered shares of its Common Stock for issuance under the 2021 Plan under Registration Statements on Form S-8 filed with the Commission on </w:t>
      </w:r>
      <w:hyperlink r:id="rId2">
        <w:r>
          <w:rPr>
            <w:rStyle w:val="InternetLink"/>
            <w:rFonts w:ascii="Times New Roman" w:hAnsi="Times New Roman"/>
            <w:color w:val="0000FF"/>
            <w:sz w:val="20"/>
            <w:u w:val="single"/>
          </w:rPr>
          <w:t>September 14, 2021</w:t>
        </w:r>
      </w:hyperlink>
      <w:r>
        <w:rPr>
          <w:rFonts w:ascii="Times New Roman" w:hAnsi="Times New Roman"/>
          <w:color w:val="000000"/>
          <w:sz w:val="20"/>
        </w:rPr>
        <w:t xml:space="preserve"> (File No. 333-259535), </w:t>
      </w:r>
      <w:hyperlink r:id="rId3">
        <w:r>
          <w:rPr>
            <w:rStyle w:val="InternetLink"/>
            <w:rFonts w:ascii="Times New Roman" w:hAnsi="Times New Roman"/>
            <w:color w:val="0000FF"/>
            <w:sz w:val="20"/>
            <w:u w:val="single"/>
          </w:rPr>
          <w:t>February 27, 2023</w:t>
        </w:r>
      </w:hyperlink>
      <w:r>
        <w:rPr>
          <w:rFonts w:ascii="Times New Roman" w:hAnsi="Times New Roman"/>
          <w:color w:val="000000"/>
          <w:sz w:val="20"/>
        </w:rPr>
        <w:t xml:space="preserve"> (File No. 333-270059), </w:t>
      </w:r>
      <w:hyperlink r:id="rId4">
        <w:r>
          <w:rPr>
            <w:rStyle w:val="InternetLink"/>
            <w:rFonts w:ascii="Times New Roman" w:hAnsi="Times New Roman"/>
            <w:color w:val="0000FF"/>
            <w:sz w:val="20"/>
            <w:u w:val="single"/>
          </w:rPr>
          <w:t>February 29, 2024</w:t>
        </w:r>
      </w:hyperlink>
      <w:r>
        <w:rPr>
          <w:rFonts w:ascii="Times New Roman" w:hAnsi="Times New Roman"/>
          <w:color w:val="000000"/>
          <w:sz w:val="20"/>
        </w:rPr>
        <w:t xml:space="preserve"> (File No. 333-277492), and </w:t>
      </w:r>
      <w:hyperlink r:id="rId5">
        <w:r>
          <w:rPr>
            <w:rStyle w:val="InternetLink"/>
            <w:rFonts w:ascii="Times New Roman" w:hAnsi="Times New Roman"/>
            <w:color w:val="0000FF"/>
            <w:sz w:val="20"/>
            <w:u w:val="single"/>
          </w:rPr>
          <w:t>February 27, 2025</w:t>
        </w:r>
      </w:hyperlink>
      <w:r>
        <w:rPr>
          <w:rFonts w:ascii="Times New Roman" w:hAnsi="Times New Roman"/>
          <w:color w:val="000000"/>
          <w:sz w:val="20"/>
        </w:rPr>
        <w:t xml:space="preserve"> (File No. 333-285354) (collectively, the “Prior 2021 Plan Registration Statements”). Pursuant to General Instruction E to Form S-8, this Registration Statement hereby incorporates by reference the contents of the Prior 2021 Plan Registration Statements. </w:t>
      </w:r>
    </w:p>
    <w:p>
      <w:pPr>
        <w:pStyle w:val="TextBody"/>
        <w:bidi w:val="0"/>
        <w:spacing w:before="48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3. Incorporation of Documents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documents, which have been filed with the Commission by the Registrant, pursuant to the Securities Act, and the Securities Exchange Act of 1934, as amended (the “Exchange Act”), as applicable, are hereby incorporated by reference in, and shall be deemed to be a part of, this Registration Statement: </w:t>
      </w:r>
    </w:p>
    <w:p>
      <w:pPr>
        <w:pStyle w:val="TextBody"/>
        <w:bidi w:val="0"/>
        <w:spacing w:before="240" w:after="283"/>
        <w:jc w:val="left"/>
        <w:rPr/>
      </w:pPr>
      <w:r>
        <w:rPr>
          <w:rFonts w:ascii="Times New Roman" w:hAnsi="Times New Roman"/>
          <w:b/>
          <w:color w:val="000000"/>
          <w:sz w:val="20"/>
        </w:rPr>
        <w:t>(a)</w:t>
      </w:r>
      <w:r>
        <w:rPr>
          <w:rFonts w:ascii="Times New Roman" w:hAnsi="Times New Roman"/>
          <w:color w:val="000000"/>
          <w:sz w:val="20"/>
        </w:rPr>
        <w:t xml:space="preserve"> The Registrant’s Annual Report on </w:t>
      </w:r>
      <w:hyperlink r:id="rId6">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2025, filed with the Commission on February 26, 2026, which includes audited financial statements for the Registrant’s latest fiscal year. </w:t>
      </w:r>
    </w:p>
    <w:p>
      <w:pPr>
        <w:pStyle w:val="TextBody"/>
        <w:bidi w:val="0"/>
        <w:spacing w:before="120" w:after="283"/>
        <w:jc w:val="left"/>
        <w:rPr/>
      </w:pPr>
      <w:r>
        <w:rPr>
          <w:rFonts w:ascii="Times New Roman" w:hAnsi="Times New Roman"/>
          <w:b/>
          <w:color w:val="000000"/>
          <w:sz w:val="20"/>
        </w:rPr>
        <w:t>(b)</w:t>
      </w:r>
      <w:r>
        <w:rPr>
          <w:rFonts w:ascii="Times New Roman" w:hAnsi="Times New Roman"/>
          <w:color w:val="000000"/>
          <w:sz w:val="20"/>
        </w:rPr>
        <w:t xml:space="preserve"> The description of the Common Stock contained in the Registrant’s Registration Statement on </w:t>
      </w:r>
      <w:hyperlink r:id="rId7">
        <w:r>
          <w:rPr>
            <w:rStyle w:val="InternetLink"/>
            <w:rFonts w:ascii="Times New Roman" w:hAnsi="Times New Roman"/>
            <w:color w:val="0000EE"/>
            <w:sz w:val="20"/>
            <w:u w:val="single"/>
          </w:rPr>
          <w:t>Form 8-A</w:t>
        </w:r>
      </w:hyperlink>
      <w:r>
        <w:rPr>
          <w:rFonts w:ascii="Times New Roman" w:hAnsi="Times New Roman"/>
          <w:color w:val="000000"/>
          <w:sz w:val="20"/>
        </w:rPr>
        <w:t xml:space="preserve"> filed on September 15, 2021 (File No. 001-40815) under the Exchange Act, including any amendment or report filed for the purpose of updating such description, including </w:t>
      </w:r>
      <w:hyperlink r:id="rId8">
        <w:r>
          <w:rPr>
            <w:rStyle w:val="InternetLink"/>
            <w:rFonts w:ascii="Times New Roman" w:hAnsi="Times New Roman"/>
            <w:color w:val="0000EE"/>
            <w:sz w:val="20"/>
            <w:u w:val="single"/>
          </w:rPr>
          <w:t>Exhibit 4.1</w:t>
        </w:r>
      </w:hyperlink>
      <w:r>
        <w:rPr>
          <w:rFonts w:ascii="Times New Roman" w:hAnsi="Times New Roman"/>
          <w:color w:val="000000"/>
          <w:sz w:val="20"/>
        </w:rPr>
        <w:t xml:space="preserve"> of the Registrant’s Annual Report on Form 10-K for the fiscal year ended December 31, 2021, filed with the Commission on March 15, 2022, including any amendment or report filed for the purpose of updating such description. </w:t>
      </w:r>
    </w:p>
    <w:p>
      <w:pPr>
        <w:pStyle w:val="TextBody"/>
        <w:bidi w:val="0"/>
        <w:spacing w:before="120" w:after="283"/>
        <w:jc w:val="left"/>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Exhibit 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27"/>
        <w:gridCol w:w="146"/>
        <w:gridCol w:w="9332"/>
      </w:tblGrid>
      <w:tr>
        <w:trPr/>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2" w:type="dxa"/>
            <w:tcBorders/>
            <w:vAlign w:val="center"/>
          </w:tcPr>
          <w:p>
            <w:pPr>
              <w:pStyle w:val="TableContents"/>
              <w:bidi w:val="0"/>
              <w:spacing w:before="0" w:after="283"/>
              <w:jc w:val="left"/>
              <w:rPr>
                <w:sz w:val="4"/>
                <w:szCs w:val="4"/>
              </w:rPr>
            </w:pPr>
            <w:r>
              <w:rPr>
                <w:sz w:val="4"/>
                <w:szCs w:val="4"/>
              </w:rPr>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7"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0"/>
              <w:jc w:val="center"/>
              <w:rPr/>
            </w:pPr>
            <w:r>
              <w:rPr/>
              <w:t> </w:t>
            </w:r>
          </w:p>
        </w:tc>
        <w:tc>
          <w:tcPr>
            <w:tcW w:w="9332"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Description</w:t>
            </w:r>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EE"/>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EE"/>
                  <w:sz w:val="20"/>
                  <w:u w:val="single"/>
                </w:rPr>
                <w:t>Amended and Restated Bylaws of Definitive Healthcare Corp. (incorporated by reference to Exhibit 3.2 to the Company’s Quarterly Report on Form 10-Q (File No. 001-40815) filed with the SEC on November 8, 2021).</w:t>
              </w:r>
            </w:hyperlink>
            <w:hyperlink r:id="rId11">
              <w:r>
                <w:rPr>
                  <w:rStyle w:val="InternetLink"/>
                  <w:rFonts w:ascii="Times New Roman" w:hAnsi="Times New Roman"/>
                  <w:color w:val="0000EE"/>
                  <w:sz w:val="20"/>
                </w:rPr>
                <w:t xml:space="preserve"> </w:t>
              </w:r>
            </w:hyperlink>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The Definitive Healthcare Corp. 2021 Equity Incentive Plan (incorporated by reference to Exhibit 10.12 of the Registrant’s Annual Report on Form 10-K (File No. 001-40815) filed with the SEC on March 15, 2022).</w:t>
              </w:r>
            </w:hyperlink>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hyperlink w:anchor="dh-ex5_1.htm">
              <w:r>
                <w:rPr>
                  <w:rStyle w:val="InternetLink"/>
                  <w:rFonts w:ascii="Times New Roman" w:hAnsi="Times New Roman"/>
                  <w:color w:val="0000FF"/>
                  <w:sz w:val="20"/>
                  <w:u w:val="single"/>
                </w:rPr>
                <w:t>Legal Opinion of Hogan Lovells US LLP.</w:t>
              </w:r>
            </w:hyperlink>
            <w:hyperlink w:anchor="dh-ex5_1.htm">
              <w:r>
                <w:rPr>
                  <w:rStyle w:val="InternetLink"/>
                  <w:rFonts w:ascii="Times New Roman" w:hAnsi="Times New Roman"/>
                  <w:color w:val="0000FF"/>
                  <w:sz w:val="20"/>
                </w:rPr>
                <w:t xml:space="preserve"> </w:t>
              </w:r>
            </w:hyperlink>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hyperlink w:anchor="dh-ex23_1.htm">
              <w:r>
                <w:rPr>
                  <w:rStyle w:val="InternetLink"/>
                  <w:rFonts w:ascii="Times New Roman" w:hAnsi="Times New Roman"/>
                  <w:color w:val="0000FF"/>
                  <w:sz w:val="20"/>
                  <w:u w:val="single"/>
                </w:rPr>
                <w:t>Consent of Deloitte &amp; Touche LLP, Independent Registered Public Accounting Firm</w:t>
              </w:r>
            </w:hyperlink>
            <w:hyperlink w:anchor="dh-ex23_1.htm">
              <w:r>
                <w:rPr>
                  <w:rStyle w:val="InternetLink"/>
                  <w:rFonts w:ascii="Times New Roman" w:hAnsi="Times New Roman"/>
                  <w:color w:val="0000FF"/>
                  <w:sz w:val="20"/>
                </w:rPr>
                <w:t xml:space="preserve"> </w:t>
              </w:r>
            </w:hyperlink>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hyperlink w:anchor="dh-ex5_1.htm">
              <w:r>
                <w:rPr>
                  <w:rStyle w:val="InternetLink"/>
                  <w:rFonts w:ascii="Times New Roman" w:hAnsi="Times New Roman"/>
                  <w:color w:val="0000FF"/>
                  <w:sz w:val="20"/>
                  <w:u w:val="single"/>
                </w:rPr>
                <w:t>Consent of Hogan Lovells US LLP (included in Exhibit No. 5.1).</w:t>
              </w:r>
            </w:hyperlink>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signature page to this Registration Statement).</w:t>
              </w:r>
            </w:hyperlink>
            <w:hyperlink w:anchor="signatures">
              <w:r>
                <w:rPr>
                  <w:rStyle w:val="InternetLink"/>
                  <w:rFonts w:ascii="Times New Roman" w:hAnsi="Times New Roman"/>
                  <w:color w:val="0000FF"/>
                  <w:sz w:val="20"/>
                </w:rPr>
                <w:t xml:space="preserve"> </w:t>
              </w:r>
            </w:hyperlink>
          </w:p>
        </w:tc>
      </w:tr>
      <w:tr>
        <w:trPr/>
        <w:tc>
          <w:tcPr>
            <w:tcW w:w="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2" w:type="dxa"/>
            <w:tcBorders/>
            <w:tcMar>
              <w:top w:w="0" w:type="dxa"/>
              <w:left w:w="0" w:type="dxa"/>
              <w:bottom w:w="0" w:type="dxa"/>
              <w:right w:w="0" w:type="dxa"/>
            </w:tcMar>
            <w:vAlign w:val="center"/>
          </w:tcPr>
          <w:p>
            <w:pPr>
              <w:pStyle w:val="TableContents"/>
              <w:bidi w:val="0"/>
              <w:spacing w:before="0" w:after="283"/>
              <w:jc w:val="left"/>
              <w:rPr/>
            </w:pPr>
            <w:hyperlink w:anchor="dh_exfilingfees.htm">
              <w:r>
                <w:rPr>
                  <w:rStyle w:val="InternetLink"/>
                  <w:rFonts w:ascii="Times New Roman" w:hAnsi="Times New Roman"/>
                  <w:color w:val="0000FF"/>
                  <w:sz w:val="20"/>
                  <w:u w:val="single"/>
                </w:rPr>
                <w:t>Filing Fee Table.</w:t>
              </w:r>
            </w:hyperlink>
          </w:p>
        </w:tc>
      </w:tr>
    </w:tbl>
    <w:tbl>
      <w:tblPr>
        <w:tblW w:w="1592" w:type="dxa"/>
        <w:jc w:val="left"/>
        <w:tblInd w:w="0" w:type="dxa"/>
        <w:tblLayout w:type="fixed"/>
        <w:tblCellMar>
          <w:top w:w="28" w:type="dxa"/>
          <w:left w:w="28" w:type="dxa"/>
          <w:bottom w:w="28" w:type="dxa"/>
          <w:right w:w="28" w:type="dxa"/>
        </w:tblCellMar>
      </w:tblPr>
      <w:tblGrid>
        <w:gridCol w:w="226"/>
        <w:gridCol w:w="1366"/>
      </w:tblGrid>
      <w:tr>
        <w:trPr/>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Filed herewith </w:t>
            </w:r>
          </w:p>
        </w:tc>
      </w:tr>
    </w:tbl>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ignatures"/>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Framingham, Commonwealth of Massachusetts, on February 26, 2026. </w:t>
      </w:r>
    </w:p>
    <w:tbl>
      <w:tblPr>
        <w:tblW w:w="3375" w:type="dxa"/>
        <w:jc w:val="left"/>
        <w:tblInd w:w="0" w:type="dxa"/>
        <w:tblLayout w:type="fixed"/>
        <w:tblCellMar>
          <w:top w:w="28" w:type="dxa"/>
          <w:left w:w="28" w:type="dxa"/>
          <w:bottom w:w="28" w:type="dxa"/>
          <w:right w:w="28" w:type="dxa"/>
        </w:tblCellMar>
      </w:tblPr>
      <w:tblGrid>
        <w:gridCol w:w="778"/>
        <w:gridCol w:w="175"/>
        <w:gridCol w:w="2422"/>
      </w:tblGrid>
      <w:tr>
        <w:trPr/>
        <w:tc>
          <w:tcPr>
            <w:tcW w:w="7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24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DEFINITIVE HEALTHCARE CORP.</w:t>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25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5"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2"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of the undersigned constitutes and appoints each of Kevin Coop and Casey Heller, or any of them, each acting alone, his or her true and lawful attorney-in-fact and agent, with full power of substitution and resubstitution, for such person and in his or her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substitute or substitutes,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this Registration Statement has been signed by the following persons in the capacities and on the dates indicated. </w:t>
      </w:r>
    </w:p>
    <w:p>
      <w:pPr>
        <w:pStyle w:val="TextBody"/>
        <w:bidi w:val="0"/>
        <w:spacing w:before="240" w:after="283"/>
        <w:jc w:val="left"/>
        <w:rPr/>
      </w:pPr>
      <w:r>
        <w:rPr/>
        <w:t> </w:t>
      </w:r>
    </w:p>
    <w:tbl>
      <w:tblPr>
        <w:tblW w:w="10150" w:type="dxa"/>
        <w:jc w:val="left"/>
        <w:tblInd w:w="0" w:type="dxa"/>
        <w:tblLayout w:type="fixed"/>
        <w:tblCellMar>
          <w:top w:w="28" w:type="dxa"/>
          <w:left w:w="28" w:type="dxa"/>
          <w:bottom w:w="28" w:type="dxa"/>
          <w:right w:w="28" w:type="dxa"/>
        </w:tblCellMar>
      </w:tblPr>
      <w:tblGrid>
        <w:gridCol w:w="1996"/>
        <w:gridCol w:w="146"/>
        <w:gridCol w:w="6226"/>
        <w:gridCol w:w="146"/>
        <w:gridCol w:w="163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Kevin Coop</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Kevin Coop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Casey Heller</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Casey Heller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Jason Krantz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Sastry Chilukuri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Sastry Chilukuri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Chris Egan</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 Egan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Samuel A. Hamood</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Samuel A. Hamood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Jeff Haywood</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Jeff Haywood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Scott Stephenson</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Scott Stephenson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Kathleen A. Winters</w:t>
            </w:r>
          </w:p>
        </w:tc>
        <w:tc>
          <w:tcPr>
            <w:tcW w:w="146" w:type="dxa"/>
            <w:tcBorders>
              <w:bottom w:val="single" w:sz="2"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Kathleen A. Winters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Lauren Young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Lauren Young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 w:name="dh-ex5_1.htm"/>
      <w:bookmarkStart w:id="4" w:name="ksdhex5_1"/>
      <w:bookmarkEnd w:id="3"/>
      <w:bookmarkEnd w:id="4"/>
      <w:r>
        <w:rPr>
          <w:rFonts w:ascii="Times New Roman" w:hAnsi="Times New Roman"/>
          <w:b/>
          <w:color w:val="000000"/>
          <w:sz w:val="22"/>
        </w:rPr>
        <w:t>Exhibit 5.1</w:t>
      </w:r>
      <w:r>
        <w:br w:type="page"/>
      </w:r>
    </w:p>
    <w:p>
      <w:pPr>
        <w:pStyle w:val="TextBody"/>
        <w:bidi w:val="0"/>
        <w:jc w:val="left"/>
        <w:rPr/>
      </w:pPr>
      <w:r>
        <w:rPr/>
        <w:t> </w:t>
      </w:r>
    </w:p>
    <w:p>
      <w:pPr>
        <w:pStyle w:val="TextBody"/>
        <w:bidi w:val="0"/>
        <w:jc w:val="right"/>
        <w:rPr/>
      </w:pPr>
      <w:r>
        <w:rPr/>
        <w:t> </w:t>
      </w:r>
    </w:p>
    <w:tbl>
      <w:tblPr>
        <w:tblW w:w="3342" w:type="dxa"/>
        <w:jc w:val="left"/>
        <w:tblInd w:w="0" w:type="dxa"/>
        <w:tblLayout w:type="fixed"/>
        <w:tblCellMar>
          <w:top w:w="28" w:type="dxa"/>
          <w:left w:w="28" w:type="dxa"/>
          <w:bottom w:w="28" w:type="dxa"/>
          <w:right w:w="28" w:type="dxa"/>
        </w:tblCellMar>
      </w:tblPr>
      <w:tblGrid>
        <w:gridCol w:w="1526"/>
        <w:gridCol w:w="1816"/>
      </w:tblGrid>
      <w:tr>
        <w:trPr/>
        <w:tc>
          <w:tcPr>
            <w:tcW w:w="152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52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048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904875" cy="904875"/>
                          </a:xfrm>
                          <a:prstGeom prst="rect">
                            <a:avLst/>
                          </a:prstGeom>
                        </pic:spPr>
                      </pic:pic>
                    </a:graphicData>
                  </a:graphic>
                </wp:inline>
              </w:drawing>
            </w:r>
          </w:p>
        </w:tc>
        <w:tc>
          <w:tcPr>
            <w:tcW w:w="1816" w:type="dxa"/>
            <w:tcBorders/>
            <w:tcMar>
              <w:top w:w="0" w:type="dxa"/>
              <w:left w:w="0" w:type="dxa"/>
              <w:bottom w:w="0" w:type="dxa"/>
              <w:right w:w="0" w:type="dxa"/>
            </w:tcMar>
            <w:vAlign w:val="center"/>
          </w:tcPr>
          <w:p>
            <w:pPr>
              <w:pStyle w:val="TableContents"/>
              <w:bidi w:val="0"/>
              <w:jc w:val="left"/>
              <w:rPr>
                <w:rFonts w:ascii="Arial" w:hAnsi="Arial"/>
                <w:color w:val="000000"/>
                <w:sz w:val="16"/>
              </w:rPr>
            </w:pPr>
            <w:r>
              <w:rPr>
                <w:rFonts w:ascii="Arial" w:hAnsi="Arial"/>
                <w:color w:val="000000"/>
                <w:sz w:val="16"/>
              </w:rPr>
              <w:t>Hogan Lovells US LLP</w:t>
            </w:r>
          </w:p>
          <w:p>
            <w:pPr>
              <w:pStyle w:val="TableContents"/>
              <w:bidi w:val="0"/>
              <w:jc w:val="left"/>
              <w:rPr>
                <w:rFonts w:ascii="Arial" w:hAnsi="Arial"/>
                <w:color w:val="000000"/>
                <w:sz w:val="16"/>
              </w:rPr>
            </w:pPr>
            <w:r>
              <w:rPr>
                <w:rFonts w:ascii="Arial" w:hAnsi="Arial"/>
                <w:color w:val="000000"/>
                <w:sz w:val="16"/>
              </w:rPr>
              <w:t>390 Madison Avenue</w:t>
            </w:r>
          </w:p>
          <w:p>
            <w:pPr>
              <w:pStyle w:val="TableContents"/>
              <w:bidi w:val="0"/>
              <w:jc w:val="left"/>
              <w:rPr>
                <w:rFonts w:ascii="Arial" w:hAnsi="Arial"/>
                <w:color w:val="000000"/>
                <w:sz w:val="16"/>
              </w:rPr>
            </w:pPr>
            <w:r>
              <w:rPr>
                <w:rFonts w:ascii="Arial" w:hAnsi="Arial"/>
                <w:color w:val="000000"/>
                <w:sz w:val="16"/>
              </w:rPr>
              <w:t>New York, NY 10017</w:t>
            </w:r>
          </w:p>
          <w:p>
            <w:pPr>
              <w:pStyle w:val="TableContents"/>
              <w:bidi w:val="0"/>
              <w:jc w:val="left"/>
              <w:rPr>
                <w:rFonts w:ascii="Arial" w:hAnsi="Arial"/>
                <w:color w:val="000000"/>
                <w:sz w:val="16"/>
              </w:rPr>
            </w:pPr>
            <w:r>
              <w:rPr>
                <w:rFonts w:ascii="Arial" w:hAnsi="Arial"/>
                <w:color w:val="000000"/>
                <w:sz w:val="16"/>
              </w:rPr>
              <w:t>T +1 212 918 3000</w:t>
            </w:r>
          </w:p>
          <w:p>
            <w:pPr>
              <w:pStyle w:val="TableContents"/>
              <w:bidi w:val="0"/>
              <w:jc w:val="left"/>
              <w:rPr>
                <w:rFonts w:ascii="Arial" w:hAnsi="Arial"/>
                <w:color w:val="000000"/>
                <w:sz w:val="16"/>
              </w:rPr>
            </w:pPr>
            <w:r>
              <w:rPr>
                <w:rFonts w:ascii="Arial" w:hAnsi="Arial"/>
                <w:color w:val="000000"/>
                <w:sz w:val="16"/>
              </w:rPr>
              <w:t>F +1 212 918 3100</w:t>
            </w:r>
          </w:p>
          <w:p>
            <w:pPr>
              <w:pStyle w:val="TableContents"/>
              <w:bidi w:val="0"/>
              <w:spacing w:before="0" w:after="283"/>
              <w:jc w:val="left"/>
              <w:rPr>
                <w:rFonts w:ascii="Arial" w:hAnsi="Arial"/>
                <w:color w:val="000000"/>
                <w:sz w:val="16"/>
              </w:rPr>
            </w:pPr>
            <w:r>
              <w:rPr>
                <w:rFonts w:ascii="Arial" w:hAnsi="Arial"/>
                <w:color w:val="000000"/>
                <w:sz w:val="16"/>
              </w:rPr>
              <w:t>www.hoganlovells.com</w:t>
            </w:r>
          </w:p>
        </w:tc>
      </w:tr>
      <w:tr>
        <w:trPr/>
        <w:tc>
          <w:tcPr>
            <w:tcW w:w="1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 w:hAnsi="Arial"/>
          <w:color w:val="000000"/>
          <w:sz w:val="21"/>
        </w:rPr>
      </w:pPr>
      <w:r>
        <w:rPr>
          <w:rFonts w:ascii="Arial" w:hAnsi="Arial"/>
          <w:color w:val="000000"/>
          <w:sz w:val="21"/>
        </w:rPr>
        <w:t>February 26, 2026</w:t>
      </w:r>
    </w:p>
    <w:p>
      <w:pPr>
        <w:pStyle w:val="TextBody"/>
        <w:bidi w:val="0"/>
        <w:jc w:val="both"/>
        <w:rPr>
          <w:rFonts w:ascii="Arial" w:hAnsi="Arial"/>
          <w:color w:val="000000"/>
          <w:sz w:val="21"/>
        </w:rPr>
      </w:pPr>
      <w:r>
        <w:rPr>
          <w:rFonts w:ascii="Arial" w:hAnsi="Arial"/>
          <w:color w:val="000000"/>
          <w:sz w:val="21"/>
        </w:rPr>
        <w:t>Board of Directors</w:t>
      </w:r>
    </w:p>
    <w:p>
      <w:pPr>
        <w:pStyle w:val="TextBody"/>
        <w:bidi w:val="0"/>
        <w:jc w:val="both"/>
        <w:rPr>
          <w:rFonts w:ascii="Arial" w:hAnsi="Arial"/>
          <w:color w:val="000000"/>
          <w:sz w:val="21"/>
        </w:rPr>
      </w:pPr>
      <w:r>
        <w:rPr>
          <w:rFonts w:ascii="Arial" w:hAnsi="Arial"/>
          <w:color w:val="000000"/>
          <w:sz w:val="21"/>
        </w:rPr>
        <w:t>Definitive Healthcare Corp.</w:t>
      </w:r>
    </w:p>
    <w:p>
      <w:pPr>
        <w:pStyle w:val="TextBody"/>
        <w:bidi w:val="0"/>
        <w:jc w:val="both"/>
        <w:rPr>
          <w:rFonts w:ascii="Arial" w:hAnsi="Arial"/>
          <w:color w:val="000000"/>
          <w:sz w:val="21"/>
        </w:rPr>
      </w:pPr>
      <w:r>
        <w:rPr>
          <w:rFonts w:ascii="Arial" w:hAnsi="Arial"/>
          <w:color w:val="000000"/>
          <w:sz w:val="21"/>
        </w:rPr>
        <w:t>492 Old Connecticut Path, Suite 401</w:t>
      </w:r>
    </w:p>
    <w:p>
      <w:pPr>
        <w:pStyle w:val="TextBody"/>
        <w:bidi w:val="0"/>
        <w:jc w:val="both"/>
        <w:rPr>
          <w:rFonts w:ascii="Times New Roman" w:hAnsi="Times New Roman"/>
          <w:sz w:val="20"/>
        </w:rPr>
      </w:pPr>
      <w:r>
        <w:rPr>
          <w:rFonts w:ascii="Arial" w:hAnsi="Arial"/>
          <w:color w:val="000000"/>
          <w:sz w:val="21"/>
        </w:rPr>
        <w:t>Framingham, MA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Ladies and Gentlemen:</w:t>
      </w:r>
    </w:p>
    <w:p>
      <w:pPr>
        <w:pStyle w:val="TextBody"/>
        <w:bidi w:val="0"/>
        <w:spacing w:before="0" w:after="240"/>
        <w:jc w:val="both"/>
        <w:rPr>
          <w:rFonts w:ascii="Times New Roman" w:hAnsi="Times New Roman"/>
          <w:sz w:val="20"/>
        </w:rPr>
      </w:pPr>
      <w:r>
        <w:rPr>
          <w:rFonts w:ascii="Arial" w:hAnsi="Arial"/>
          <w:color w:val="000000"/>
          <w:sz w:val="21"/>
        </w:rPr>
        <w:t>We are acting as counsel to Definitive Healthcare Corp., a Delaware corporation (the “</w:t>
      </w:r>
      <w:r>
        <w:rPr>
          <w:rFonts w:ascii="Arial" w:hAnsi="Arial"/>
          <w:b/>
          <w:color w:val="000000"/>
          <w:sz w:val="21"/>
        </w:rPr>
        <w:t>Company</w:t>
      </w:r>
      <w:r>
        <w:rPr>
          <w:rFonts w:ascii="Times New Roman" w:hAnsi="Times New Roman"/>
          <w:color w:val="000000"/>
          <w:sz w:val="20"/>
        </w:rPr>
        <w:t>”</w:t>
      </w:r>
      <w:r>
        <w:rPr>
          <w:rFonts w:ascii="Arial" w:hAnsi="Arial"/>
          <w:color w:val="000000"/>
          <w:sz w:val="21"/>
        </w:rPr>
        <w:t>), in connection with its registration statement on Form S</w:t>
        <w:noBreakHyphen/>
        <w:t>8 (the “</w:t>
      </w:r>
      <w:r>
        <w:rPr>
          <w:rFonts w:ascii="Arial" w:hAnsi="Arial"/>
          <w:b/>
          <w:color w:val="000000"/>
          <w:sz w:val="21"/>
        </w:rPr>
        <w:t>Registration Statement</w:t>
      </w:r>
      <w:r>
        <w:rPr>
          <w:rFonts w:ascii="Times New Roman" w:hAnsi="Times New Roman"/>
          <w:color w:val="000000"/>
          <w:sz w:val="20"/>
        </w:rPr>
        <w:t>”</w:t>
      </w:r>
      <w:r>
        <w:rPr>
          <w:rFonts w:ascii="Arial" w:hAnsi="Arial"/>
          <w:color w:val="000000"/>
          <w:sz w:val="21"/>
        </w:rPr>
        <w:t>), filed with the Securities and Exchange Commission under the Securities Act of 1933, as amended (the “</w:t>
      </w:r>
      <w:r>
        <w:rPr>
          <w:rFonts w:ascii="Arial" w:hAnsi="Arial"/>
          <w:b/>
          <w:color w:val="000000"/>
          <w:sz w:val="21"/>
        </w:rPr>
        <w:t>Act</w:t>
      </w:r>
      <w:r>
        <w:rPr>
          <w:rFonts w:ascii="Times New Roman" w:hAnsi="Times New Roman"/>
          <w:color w:val="000000"/>
          <w:sz w:val="20"/>
        </w:rPr>
        <w:t>”</w:t>
      </w:r>
      <w:r>
        <w:rPr>
          <w:rFonts w:ascii="Arial" w:hAnsi="Arial"/>
          <w:color w:val="000000"/>
          <w:sz w:val="21"/>
        </w:rPr>
        <w:t>), relating to the proposed offering of up to 5,201,047 additional shares of its Class A Common Stock of common stock, par value $0.001 per share (the “</w:t>
      </w:r>
      <w:r>
        <w:rPr>
          <w:rFonts w:ascii="Arial" w:hAnsi="Arial"/>
          <w:b/>
          <w:color w:val="000000"/>
          <w:sz w:val="21"/>
        </w:rPr>
        <w:t>Shares</w:t>
      </w:r>
      <w:r>
        <w:rPr>
          <w:rFonts w:ascii="Times New Roman" w:hAnsi="Times New Roman"/>
          <w:color w:val="000000"/>
          <w:sz w:val="20"/>
        </w:rPr>
        <w:t>”</w:t>
      </w:r>
      <w:r>
        <w:rPr>
          <w:rFonts w:ascii="Arial" w:hAnsi="Arial"/>
          <w:color w:val="000000"/>
          <w:sz w:val="21"/>
        </w:rPr>
        <w:t>), of the Company issuable pursuant to the Definitive Healthcare Corp. 2021 Equity Incentive Plan (the “</w:t>
      </w:r>
      <w:r>
        <w:rPr>
          <w:rFonts w:ascii="Arial" w:hAnsi="Arial"/>
          <w:b/>
          <w:color w:val="000000"/>
          <w:sz w:val="21"/>
        </w:rPr>
        <w:t>2021 Plan</w:t>
      </w:r>
      <w:r>
        <w:rPr>
          <w:rFonts w:ascii="Times New Roman" w:hAnsi="Times New Roman"/>
          <w:color w:val="000000"/>
          <w:sz w:val="20"/>
        </w:rPr>
        <w:t>”</w:t>
      </w:r>
      <w:r>
        <w:rPr>
          <w:rFonts w:ascii="Arial" w:hAnsi="Arial"/>
          <w:color w:val="000000"/>
          <w:sz w:val="21"/>
        </w:rPr>
        <w:t>). This opinion letter is furnished to you at your request to enable you to fulfill the requirements of Item 601(b)(5) of Regulation S</w:t>
        <w:noBreakHyphen/>
        <w:t>K, 17 C.F.R. § 229.601(b)(5), in connection with the Registration Statement.</w:t>
      </w:r>
    </w:p>
    <w:p>
      <w:pPr>
        <w:pStyle w:val="TextBody"/>
        <w:bidi w:val="0"/>
        <w:spacing w:before="0" w:after="240"/>
        <w:jc w:val="both"/>
        <w:rPr>
          <w:rFonts w:ascii="Times New Roman" w:hAnsi="Times New Roman"/>
          <w:sz w:val="20"/>
        </w:rPr>
      </w:pPr>
      <w:r>
        <w:rPr>
          <w:rFonts w:ascii="Arial" w:hAnsi="Arial"/>
          <w:color w:val="000000"/>
          <w:sz w:val="21"/>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This opinion letter is based as to matters of law solely on the Delaware General Corporation Law, as amended. We express no opinion herein as to any other statutes, rules or regulations.</w:t>
      </w:r>
      <w:r>
        <w:rPr>
          <w:rFonts w:ascii="Times New Roman" w:hAnsi="Times New Roman"/>
          <w:color w:val="000000"/>
          <w:sz w:val="20"/>
        </w:rPr>
        <w:t xml:space="preserve"> </w:t>
      </w:r>
    </w:p>
    <w:p>
      <w:pPr>
        <w:pStyle w:val="TextBody"/>
        <w:bidi w:val="0"/>
        <w:spacing w:before="0" w:after="240"/>
        <w:jc w:val="both"/>
        <w:rPr>
          <w:rFonts w:ascii="Arial" w:hAnsi="Arial"/>
          <w:color w:val="000000"/>
          <w:sz w:val="21"/>
        </w:rPr>
      </w:pPr>
      <w:r>
        <w:rPr>
          <w:rFonts w:ascii="Arial" w:hAnsi="Arial"/>
          <w:color w:val="000000"/>
          <w:sz w:val="21"/>
        </w:rPr>
        <w:t>Based upon, subject to and limited by the foregoing, we are of the opinion that following (i) effectiveness of the Registration Statement, (ii) issuance of the Shares pursuant to the terms of the 2021 Plan, and (iii) receipt by the Company of the consideration for the Shares specified in the applicable resolutions of the Board of Directors (or a duly authorized committee thereof) and in the 2021 Plan, the Shares will be validly issued, fully paid, and nonassessable.</w:t>
      </w:r>
    </w:p>
    <w:p>
      <w:pPr>
        <w:pStyle w:val="TextBody"/>
        <w:bidi w:val="0"/>
        <w:spacing w:before="0" w:after="240"/>
        <w:jc w:val="both"/>
        <w:rPr>
          <w:rFonts w:ascii="Arial" w:hAnsi="Arial"/>
          <w:color w:val="000000"/>
          <w:sz w:val="21"/>
        </w:rPr>
      </w:pPr>
      <w:r>
        <w:rPr>
          <w:rFonts w:ascii="Arial" w:hAnsi="Arial"/>
          <w:color w:val="000000"/>
          <w:sz w:val="21"/>
        </w:rPr>
        <w:t>This opinion letter has been prepared for use in connection with the Registration Statement. We assume no obligation to advise of any changes in the foregoing subsequent to the effective date of the Registration Statement.</w:t>
      </w:r>
    </w:p>
    <w:p>
      <w:pPr>
        <w:pStyle w:val="TextBody"/>
        <w:bidi w:val="0"/>
        <w:jc w:val="both"/>
        <w:rPr>
          <w:rFonts w:ascii="Arial" w:hAnsi="Arial"/>
          <w:color w:val="000000"/>
          <w:sz w:val="21"/>
        </w:rPr>
      </w:pPr>
      <w:r>
        <w:rPr>
          <w:rFonts w:ascii="Arial" w:hAnsi="Arial"/>
          <w:color w:val="000000"/>
          <w:sz w:val="21"/>
        </w:rPr>
        <w:t>We hereby consent to the filing of this opinion letter as Exhibit 5.1 to the Registration Statement. In giving this consent, we do not thereby admit that we are an “expert” within the meaning of the Act.</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Very truly yours,</w:t>
      </w:r>
    </w:p>
    <w:p>
      <w:pPr>
        <w:pStyle w:val="TextBody"/>
        <w:bidi w:val="0"/>
        <w:jc w:val="left"/>
        <w:rPr/>
      </w:pPr>
      <w:r>
        <w:rPr/>
        <w:t> </w:t>
      </w:r>
    </w:p>
    <w:p>
      <w:pPr>
        <w:pStyle w:val="TextBody"/>
        <w:bidi w:val="0"/>
        <w:jc w:val="left"/>
        <w:rPr>
          <w:rFonts w:ascii="Arial" w:hAnsi="Arial"/>
          <w:i/>
          <w:color w:val="000000"/>
          <w:sz w:val="21"/>
        </w:rPr>
      </w:pPr>
      <w:r>
        <w:rPr>
          <w:rFonts w:ascii="Arial" w:hAnsi="Arial"/>
          <w:i/>
          <w:color w:val="000000"/>
          <w:sz w:val="21"/>
        </w:rPr>
        <w:t>/s/ Hogan Lovells US LLP</w:t>
      </w:r>
    </w:p>
    <w:p>
      <w:pPr>
        <w:pStyle w:val="TextBody"/>
        <w:bidi w:val="0"/>
        <w:jc w:val="left"/>
        <w:rPr>
          <w:rFonts w:ascii="Arial" w:hAnsi="Arial"/>
          <w:color w:val="000000"/>
          <w:sz w:val="21"/>
        </w:rPr>
      </w:pPr>
      <w:r>
        <w:rPr>
          <w:rFonts w:ascii="Arial" w:hAnsi="Arial"/>
          <w:color w:val="000000"/>
          <w:sz w:val="21"/>
        </w:rPr>
        <w:t>HOGAN LOVELLS US LLP</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 w:name="dh-ex23_1.htm"/>
      <w:bookmarkStart w:id="6" w:name="ksdhex23_1"/>
      <w:bookmarkEnd w:id="5"/>
      <w:bookmarkEnd w:id="6"/>
      <w:r>
        <w:rPr>
          <w:rFonts w:ascii="Times New Roman" w:hAnsi="Times New Roman"/>
          <w:b/>
          <w:color w:val="000000"/>
          <w:sz w:val="22"/>
        </w:rPr>
        <w:t>Exhibit 23.1</w:t>
      </w:r>
      <w:r>
        <w:br w:type="page"/>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160"/>
        <w:jc w:val="left"/>
        <w:rPr>
          <w:rFonts w:ascii="Times New Roman" w:hAnsi="Times New Roman"/>
          <w:sz w:val="20"/>
        </w:rPr>
      </w:pPr>
      <w:r>
        <w:rPr>
          <w:rFonts w:ascii="Times New Roman" w:hAnsi="Times New Roman"/>
          <w:color w:val="000000"/>
          <w:sz w:val="22"/>
        </w:rPr>
        <w:t>We consent to the incorporation by reference in this Registration Statement on Form S-8 of our reports dated February 26, 2026 relating to the financial statements of Definitive Healthcare Corp. and the effectiveness of Definitive Healthcare Corp.'s internal control over financial reporting, appearing in the Annual Report on Form 10-K of Definitive Healthcare Corp. for the year ended December 31, 2025.</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rFonts w:ascii="Times New Roman" w:hAnsi="Times New Roman"/>
          <w:i/>
          <w:color w:val="000000"/>
          <w:sz w:val="22"/>
        </w:rPr>
      </w:pPr>
      <w:r>
        <w:rPr>
          <w:rFonts w:ascii="Times New Roman" w:hAnsi="Times New Roman"/>
          <w:i/>
          <w:color w:val="000000"/>
          <w:sz w:val="22"/>
        </w:rPr>
        <w:t>/s/ Deloitte &amp; Touche LLP</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Boston, Massachusetts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February 26,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dh_exfilingfees.htm"/>
      <w:bookmarkStart w:id="8" w:name="ksdh_exfilingfees"/>
      <w:bookmarkEnd w:id="7"/>
      <w:bookmarkEnd w:id="8"/>
      <w:r>
        <w:rPr>
          <w:rFonts w:ascii="Times New Roman" w:hAnsi="Times New Roman"/>
          <w:b/>
          <w:color w:val="000000"/>
          <w:sz w:val="20"/>
        </w:rPr>
        <w:t>Exhibit 107</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Calculation of Filing Fee Table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0"/>
          <w:u w:val="single"/>
        </w:rPr>
        <w:t>(Form Type)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p>
      <w:pPr>
        <w:pStyle w:val="TextBody"/>
        <w:bidi w:val="0"/>
        <w:spacing w:before="240" w:after="283"/>
        <w:jc w:val="center"/>
        <w:rPr>
          <w:rFonts w:ascii="Times New Roman" w:hAnsi="Times New Roman"/>
          <w:sz w:val="20"/>
        </w:rPr>
      </w:pPr>
      <w:r>
        <w:rPr>
          <w:rFonts w:ascii="Times New Roman" w:hAnsi="Times New Roman"/>
          <w:color w:val="000000"/>
          <w:sz w:val="20"/>
          <w:u w:val="single"/>
        </w:rPr>
        <w:t>Table 1: Newly Registered Securities</w:t>
      </w:r>
      <w:r>
        <w:rPr>
          <w:rFonts w:ascii="Times New Roman" w:hAnsi="Times New Roman"/>
          <w:color w:val="000000"/>
          <w:sz w:val="20"/>
        </w:rPr>
        <w:t xml:space="preserve"> </w:t>
      </w:r>
    </w:p>
    <w:tbl>
      <w:tblPr>
        <w:tblW w:w="9250" w:type="dxa"/>
        <w:jc w:val="left"/>
        <w:tblInd w:w="0" w:type="dxa"/>
        <w:tblLayout w:type="fixed"/>
        <w:tblCellMar>
          <w:top w:w="28" w:type="dxa"/>
          <w:left w:w="28" w:type="dxa"/>
          <w:bottom w:w="28" w:type="dxa"/>
          <w:right w:w="28" w:type="dxa"/>
        </w:tblCellMar>
      </w:tblPr>
      <w:tblGrid>
        <w:gridCol w:w="676"/>
        <w:gridCol w:w="146"/>
        <w:gridCol w:w="1336"/>
        <w:gridCol w:w="146"/>
        <w:gridCol w:w="811"/>
        <w:gridCol w:w="146"/>
        <w:gridCol w:w="1096"/>
        <w:gridCol w:w="146"/>
        <w:gridCol w:w="946"/>
        <w:gridCol w:w="146"/>
        <w:gridCol w:w="1291"/>
        <w:gridCol w:w="146"/>
        <w:gridCol w:w="1096"/>
        <w:gridCol w:w="146"/>
        <w:gridCol w:w="976"/>
      </w:tblGrid>
      <w:tr>
        <w:trPr/>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op w:val="single" w:sz="6" w:space="0" w:color="000000"/>
              <w:left w:val="single" w:sz="6" w:space="0" w:color="000000"/>
            </w:tcBorders>
            <w:tcMar>
              <w:left w:w="168"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Security</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Type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op w:val="single" w:sz="6" w:space="0" w:color="000000"/>
            </w:tcBorders>
            <w:tcMar>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Security Class</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Title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6" w:space="0" w:color="000000"/>
            </w:tcBorders>
            <w:tcMar>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Fee</w:t>
            </w:r>
          </w:p>
          <w:p>
            <w:pPr>
              <w:pStyle w:val="TableContents"/>
              <w:bidi w:val="0"/>
              <w:jc w:val="center"/>
              <w:rPr>
                <w:rFonts w:ascii="Times New Roman" w:hAnsi="Times New Roman"/>
                <w:b/>
                <w:color w:val="000000"/>
                <w:sz w:val="14"/>
              </w:rPr>
            </w:pPr>
            <w:r>
              <w:rPr>
                <w:rFonts w:ascii="Times New Roman" w:hAnsi="Times New Roman"/>
                <w:b/>
                <w:color w:val="000000"/>
                <w:sz w:val="14"/>
              </w:rPr>
              <w:t>Calculation</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Rule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6" w:space="0" w:color="000000"/>
            </w:tcBorders>
            <w:tcMar>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Amount</w:t>
            </w:r>
          </w:p>
          <w:p>
            <w:pPr>
              <w:pStyle w:val="TableContents"/>
              <w:bidi w:val="0"/>
              <w:spacing w:before="0" w:after="20"/>
              <w:jc w:val="center"/>
              <w:rPr>
                <w:rFonts w:ascii="Times New Roman" w:hAnsi="Times New Roman"/>
                <w:sz w:val="14"/>
              </w:rPr>
            </w:pPr>
            <w:r>
              <w:rPr>
                <w:rFonts w:ascii="Times New Roman" w:hAnsi="Times New Roman"/>
                <w:b/>
                <w:color w:val="000000"/>
                <w:sz w:val="14"/>
              </w:rPr>
              <w:t>Registered</w:t>
            </w:r>
            <w:r>
              <w:rPr>
                <w:rFonts w:ascii="Times New Roman" w:hAnsi="Times New Roman"/>
                <w:b/>
                <w:color w:val="000000"/>
                <w:sz w:val="9"/>
              </w:rPr>
              <w:t>(1)</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6" w:space="0" w:color="000000"/>
            </w:tcBorders>
            <w:tcMar>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Proposed</w:t>
            </w:r>
          </w:p>
          <w:p>
            <w:pPr>
              <w:pStyle w:val="TableContents"/>
              <w:bidi w:val="0"/>
              <w:jc w:val="center"/>
              <w:rPr>
                <w:rFonts w:ascii="Times New Roman" w:hAnsi="Times New Roman"/>
                <w:b/>
                <w:color w:val="000000"/>
                <w:sz w:val="14"/>
              </w:rPr>
            </w:pPr>
            <w:r>
              <w:rPr>
                <w:rFonts w:ascii="Times New Roman" w:hAnsi="Times New Roman"/>
                <w:b/>
                <w:color w:val="000000"/>
                <w:sz w:val="14"/>
              </w:rPr>
              <w:t>Maximum</w:t>
            </w:r>
          </w:p>
          <w:p>
            <w:pPr>
              <w:pStyle w:val="TableContents"/>
              <w:bidi w:val="0"/>
              <w:jc w:val="center"/>
              <w:rPr>
                <w:rFonts w:ascii="Times New Roman" w:hAnsi="Times New Roman"/>
                <w:b/>
                <w:color w:val="000000"/>
                <w:sz w:val="14"/>
              </w:rPr>
            </w:pPr>
            <w:r>
              <w:rPr>
                <w:rFonts w:ascii="Times New Roman" w:hAnsi="Times New Roman"/>
                <w:b/>
                <w:color w:val="000000"/>
                <w:sz w:val="14"/>
              </w:rPr>
              <w:t>Offering Price</w:t>
            </w:r>
          </w:p>
          <w:p>
            <w:pPr>
              <w:pStyle w:val="TableContents"/>
              <w:bidi w:val="0"/>
              <w:spacing w:before="0" w:after="20"/>
              <w:jc w:val="center"/>
              <w:rPr>
                <w:rFonts w:ascii="Times New Roman" w:hAnsi="Times New Roman"/>
                <w:sz w:val="14"/>
              </w:rPr>
            </w:pPr>
            <w:r>
              <w:rPr>
                <w:rFonts w:ascii="Times New Roman" w:hAnsi="Times New Roman"/>
                <w:b/>
                <w:color w:val="000000"/>
                <w:sz w:val="14"/>
              </w:rPr>
              <w:t>Per Unit</w:t>
            </w:r>
            <w:r>
              <w:rPr>
                <w:rFonts w:ascii="Times New Roman" w:hAnsi="Times New Roman"/>
                <w:b/>
                <w:color w:val="000000"/>
                <w:sz w:val="9"/>
              </w:rPr>
              <w:t>(2)</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6" w:space="0" w:color="000000"/>
            </w:tcBorders>
            <w:tcMar>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Maximum</w:t>
            </w:r>
          </w:p>
          <w:p>
            <w:pPr>
              <w:pStyle w:val="TableContents"/>
              <w:bidi w:val="0"/>
              <w:jc w:val="center"/>
              <w:rPr>
                <w:rFonts w:ascii="Times New Roman" w:hAnsi="Times New Roman"/>
                <w:b/>
                <w:color w:val="000000"/>
                <w:sz w:val="14"/>
              </w:rPr>
            </w:pPr>
            <w:r>
              <w:rPr>
                <w:rFonts w:ascii="Times New Roman" w:hAnsi="Times New Roman"/>
                <w:b/>
                <w:color w:val="000000"/>
                <w:sz w:val="14"/>
              </w:rPr>
              <w:t>Aggregate</w:t>
            </w:r>
          </w:p>
          <w:p>
            <w:pPr>
              <w:pStyle w:val="TableContents"/>
              <w:bidi w:val="0"/>
              <w:jc w:val="center"/>
              <w:rPr>
                <w:rFonts w:ascii="Times New Roman" w:hAnsi="Times New Roman"/>
                <w:b/>
                <w:color w:val="000000"/>
                <w:sz w:val="14"/>
              </w:rPr>
            </w:pPr>
            <w:r>
              <w:rPr>
                <w:rFonts w:ascii="Times New Roman" w:hAnsi="Times New Roman"/>
                <w:b/>
                <w:color w:val="000000"/>
                <w:sz w:val="14"/>
              </w:rPr>
              <w:t>Offering</w:t>
            </w:r>
          </w:p>
          <w:p>
            <w:pPr>
              <w:pStyle w:val="TableContents"/>
              <w:bidi w:val="0"/>
              <w:spacing w:before="0" w:after="20"/>
              <w:jc w:val="center"/>
              <w:rPr>
                <w:rFonts w:ascii="Times New Roman" w:hAnsi="Times New Roman"/>
                <w:sz w:val="14"/>
              </w:rPr>
            </w:pPr>
            <w:r>
              <w:rPr>
                <w:rFonts w:ascii="Times New Roman" w:hAnsi="Times New Roman"/>
                <w:b/>
                <w:color w:val="000000"/>
                <w:sz w:val="14"/>
              </w:rPr>
              <w:t>Price</w:t>
            </w:r>
            <w:r>
              <w:rPr>
                <w:rFonts w:ascii="Times New Roman" w:hAnsi="Times New Roman"/>
                <w:b/>
                <w:color w:val="000000"/>
                <w:sz w:val="9"/>
              </w:rPr>
              <w:t>(2)</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 Rate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6" w:space="0" w:color="000000"/>
              <w:right w:val="single" w:sz="6" w:space="0" w:color="000000"/>
            </w:tcBorders>
            <w:tcMar>
              <w:left w:w="0" w:type="dxa"/>
              <w:bottom w:w="0" w:type="dxa"/>
              <w:right w:w="48"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Amount of</w:t>
            </w:r>
          </w:p>
          <w:p>
            <w:pPr>
              <w:pStyle w:val="TableContents"/>
              <w:bidi w:val="0"/>
              <w:jc w:val="center"/>
              <w:rPr>
                <w:rFonts w:ascii="Times New Roman" w:hAnsi="Times New Roman"/>
                <w:b/>
                <w:color w:val="000000"/>
                <w:sz w:val="14"/>
              </w:rPr>
            </w:pPr>
            <w:r>
              <w:rPr>
                <w:rFonts w:ascii="Times New Roman" w:hAnsi="Times New Roman"/>
                <w:b/>
                <w:color w:val="000000"/>
                <w:sz w:val="14"/>
              </w:rPr>
              <w:t>Registration</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Fee</w:t>
            </w:r>
          </w:p>
        </w:tc>
      </w:tr>
      <w:tr>
        <w:trPr/>
        <w:tc>
          <w:tcPr>
            <w:tcW w:w="676" w:type="dxa"/>
            <w:tcBorders>
              <w:top w:val="single" w:sz="6" w:space="0" w:color="000000"/>
              <w:left w:val="single" w:sz="6" w:space="0" w:color="000000"/>
            </w:tcBorders>
            <w:tcMar>
              <w:left w:w="168"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336" w:type="dxa"/>
            <w:tcBorders>
              <w:top w:val="single" w:sz="6" w:space="0" w:color="000000"/>
            </w:tcBorders>
            <w:tcMar>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Class A</w:t>
            </w:r>
          </w:p>
          <w:p>
            <w:pPr>
              <w:pStyle w:val="TableContents"/>
              <w:bidi w:val="0"/>
              <w:jc w:val="center"/>
              <w:rPr>
                <w:rFonts w:ascii="Times New Roman" w:hAnsi="Times New Roman"/>
                <w:color w:val="000000"/>
                <w:sz w:val="20"/>
              </w:rPr>
            </w:pPr>
            <w:r>
              <w:rPr>
                <w:rFonts w:ascii="Times New Roman" w:hAnsi="Times New Roman"/>
                <w:color w:val="000000"/>
                <w:sz w:val="20"/>
              </w:rPr>
              <w:t>common stock,</w:t>
            </w:r>
          </w:p>
          <w:p>
            <w:pPr>
              <w:pStyle w:val="TableContents"/>
              <w:bidi w:val="0"/>
              <w:jc w:val="center"/>
              <w:rPr>
                <w:rFonts w:ascii="Times New Roman" w:hAnsi="Times New Roman"/>
                <w:color w:val="000000"/>
                <w:sz w:val="20"/>
              </w:rPr>
            </w:pPr>
            <w:r>
              <w:rPr>
                <w:rFonts w:ascii="Times New Roman" w:hAnsi="Times New Roman"/>
                <w:color w:val="000000"/>
                <w:sz w:val="20"/>
              </w:rPr>
              <w:t>par value</w:t>
            </w:r>
          </w:p>
          <w:p>
            <w:pPr>
              <w:pStyle w:val="TableContents"/>
              <w:bidi w:val="0"/>
              <w:jc w:val="center"/>
              <w:rPr>
                <w:rFonts w:ascii="Times New Roman" w:hAnsi="Times New Roman"/>
                <w:color w:val="000000"/>
                <w:sz w:val="20"/>
              </w:rPr>
            </w:pPr>
            <w:r>
              <w:rPr>
                <w:rFonts w:ascii="Times New Roman" w:hAnsi="Times New Roman"/>
                <w:color w:val="000000"/>
                <w:sz w:val="20"/>
              </w:rPr>
              <w:t>$0.001 per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share</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81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09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5,201,047</w:t>
            </w:r>
            <w:r>
              <w:rPr>
                <w:rFonts w:ascii="Times New Roman" w:hAnsi="Times New Roman"/>
                <w:color w:val="000000"/>
                <w:sz w:val="13"/>
              </w:rPr>
              <w:t>(3)</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94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29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$7,489,507.68</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096"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0.00013810</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976" w:type="dxa"/>
            <w:tcBorders>
              <w:top w:val="single" w:sz="6" w:space="0" w:color="000000"/>
              <w:right w:val="single" w:sz="6" w:space="0" w:color="000000"/>
            </w:tcBorders>
            <w:tcMar>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$1,034.31</w:t>
            </w:r>
          </w:p>
        </w:tc>
      </w:tr>
      <w:tr>
        <w:trPr/>
        <w:tc>
          <w:tcPr>
            <w:tcW w:w="4357" w:type="dxa"/>
            <w:gridSpan w:val="7"/>
            <w:tcBorders>
              <w:top w:val="single" w:sz="6" w:space="0" w:color="000000"/>
              <w:left w:val="single" w:sz="6" w:space="0" w:color="000000"/>
            </w:tcBorders>
            <w:tcMar>
              <w:left w:w="168"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Offering Amounts</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6"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$7,489,507.68</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6" w:space="0" w:color="000000"/>
              <w:right w:val="single" w:sz="6" w:space="0" w:color="000000"/>
            </w:tcBorders>
            <w:tcMar>
              <w:left w:w="0" w:type="dxa"/>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$1,034.31</w:t>
            </w:r>
          </w:p>
        </w:tc>
      </w:tr>
      <w:tr>
        <w:trPr/>
        <w:tc>
          <w:tcPr>
            <w:tcW w:w="4357" w:type="dxa"/>
            <w:gridSpan w:val="7"/>
            <w:tcBorders>
              <w:top w:val="single" w:sz="6" w:space="0" w:color="000000"/>
              <w:left w:val="single" w:sz="6" w:space="0" w:color="000000"/>
            </w:tcBorders>
            <w:tcMar>
              <w:left w:w="168"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Fee Offsets</w:t>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6" w:space="0" w:color="000000"/>
              <w:right w:val="single" w:sz="6" w:space="0" w:color="000000"/>
            </w:tcBorders>
            <w:tcMar>
              <w:left w:w="0" w:type="dxa"/>
              <w:bottom w:w="0" w:type="dxa"/>
            </w:tcMar>
            <w:vAlign w:val="center"/>
          </w:tcPr>
          <w:p>
            <w:pPr>
              <w:pStyle w:val="TableContents"/>
              <w:bidi w:val="0"/>
              <w:spacing w:before="0" w:after="283"/>
              <w:jc w:val="center"/>
              <w:rPr>
                <w:color w:val="000000"/>
              </w:rPr>
            </w:pPr>
            <w:r>
              <w:rPr>
                <w:color w:val="000000"/>
              </w:rPr>
              <w:t>—</w:t>
            </w:r>
          </w:p>
        </w:tc>
      </w:tr>
      <w:tr>
        <w:trPr/>
        <w:tc>
          <w:tcPr>
            <w:tcW w:w="4357" w:type="dxa"/>
            <w:gridSpan w:val="7"/>
            <w:tcBorders>
              <w:top w:val="single" w:sz="6" w:space="0" w:color="000000"/>
              <w:left w:val="single" w:sz="6" w:space="0" w:color="000000"/>
              <w:bottom w:val="single" w:sz="6" w:space="0" w:color="000000"/>
            </w:tcBorders>
            <w:tcMar>
              <w:left w:w="168"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 Fee Due</w:t>
            </w:r>
          </w:p>
        </w:tc>
        <w:tc>
          <w:tcPr>
            <w:tcW w:w="14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91"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$1,034.31</w:t>
            </w:r>
          </w:p>
        </w:tc>
      </w:tr>
    </w:tbl>
    <w:tbl>
      <w:tblPr>
        <w:tblW w:w="10205" w:type="dxa"/>
        <w:jc w:val="left"/>
        <w:tblInd w:w="0" w:type="dxa"/>
        <w:tblLayout w:type="fixed"/>
        <w:tblCellMar>
          <w:top w:w="28" w:type="dxa"/>
          <w:left w:w="28" w:type="dxa"/>
          <w:bottom w:w="28" w:type="dxa"/>
          <w:right w:w="28" w:type="dxa"/>
        </w:tblCellMar>
      </w:tblPr>
      <w:tblGrid>
        <w:gridCol w:w="252"/>
        <w:gridCol w:w="9953"/>
      </w:tblGrid>
      <w:tr>
        <w:trPr/>
        <w:tc>
          <w:tcPr>
            <w:tcW w:w="252" w:type="dxa"/>
            <w:tcBorders/>
            <w:vAlign w:val="center"/>
          </w:tcPr>
          <w:p>
            <w:pPr>
              <w:pStyle w:val="TableContents"/>
              <w:bidi w:val="0"/>
              <w:spacing w:before="0" w:after="283"/>
              <w:jc w:val="left"/>
              <w:rPr>
                <w:sz w:val="4"/>
                <w:szCs w:val="4"/>
              </w:rPr>
            </w:pPr>
            <w:r>
              <w:rPr>
                <w:sz w:val="4"/>
                <w:szCs w:val="4"/>
              </w:rPr>
            </w:r>
          </w:p>
        </w:tc>
        <w:tc>
          <w:tcPr>
            <w:tcW w:w="9953" w:type="dxa"/>
            <w:tcBorders/>
            <w:vAlign w:val="center"/>
          </w:tcPr>
          <w:p>
            <w:pPr>
              <w:pStyle w:val="TableContents"/>
              <w:bidi w:val="0"/>
              <w:spacing w:before="0" w:after="283"/>
              <w:jc w:val="left"/>
              <w:rPr>
                <w:sz w:val="4"/>
                <w:szCs w:val="4"/>
              </w:rPr>
            </w:pPr>
            <w:r>
              <w:rPr>
                <w:sz w:val="4"/>
                <w:szCs w:val="4"/>
              </w:rPr>
            </w:r>
          </w:p>
        </w:tc>
      </w:tr>
      <w:tr>
        <w:trPr/>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99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Pursuant to Rule 416(a) under the Securities Act of 1933, as amended (the “Securities Act”), this Registration Statement shall also cover any additional shares of the Registrant’s Class A common stock, par value $0.001 per share (“Common Stock”), which become issuable under the Registrant’s 2021 Equity Incentive Plan (the “2021 Plan”) by reason of any stock split, stock dividend, recapitalization, or other similar transaction. </w:t>
            </w:r>
          </w:p>
        </w:tc>
      </w:tr>
    </w:tbl>
    <w:tbl>
      <w:tblPr>
        <w:tblW w:w="10205" w:type="dxa"/>
        <w:jc w:val="left"/>
        <w:tblInd w:w="0" w:type="dxa"/>
        <w:tblLayout w:type="fixed"/>
        <w:tblCellMar>
          <w:top w:w="28" w:type="dxa"/>
          <w:left w:w="28" w:type="dxa"/>
          <w:bottom w:w="28" w:type="dxa"/>
          <w:right w:w="28" w:type="dxa"/>
        </w:tblCellMar>
      </w:tblPr>
      <w:tblGrid>
        <w:gridCol w:w="258"/>
        <w:gridCol w:w="9947"/>
      </w:tblGrid>
      <w:tr>
        <w:trPr/>
        <w:tc>
          <w:tcPr>
            <w:tcW w:w="258" w:type="dxa"/>
            <w:tcBorders/>
            <w:vAlign w:val="center"/>
          </w:tcPr>
          <w:p>
            <w:pPr>
              <w:pStyle w:val="TableContents"/>
              <w:bidi w:val="0"/>
              <w:spacing w:before="0" w:after="283"/>
              <w:jc w:val="left"/>
              <w:rPr>
                <w:sz w:val="4"/>
                <w:szCs w:val="4"/>
              </w:rPr>
            </w:pPr>
            <w:r>
              <w:rPr>
                <w:sz w:val="4"/>
                <w:szCs w:val="4"/>
              </w:rPr>
            </w:r>
          </w:p>
        </w:tc>
        <w:tc>
          <w:tcPr>
            <w:tcW w:w="9947" w:type="dxa"/>
            <w:tcBorders/>
            <w:vAlign w:val="center"/>
          </w:tcPr>
          <w:p>
            <w:pPr>
              <w:pStyle w:val="TableContents"/>
              <w:bidi w:val="0"/>
              <w:spacing w:before="0" w:after="283"/>
              <w:jc w:val="left"/>
              <w:rPr>
                <w:sz w:val="4"/>
                <w:szCs w:val="4"/>
              </w:rPr>
            </w:pPr>
            <w:r>
              <w:rPr>
                <w:sz w:val="4"/>
                <w:szCs w:val="4"/>
              </w:rPr>
            </w:r>
          </w:p>
        </w:tc>
      </w:tr>
      <w:tr>
        <w:trPr/>
        <w:tc>
          <w:tcPr>
            <w:tcW w:w="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99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Estimated in accordance with Rule 457(h) and Rule 457(c) of the Securities Act. The price per share and aggregate offering price are based upon the average of the high and low prices of the Registrant’s Common Stock on February 23, 2026, as reported on the Nasdaq Stock Market LLC. </w:t>
            </w:r>
          </w:p>
        </w:tc>
      </w:tr>
    </w:tbl>
    <w:tbl>
      <w:tblPr>
        <w:tblW w:w="10205" w:type="dxa"/>
        <w:jc w:val="left"/>
        <w:tblInd w:w="0" w:type="dxa"/>
        <w:tblLayout w:type="fixed"/>
        <w:tblCellMar>
          <w:top w:w="28" w:type="dxa"/>
          <w:left w:w="28" w:type="dxa"/>
          <w:bottom w:w="28" w:type="dxa"/>
          <w:right w:w="28" w:type="dxa"/>
        </w:tblCellMar>
      </w:tblPr>
      <w:tblGrid>
        <w:gridCol w:w="272"/>
        <w:gridCol w:w="9933"/>
      </w:tblGrid>
      <w:tr>
        <w:trPr/>
        <w:tc>
          <w:tcPr>
            <w:tcW w:w="272"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left"/>
              <w:rPr>
                <w:sz w:val="4"/>
                <w:szCs w:val="4"/>
              </w:rPr>
            </w:pPr>
            <w:r>
              <w:rPr>
                <w:sz w:val="4"/>
                <w:szCs w:val="4"/>
              </w:rPr>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Represents the number of additional shares of Common Stock available for issuance as a result of the annual evergreen increase on January 1, 2026, under the 2021 Plan.</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119312521273190/d204559ds8.htm" TargetMode="External"/><Relationship Id="rId3" Type="http://schemas.openxmlformats.org/officeDocument/2006/relationships/hyperlink" Target="https://www.sec.gov/Archives/edgar/data/1861795/000119312523050866/d458388ds8.htm" TargetMode="External"/><Relationship Id="rId4" Type="http://schemas.openxmlformats.org/officeDocument/2006/relationships/hyperlink" Target="https://www.sec.gov/Archives/edgar/data/1861795/000119312524051102/d769495ds8.htm" TargetMode="External"/><Relationship Id="rId5" Type="http://schemas.openxmlformats.org/officeDocument/2006/relationships/hyperlink" Target="https://www.sec.gov/Archives/edgar/data/1861795/000095017025029160/dh-20250227.htm" TargetMode="External"/><Relationship Id="rId6" Type="http://schemas.openxmlformats.org/officeDocument/2006/relationships/hyperlink" Target="https://www.sec.gov/Archives/edgar/data/1861795/000119312526076782/dh-20251231.htm" TargetMode="External"/><Relationship Id="rId7" Type="http://schemas.openxmlformats.org/officeDocument/2006/relationships/hyperlink" Target="https://www.sec.gov/Archives/edgar/data/1861795/000119312521273352/d208467d8a12b.htm" TargetMode="External"/><Relationship Id="rId8" Type="http://schemas.openxmlformats.org/officeDocument/2006/relationships/hyperlink" Target="https://www.sec.gov/Archives/edgar/data/1861795/000095017022003770/dh-ex4_1.htm" TargetMode="External"/><Relationship Id="rId9" Type="http://schemas.openxmlformats.org/officeDocument/2006/relationships/hyperlink" Target="https://www.sec.gov/Archives/edgar/data/1861795/000095017021003484/dh-ex3_1.htm" TargetMode="External"/><Relationship Id="rId10" Type="http://schemas.openxmlformats.org/officeDocument/2006/relationships/hyperlink" Target="https://www.sec.gov/Archives/edgar/data/1861795/000095017021003484/dh-ex3_2.htm" TargetMode="External"/><Relationship Id="rId11" Type="http://schemas.openxmlformats.org/officeDocument/2006/relationships/hyperlink" Target="https://www.sec.gov/Archives/edgar/data/1861795/000095017021003484/dh-ex3_2.htm" TargetMode="External"/><Relationship Id="rId12" Type="http://schemas.openxmlformats.org/officeDocument/2006/relationships/hyperlink" Target="https://www.sec.gov/Archives/edgar/data/1861795/000095017022003770/dh-ex10_12.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2185</Words>
  <Characters>11819</Characters>
  <CharactersWithSpaces>13998</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