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182024_040301.xml.htm"/>
      <w:bookmarkStart w:id="1" w:name="ksform403182024_0403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Krantz Jason Ronald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4"/>
              <w:gridCol w:w="988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49"/>
        <w:gridCol w:w="457"/>
        <w:gridCol w:w="672"/>
        <w:gridCol w:w="1168"/>
        <w:gridCol w:w="1001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2,808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8.09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902,650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450,000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represents the withholding of shares by the issuer to satisfy the reporting person's tax withholding obligations in connection with the vesting and settlement of previously reported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beneficially owned in trust by DH Holdings (fka Jason R. Krantz 2009 Trust), of which the reporting person is the beneficiary.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Ruderman,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9507" TargetMode="External"/><Relationship Id="rId4" Type="http://schemas.openxmlformats.org/officeDocument/2006/relationships/hyperlink" Target="http://www.sec.gov/cgi-bin/browse-edgar?action=getcompany&amp;CIK=000186179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3447</Characters>
  <CharactersWithSpaces>4010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