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20,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Jason Krantz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Healthcare Corp.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550 Cochituate Rd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Framingham, MA 01701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Definitive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Healthcare Corp.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Draft Registration Statement on Form S-1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Submitted June 30,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2021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CIK No. 0001861795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Krantz: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23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 amended draft registration statement and have the following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In some of our comments, we may ask you to provide us with information so we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may better understand your disclosure.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75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providing the requested information and either submitting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amended draft registration statement or publicly filing your registration statement on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EDGAR. If you do not believe our comments apply to your facts and circumstances or do not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7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believe an amendment is appropriate, please tell us why in your response.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136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After reviewing the information you provide in response to these comments and your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8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draft registration statement or filed registration statement, we may have additional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19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comments. References to prior comments are to those in our letter dated June 24, 2021.</w:t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ind w:right="201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Amendment No. 1 to Draft Registration Statement on Form S-1 filed June 30, 2021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Prospectus Summary, page 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prior comment 1. Because the charts on page 3 and 83 continue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show the company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revenues in fiscal 2019 and 2020, please add the company's net</w:t>
      </w:r>
    </w:p>
    <w:p>
      <w:pPr>
        <w:ind w:left="590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losses for those years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balance the disclosure.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740" w:right="2019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Historical and Pro Forma Consolidated Financial and Other Data Other Financial Data , page 19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32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8"/>
          <w:szCs w:val="18"/>
          <w:color w:val="auto"/>
        </w:rPr>
        <w:t>For each of Adjusted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EBITDA, Adjusted Gross Profit, Adjusted Gross Margin, Adjusted</w:t>
      </w:r>
    </w:p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Operating (loss)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Income, and Adjusted EBITDA Margin, please present with equal or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greater prominence, the</w:t>
      </w: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most directly comparable financial measure respectively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Jason Krantz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Definitive Healthcare Corp.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20, 2021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calculated and presented in accordance with GAAP. Include a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reconciliation of Adjusted</w:t>
      </w:r>
    </w:p>
    <w:p>
      <w:pPr>
        <w:ind w:left="960"/>
        <w:spacing w:after="0"/>
        <w:tabs>
          <w:tab w:leader="none" w:pos="6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EBITDA Margin to its most comparable GAAP ratio in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Non-GAAP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Financial Measures</w:t>
      </w:r>
    </w:p>
    <w:p>
      <w:pPr>
        <w:ind w:left="9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which you referenced in footnote (1) hereunder. Refer to Item</w:t>
      </w:r>
    </w:p>
    <w:p>
      <w:pPr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10(e)(1)(i)(A)-(B) of</w:t>
      </w:r>
    </w:p>
    <w:p>
      <w:pPr>
        <w:ind w:left="960"/>
        <w:spacing w:after="0"/>
        <w:tabs>
          <w:tab w:leader="none" w:pos="55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Regulation S-K and footnote 27 of the SEC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Adopting Release titled</w:t>
      </w:r>
    </w:p>
    <w:p>
      <w:pPr>
        <w:ind w:left="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Conditions for Use</w:t>
      </w:r>
    </w:p>
    <w:p>
      <w:pPr>
        <w:ind w:left="96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Non-GAAP Financial Measures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(Release No. 33-8176).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Unaudited Pro Forma Consolidated Balance Sheet (As of , 2021)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Notes to Unaudited Pro Forma Consolidated Balance Sheet (as of , 2021), page 82</w:t>
      </w:r>
    </w:p>
    <w:p>
      <w:pPr>
        <w:sectPr>
          <w:pgSz w:w="11900" w:h="16838" w:orient="portrait"/>
          <w:cols w:equalWidth="0" w:num="1">
            <w:col w:w="10139"/>
          </w:cols>
          <w:pgMar w:left="320" w:top="244" w:right="1440" w:bottom="0" w:gutter="0" w:footer="0" w:header="0"/>
        </w:sectPr>
      </w:pPr>
    </w:p>
    <w:bookmarkStart w:id="1" w:name="page2"/>
    <w:bookmarkEnd w:id="1"/>
    <w:p>
      <w:pPr>
        <w:ind w:right="265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in your response to comment 6 the Company presents the contingently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redeemable non-controlling interest as permanent equity because the Company and not the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holders determines whether to satisfy a redemption request from a holder of LLC Units in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shares of newly issued Class A common stock or cash. Please tell us how the Company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make the decision to issue shares or pay cash. In this regard, we note the Pre-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IPO LLC Members will be able to control any action requiring the general approval of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your stockholders including the election of your board of directors. A board member,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while considered independent for regulatory compliance purposes, may not be considered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independent for accounting purposes if that member was appointed to the board by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individuals who currently hold Class B common stock and Common Units. Executive and Director Compensation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Class B Unit Agreements with Messrs. Krantz, Shone and Mirisola, page 135</w:t>
      </w:r>
    </w:p>
    <w:p>
      <w:pPr>
        <w:spacing w:after="0" w:line="207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35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response to comment 13. Please disclose any compensation cost arising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948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from the modification of performance-vesting Class B Units into an award of restricted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common units.</w:t>
      </w:r>
    </w:p>
    <w:p>
      <w:pPr>
        <w:spacing w:after="0" w:line="4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 w:firstLine="737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may contact Kathryn Jacobson, Senior Staff Accountant, at (202) 551-3365 or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Littlepage, Accounting Branch Chief, at (202) 551-3361 if you have questions regarding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55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comments on the financial statements and related matters. Please contact Matthew Crispino,</w:t>
      </w:r>
    </w:p>
    <w:p>
      <w:pPr>
        <w:spacing w:after="0" w:line="5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339"/>
        <w:spacing w:after="0" w:line="235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Staff Attorney, at (202) 551-3456 or Larry Spirgel, Office Chief, at (202) 551-3815 with any</w:t>
      </w:r>
    </w:p>
    <w:p>
      <w:pPr>
        <w:spacing w:after="0" w:line="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other questions.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1440" w:gutter="0" w:footer="0" w:header="0"/>
        </w:sect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LastNameJason Krantz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Comapany NameDefinitive Healthcare Corp.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Sincerely,</w:t>
      </w:r>
    </w:p>
    <w:p>
      <w:pPr>
        <w:spacing w:after="0" w:line="223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5720" w:space="720"/>
            <w:col w:w="3699"/>
          </w:cols>
          <w:pgMar w:left="320" w:top="344" w:right="1440" w:bottom="1440" w:gutter="0" w:footer="0" w:header="0"/>
          <w:type w:val="continuous"/>
        </w:sectPr>
      </w:pPr>
    </w:p>
    <w:p>
      <w:pPr>
        <w:ind w:left="64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Division of</w:t>
      </w:r>
    </w:p>
    <w:p>
      <w:pPr>
        <w:sectPr>
          <w:pgSz w:w="11900" w:h="16838" w:orient="portrait"/>
          <w:cols w:equalWidth="0" w:num="1">
            <w:col w:w="10139"/>
          </w:cols>
          <w:pgMar w:left="320" w:top="344" w:right="1440" w:bottom="1440" w:gutter="0" w:footer="0" w:header="0"/>
          <w:type w:val="continuous"/>
        </w:sectPr>
      </w:pP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July 20, 2021 Page 2</w:t>
      </w:r>
    </w:p>
    <w:p>
      <w:pPr>
        <w:spacing w:after="0" w:line="1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Technology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Office of</w:t>
      </w:r>
    </w:p>
    <w:sectPr>
      <w:pgSz w:w="11900" w:h="16838" w:orient="portrait"/>
      <w:cols w:equalWidth="0" w:num="2">
        <w:col w:w="5720" w:space="720"/>
        <w:col w:w="3699"/>
      </w:cols>
      <w:pgMar w:left="320" w:top="344" w:right="1440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3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2022-03-08T21:53:59Z</dcterms:created>
  <dcterms:modified xsi:type="dcterms:W3CDTF">2022-03-08T21:53:59Z</dcterms:modified>
</cp:coreProperties>
</file>