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984"/>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Definitive Healthcare Corp.</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864"/>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2677160</wp:posOffset>
            </wp:positionH>
            <wp:positionV relativeFrom="page">
              <wp:posOffset>200660</wp:posOffset>
            </wp:positionV>
            <wp:extent cx="2202815"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02815" cy="454025"/>
                    </a:xfrm>
                    <a:prstGeom prst="rect">
                      <a:avLst/>
                    </a:prstGeom>
                    <a:noFill/>
                  </pic:spPr>
                </pic:pic>
              </a:graphicData>
            </a:graphic>
          </wp:anchor>
        </w:drawing>
        <w:t>April 20,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2023 Annual Meeting of Stockholders of Definitive Healthcare Corp. on Thursday, June 1, 2023, at 3:00 PM, Eastern Time. The Annual Meeting will be held at 492 Old Connecticut Path, Framingham, MA 01701.</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both of which accompany this letter, provide details regarding the business to be conducted at the Annual Meeting. A Notice of Internet Availability of Proxy Materials is being mailed, and the Proxy Statement, annual report and the form of proxy are first being sent or made available to stockholders on or about April 20, 2023. We urge you to read the accompanying materials regarding the matters to be voted on at the Annual Meeting and to submit your voting instructions by proxy.</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your vote is important to us. You may vote your shares by proxy on the Internet, by telephone, or by completing, signing and promptly returning a proxy card, or you may vote in person at the Annual Meeting. We encourage you to vote by Internet, by telephone, or by proxy card in advance even if you plan to attend the Annual Meeting. By doing so, you will ensure that your shares are represented and voted at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Definitive Healthcare Corp.</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171450</wp:posOffset>
            </wp:positionV>
            <wp:extent cx="172275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275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Musslewhite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Director</w:t>
      </w:r>
    </w:p>
    <w:p>
      <w:pPr>
        <w:sectPr>
          <w:pgSz w:w="11900" w:h="16838" w:orient="portrait"/>
          <w:cols w:equalWidth="0" w:num="1">
            <w:col w:w="11020"/>
          </w:cols>
          <w:pgMar w:left="440" w:top="1228"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966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966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Thursday, June 1, 2023</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3:00 PM, Eastern Time</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PLACE</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492 Old Connecticut Path, Framingham, MA 01701</w:t>
            </w:r>
          </w:p>
        </w:tc>
        <w:tc>
          <w:tcPr>
            <w:tcW w:w="0" w:type="dxa"/>
            <w:vAlign w:val="bottom"/>
          </w:tcPr>
          <w:p>
            <w:pPr>
              <w:spacing w:after="0"/>
              <w:rPr>
                <w:sz w:val="1"/>
                <w:szCs w:val="1"/>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ITEMS OF</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 are holding the meeting for the following purposes, as more fully described in our Proxy Statement: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BUSINESS</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1.    To elect the four Class II directors of Definitive Healthcare Corp. named in the Proxy Statement, each to serve a three-year term</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9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expiring at the 2026 annual meeting of stockholders and until such director’s successor is duly elected and qualified, or until</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such director’s earlier death, resignation or removal.</w:t>
            </w: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2.    To indicate, on an advisory basis, the preferred frequency of shareholder advisory votes on the compensation of the Company’s</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named executive officers.</w:t>
            </w: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3.    To ratify the appointment of Deloitte &amp; Touche LLP as our independent registered public accounting firm for the fiscal year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ending December 31, 2023.</w:t>
            </w: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4.    To consider such other business as may properly come before the Annual Meeting and any adjournments or postponements</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thereof.</w:t>
            </w:r>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You may vote at the Annual Meeting if you were a stockholder of record at the close of business on April 3, 2023.</w:t>
            </w: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 complete list of stockholders of record entitled to vote at the Annual Meeting will be available for examination by any stockholder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any purpose germane to the Annual Meeting beginning ten days prior to the Annual Meeting during ordinary business hours at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492 Old Connecticut Path, Framingham, MA 01701. If you would like to view the list, please email us at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annualmeeting@definitivehc.com. In addition, the list of stockholders of record will be available at the Annual Meeting for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 by any stockholder who is present.</w:t>
            </w: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VOTING BY</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ensure your shares are voted, please follow the instructions on the Notice of Internet Availability of Proxy Materials or physical</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card you received in the mail. You may vote your shares over the Internet, by telephone, or by completing, signing and</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mailing your physical proxy card. Voting procedures are described on the following page, on the Notice of Internet Availability of</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Materials, and/or on the physical proxy card you received in the mail.</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966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Matt Ruderman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Officer (Acting) and Secretary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April 20, 2023</w:t>
      </w:r>
    </w:p>
    <w:p>
      <w:pPr>
        <w:spacing w:after="0" w:line="203"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Important Notice Regarding the Availability of Proxy Materials for the Annual Meeting of Stockholders to Be Held on Thursday, June 1, 2023: This Proxy Statement and our Annual Report are available free of charge at www.proxydocs.com/DH.</w:t>
      </w:r>
    </w:p>
    <w:p>
      <w:pPr>
        <w:sectPr>
          <w:pgSz w:w="11900" w:h="16838" w:orient="portrait"/>
          <w:cols w:equalWidth="0" w:num="1">
            <w:col w:w="11000"/>
          </w:cols>
          <w:pgMar w:left="440" w:top="293"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PROXY VOTING METHODS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at the close of business on April 3, 2023 (the “Record Date”), you were a stockholder of record you may vote your shares in person at the Annual Meeting or in advance over the Internet, by telephone, or by mail. You may also revoke your proxies at the times and in the manners described in the General Information section of this Proxy Statement. We encourage you to vote by Internet, by telephone, or by proxy card in advance even if you plan to attend the Annual Meeting. By doing so, you will ensure that your shares are represented and voted at the Annual Meeting.</w:t>
      </w:r>
    </w:p>
    <w:p>
      <w:pPr>
        <w:spacing w:after="0" w:line="178"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Shares Held of Record. </w:t>
      </w:r>
      <w:r>
        <w:rPr>
          <w:rFonts w:ascii="Times New Roman" w:cs="Times New Roman" w:eastAsia="Times New Roman" w:hAnsi="Times New Roman"/>
          <w:sz w:val="18"/>
          <w:szCs w:val="18"/>
          <w:color w:val="auto"/>
        </w:rPr>
        <w:t>If you hold your shares in your own name as a holder of record with our transfer agent, American Stock Transfer &amp;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you may authorize that your shares be voted at the Annual Meeting in one of the following ways:</w:t>
      </w:r>
    </w:p>
    <w:p>
      <w:pPr>
        <w:sectPr>
          <w:pgSz w:w="11900" w:h="16838" w:orient="portrait"/>
          <w:cols w:equalWidth="0" w:num="1">
            <w:col w:w="11000"/>
          </w:cols>
          <w:pgMar w:left="440" w:top="293" w:right="45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By Internet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received the Notice of Internet Availability (“Notice”) or a printed copy of the proxy materials, follow the instructions in the Notice or on the proxy card.</w:t>
      </w:r>
    </w:p>
    <w:p>
      <w:pPr>
        <w:spacing w:after="0" w:line="50" w:lineRule="exact"/>
        <w:rPr>
          <w:sz w:val="20"/>
          <w:szCs w:val="20"/>
          <w:color w:val="auto"/>
        </w:rPr>
      </w:pPr>
    </w:p>
    <w:p>
      <w:pPr>
        <w:sectPr>
          <w:pgSz w:w="11900" w:h="16838" w:orient="portrait"/>
          <w:cols w:equalWidth="0" w:num="2">
            <w:col w:w="880" w:space="660"/>
            <w:col w:w="946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By 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If you received the Notice or a printed copy of the proxy materials, follow the instructions on the Notice or on the proxy card.</w:t>
      </w:r>
    </w:p>
    <w:p>
      <w:pPr>
        <w:spacing w:after="0" w:line="113" w:lineRule="exact"/>
        <w:rPr>
          <w:sz w:val="20"/>
          <w:szCs w:val="20"/>
          <w:color w:val="auto"/>
        </w:rPr>
      </w:pPr>
    </w:p>
    <w:p>
      <w:pPr>
        <w:sectPr>
          <w:pgSz w:w="11900" w:h="16838" w:orient="portrait"/>
          <w:cols w:equalWidth="0" w:num="2">
            <w:col w:w="1040" w:space="500"/>
            <w:col w:w="946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By Mail</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If you received a printed copy of the proxy materials, complete, sign, date, and mail your proxy card in the enclosed, postage-prepaid envelope.</w:t>
      </w:r>
    </w:p>
    <w:p>
      <w:pPr>
        <w:spacing w:after="0" w:line="50" w:lineRule="exact"/>
        <w:rPr>
          <w:sz w:val="20"/>
          <w:szCs w:val="20"/>
          <w:color w:val="auto"/>
        </w:rPr>
      </w:pPr>
    </w:p>
    <w:p>
      <w:pPr>
        <w:sectPr>
          <w:pgSz w:w="11900" w:h="16838" w:orient="portrait"/>
          <w:cols w:equalWidth="0" w:num="2">
            <w:col w:w="820" w:space="720"/>
            <w:col w:w="946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In Person</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You may also vote in person by attending the meeting and submitting your proxy card. Please see the General Information section of this Proxy Statement for additional information on how to attend in person.</w:t>
      </w:r>
    </w:p>
    <w:p>
      <w:pPr>
        <w:spacing w:after="0" w:line="160" w:lineRule="exact"/>
        <w:rPr>
          <w:sz w:val="20"/>
          <w:szCs w:val="20"/>
          <w:color w:val="auto"/>
        </w:rPr>
      </w:pPr>
    </w:p>
    <w:p>
      <w:pPr>
        <w:sectPr>
          <w:pgSz w:w="11900" w:h="16838" w:orient="portrait"/>
          <w:cols w:equalWidth="0" w:num="2">
            <w:col w:w="820" w:space="720"/>
            <w:col w:w="9460"/>
          </w:cols>
          <w:pgMar w:left="440" w:top="293" w:right="459" w:bottom="1440" w:gutter="0" w:footer="0" w:header="0"/>
          <w:type w:val="continuous"/>
        </w:sect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Held in Street Name. </w:t>
      </w:r>
      <w:r>
        <w:rPr>
          <w:rFonts w:ascii="Times New Roman" w:cs="Times New Roman" w:eastAsia="Times New Roman" w:hAnsi="Times New Roman"/>
          <w:sz w:val="18"/>
          <w:szCs w:val="18"/>
          <w:color w:val="auto"/>
        </w:rPr>
        <w:t>If you hold your shares through a broker, bank, or other nominee (that is, in street name), you will receive instructions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broker, bank, or nominee that you must follow in order to submit your voting instructions and have your shares voted at the Annual Meeting. If you want to vote in person at the Annual Meeting, you may be instructed to obtain a legal proxy from your broker, bank, or other nominee and to submit a copy at the meeting.</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 TO US. THANK YOU FOR VOTING.</w:t>
      </w:r>
    </w:p>
    <w:p>
      <w:pPr>
        <w:sectPr>
          <w:pgSz w:w="11900" w:h="16838" w:orient="portrait"/>
          <w:cols w:equalWidth="0" w:num="1">
            <w:col w:w="11000"/>
          </w:cols>
          <w:pgMar w:left="440" w:top="293" w:right="4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r>
      <w:tr>
        <w:trPr>
          <w:trHeight w:val="297"/>
        </w:trPr>
        <w:tc>
          <w:tcPr>
            <w:tcW w:w="21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GENERAL INFORMATION</w:t>
            </w:r>
          </w:p>
        </w:tc>
        <w:tc>
          <w:tcPr>
            <w:tcW w:w="8340" w:type="dxa"/>
            <w:vAlign w:val="bottom"/>
            <w:gridSpan w:val="4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046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PROPOSAL NO. 1—ELECTION OF CLASS II DIRECTORS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Nominating Agreements</w:t>
            </w:r>
          </w:p>
        </w:tc>
        <w:tc>
          <w:tcPr>
            <w:tcW w:w="2400" w:type="dxa"/>
            <w:vAlign w:val="bottom"/>
            <w:tcBorders>
              <w:top w:val="single" w:sz="8" w:color="0000EE"/>
            </w:tcBorders>
            <w:gridSpan w:val="29"/>
          </w:tcPr>
          <w:p>
            <w:pPr>
              <w:spacing w:after="0"/>
              <w:rPr>
                <w:sz w:val="17"/>
                <w:szCs w:val="17"/>
                <w:color w:val="auto"/>
              </w:rPr>
            </w:pPr>
          </w:p>
        </w:tc>
        <w:tc>
          <w:tcPr>
            <w:tcW w:w="592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Nominees for Election to the Board of Directors in 2023</w:t>
            </w:r>
          </w:p>
        </w:tc>
        <w:tc>
          <w:tcPr>
            <w:tcW w:w="604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Continuing Members of the Board of Directors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THE BOARD OF DIRECTORS AND CERTAIN GOVERNANCE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360" w:type="dxa"/>
            <w:vAlign w:val="bottom"/>
            <w:tcBorders>
              <w:top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Director Independence and Independence Determinations</w:t>
            </w:r>
          </w:p>
        </w:tc>
        <w:tc>
          <w:tcPr>
            <w:tcW w:w="474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Nomination Process</w:t>
            </w:r>
          </w:p>
        </w:tc>
        <w:tc>
          <w:tcPr>
            <w:tcW w:w="2040" w:type="dxa"/>
            <w:vAlign w:val="bottom"/>
            <w:tcBorders>
              <w:top w:val="single" w:sz="8" w:color="0000EE"/>
            </w:tcBorders>
            <w:gridSpan w:val="19"/>
          </w:tcPr>
          <w:p>
            <w:pPr>
              <w:spacing w:after="0"/>
              <w:rPr>
                <w:sz w:val="17"/>
                <w:szCs w:val="17"/>
                <w:color w:val="auto"/>
              </w:rPr>
            </w:pPr>
          </w:p>
        </w:tc>
        <w:tc>
          <w:tcPr>
            <w:tcW w:w="596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Resignation Policy</w:t>
            </w:r>
          </w:p>
        </w:tc>
        <w:tc>
          <w:tcPr>
            <w:tcW w:w="8080" w:type="dxa"/>
            <w:vAlign w:val="bottom"/>
            <w:gridSpan w:val="3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Leadership Structure</w:t>
            </w:r>
          </w:p>
        </w:tc>
        <w:tc>
          <w:tcPr>
            <w:tcW w:w="8100" w:type="dxa"/>
            <w:vAlign w:val="bottom"/>
            <w:gridSpan w:val="3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Oversight of Risk Management</w:t>
            </w:r>
          </w:p>
        </w:tc>
        <w:tc>
          <w:tcPr>
            <w:tcW w:w="7840" w:type="dxa"/>
            <w:vAlign w:val="bottom"/>
            <w:gridSpan w:val="3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Executive Sessions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Communications with the Board</w:t>
            </w:r>
          </w:p>
        </w:tc>
        <w:tc>
          <w:tcPr>
            <w:tcW w:w="7760" w:type="dxa"/>
            <w:vAlign w:val="bottom"/>
            <w:gridSpan w:val="3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Board Committees and Meetings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Business Conduct and Ethics</w:t>
            </w:r>
          </w:p>
        </w:tc>
        <w:tc>
          <w:tcPr>
            <w:tcW w:w="738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Committee Charters and Corporate Governance Guidelines</w:t>
            </w:r>
          </w:p>
        </w:tc>
        <w:tc>
          <w:tcPr>
            <w:tcW w:w="584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Our Commitment to ESG</w:t>
            </w:r>
          </w:p>
        </w:tc>
        <w:tc>
          <w:tcPr>
            <w:tcW w:w="8240" w:type="dxa"/>
            <w:vAlign w:val="bottom"/>
            <w:gridSpan w:val="4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Diversity</w:t>
            </w:r>
          </w:p>
        </w:tc>
        <w:tc>
          <w:tcPr>
            <w:tcW w:w="8940" w:type="dxa"/>
            <w:vAlign w:val="bottom"/>
            <w:gridSpan w:val="4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 of the Company</w:t>
            </w:r>
          </w:p>
        </w:tc>
        <w:tc>
          <w:tcPr>
            <w:tcW w:w="7540" w:type="dxa"/>
            <w:vAlign w:val="bottom"/>
            <w:gridSpan w:val="2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0240" w:type="dxa"/>
            <w:vAlign w:val="bottom"/>
            <w:tcBorders>
              <w:bottom w:val="single" w:sz="8" w:color="0000EE"/>
            </w:tcBorders>
            <w:gridSpan w:val="5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2—ADVISORY VOTE ON THE FREQUENCY OF SOLICITATION OF ADVISORY STOCKHOLDER APPROVAL OF</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4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840" w:type="dxa"/>
            <w:vAlign w:val="bottom"/>
            <w:gridSpan w:val="3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7920" w:type="dxa"/>
            <w:vAlign w:val="bottom"/>
            <w:tcBorders>
              <w:bottom w:val="single" w:sz="8" w:color="0000EE"/>
            </w:tcBorders>
            <w:gridSpan w:val="51"/>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3—RATIFICATION OF INDEPENDENT REGISTERED PUBLIC ACCOUNTING FIRM</w:t>
            </w:r>
          </w:p>
        </w:tc>
        <w:tc>
          <w:tcPr>
            <w:tcW w:w="25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and Non-Audit Fees</w:t>
            </w:r>
          </w:p>
        </w:tc>
        <w:tc>
          <w:tcPr>
            <w:tcW w:w="8180" w:type="dxa"/>
            <w:vAlign w:val="bottom"/>
            <w:gridSpan w:val="4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tcBorders>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Policy for Services of Independent Registered Public Accounting Firm</w:t>
            </w:r>
          </w:p>
        </w:tc>
        <w:tc>
          <w:tcPr>
            <w:tcW w:w="398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046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5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DISCUSSION &amp; ANALYSIS</w:t>
            </w:r>
          </w:p>
        </w:tc>
        <w:tc>
          <w:tcPr>
            <w:tcW w:w="686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046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REPORT OF THE HUMAN CAPITAL MANAGEMENT AND COMPENSATION COMMITTEE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3160" w:type="dxa"/>
            <w:vAlign w:val="bottom"/>
            <w:tcBorders>
              <w:top w:val="single" w:sz="8" w:color="0000EE"/>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 TABLES</w:t>
            </w:r>
          </w:p>
        </w:tc>
        <w:tc>
          <w:tcPr>
            <w:tcW w:w="4020" w:type="dxa"/>
            <w:vAlign w:val="bottom"/>
            <w:tcBorders>
              <w:top w:val="single" w:sz="8" w:color="0000EE"/>
            </w:tcBorders>
            <w:gridSpan w:val="20"/>
          </w:tcPr>
          <w:p>
            <w:pPr>
              <w:spacing w:after="0"/>
              <w:rPr>
                <w:sz w:val="17"/>
                <w:szCs w:val="17"/>
                <w:color w:val="auto"/>
              </w:rPr>
            </w:pPr>
          </w:p>
        </w:tc>
        <w:tc>
          <w:tcPr>
            <w:tcW w:w="328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Grant of Plan-Based Awards Table</w:t>
            </w:r>
          </w:p>
        </w:tc>
        <w:tc>
          <w:tcPr>
            <w:tcW w:w="7600" w:type="dxa"/>
            <w:vAlign w:val="bottom"/>
            <w:gridSpan w:val="2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60" w:type="dxa"/>
            <w:vAlign w:val="bottom"/>
            <w:tcBorders>
              <w:bottom w:val="single" w:sz="8" w:color="0000EE"/>
            </w:tcBorders>
            <w:gridSpan w:val="48"/>
          </w:tcPr>
          <w:p>
            <w:pPr>
              <w:spacing w:after="0" w:line="196" w:lineRule="exact"/>
              <w:rPr>
                <w:sz w:val="20"/>
                <w:szCs w:val="20"/>
                <w:color w:val="auto"/>
              </w:rPr>
            </w:pPr>
            <w:r>
              <w:rPr>
                <w:rFonts w:ascii="Times New Roman" w:cs="Times New Roman" w:eastAsia="Times New Roman" w:hAnsi="Times New Roman"/>
                <w:sz w:val="18"/>
                <w:szCs w:val="18"/>
                <w:color w:val="0000EE"/>
                <w:w w:val="99"/>
              </w:rPr>
              <w:t>Narrative Discussion of the Summary Compensation Table and Grants of Plan-Based Awards Table</w:t>
            </w:r>
          </w:p>
        </w:tc>
        <w:tc>
          <w:tcPr>
            <w:tcW w:w="29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Employment Agreements</w:t>
            </w:r>
          </w:p>
        </w:tc>
        <w:tc>
          <w:tcPr>
            <w:tcW w:w="8260" w:type="dxa"/>
            <w:vAlign w:val="bottom"/>
            <w:gridSpan w:val="4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Equity Compensation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Year-End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Option Exercises and Stock Vested During Fiscal 2022</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Change-In-Control</w:t>
            </w:r>
          </w:p>
        </w:tc>
        <w:tc>
          <w:tcPr>
            <w:tcW w:w="574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Pension Benefits</w:t>
            </w:r>
          </w:p>
        </w:tc>
        <w:tc>
          <w:tcPr>
            <w:tcW w:w="8880" w:type="dxa"/>
            <w:vAlign w:val="bottom"/>
            <w:gridSpan w:val="4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Nonqualified Deferred Compensation</w:t>
            </w:r>
          </w:p>
        </w:tc>
        <w:tc>
          <w:tcPr>
            <w:tcW w:w="738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Pay-Versus-Performance Table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36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COMMITTEE INTERLOCKS AND INSIDER PARTICIPATION</w:t>
            </w:r>
          </w:p>
        </w:tc>
        <w:tc>
          <w:tcPr>
            <w:tcW w:w="42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390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56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23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120" w:type="dxa"/>
            <w:vAlign w:val="bottom"/>
            <w:gridSpan w:val="3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 Policy</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Director Stock Ownership Guidelines</w:t>
            </w:r>
          </w:p>
        </w:tc>
        <w:tc>
          <w:tcPr>
            <w:tcW w:w="674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36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OWNERSHIP OF 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500" w:type="dxa"/>
            <w:vAlign w:val="bottom"/>
            <w:gridSpan w:val="4"/>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486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Reorganization Agreement</w:t>
            </w:r>
          </w:p>
        </w:tc>
        <w:tc>
          <w:tcPr>
            <w:tcW w:w="8160" w:type="dxa"/>
            <w:vAlign w:val="bottom"/>
            <w:gridSpan w:val="3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Definitive OpCo Amended LLC Agreement</w:t>
            </w:r>
          </w:p>
        </w:tc>
        <w:tc>
          <w:tcPr>
            <w:tcW w:w="6920" w:type="dxa"/>
            <w:vAlign w:val="bottom"/>
            <w:gridSpan w:val="2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Tax Receivable Agreement</w:t>
            </w:r>
          </w:p>
        </w:tc>
        <w:tc>
          <w:tcPr>
            <w:tcW w:w="8140" w:type="dxa"/>
            <w:vAlign w:val="bottom"/>
            <w:gridSpan w:val="3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Nominating Agreements</w:t>
            </w:r>
          </w:p>
        </w:tc>
        <w:tc>
          <w:tcPr>
            <w:tcW w:w="8320" w:type="dxa"/>
            <w:vAlign w:val="bottom"/>
            <w:gridSpan w:val="4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Registration Rights Agreement</w:t>
            </w:r>
          </w:p>
        </w:tc>
        <w:tc>
          <w:tcPr>
            <w:tcW w:w="7860" w:type="dxa"/>
            <w:vAlign w:val="bottom"/>
            <w:gridSpan w:val="3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Limitation of Directors’ Liability and Indemnification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Related Party Transactions Policies and Procedures</w:t>
            </w:r>
          </w:p>
        </w:tc>
        <w:tc>
          <w:tcPr>
            <w:tcW w:w="780" w:type="dxa"/>
            <w:vAlign w:val="bottom"/>
            <w:tcBorders>
              <w:top w:val="single" w:sz="8" w:color="0000EE"/>
            </w:tcBorders>
            <w:gridSpan w:val="7"/>
          </w:tcPr>
          <w:p>
            <w:pPr>
              <w:spacing w:after="0"/>
              <w:rPr>
                <w:sz w:val="17"/>
                <w:szCs w:val="17"/>
                <w:color w:val="auto"/>
              </w:rPr>
            </w:pPr>
          </w:p>
        </w:tc>
        <w:tc>
          <w:tcPr>
            <w:tcW w:w="562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06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524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FOR THE 2024 ANNUAL MEETING</w:t>
            </w:r>
          </w:p>
        </w:tc>
        <w:tc>
          <w:tcPr>
            <w:tcW w:w="522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5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8960" w:type="dxa"/>
            <w:vAlign w:val="bottom"/>
            <w:gridSpan w:val="4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6020" w:type="dxa"/>
            <w:vAlign w:val="bottom"/>
            <w:tcBorders>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9"/>
              </w:rPr>
              <w:t>APPENDIX A – RECONCILIATION OF NON-GAAP FINANCIAL MEASURES</w:t>
            </w:r>
          </w:p>
        </w:tc>
        <w:tc>
          <w:tcPr>
            <w:tcW w:w="444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bl>
    <w:p>
      <w:pPr>
        <w:jc w:val="right"/>
        <w:spacing w:after="0" w:line="196" w:lineRule="exact"/>
        <w:rPr>
          <w:sz w:val="20"/>
          <w:szCs w:val="20"/>
          <w:color w:val="auto"/>
        </w:rPr>
        <w:sectPr>
          <w:pgSz w:w="11900" w:h="16838" w:orient="portrait"/>
          <w:cols w:equalWidth="0" w:num="1">
            <w:col w:w="10960"/>
          </w:cols>
          <w:pgMar w:left="440" w:top="29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2831465</wp:posOffset>
            </wp:positionH>
            <wp:positionV relativeFrom="page">
              <wp:posOffset>200025</wp:posOffset>
            </wp:positionV>
            <wp:extent cx="188595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85950" cy="386080"/>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492 Old Connecticut Path</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(508) 720-4224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1, 2023</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being provided with these materials?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Notice of Internet Availability of Proxy Materials was mailed, and this Proxy Statement, annual report, and the form of proxy were first sent or made available to stockholders on or about April 20, 2023. We have provided these proxy materials to you in connection with the solicitation by the Board of Directors (the “Board” or “Board of Directors”) of Definitive Healthcare Corp. (“we,” “our,” “us” and the “Company”) of proxies to be voted at our Annual Meeting of Stockholders to be held on June 1, 2023 (the “Annual Meeting”), and at any postponements or adjournments of the Annual Meeting. You are invited to attend the Annual Meeting and vote your shares or to vote your shares in advance by proxy via the Internet, by telephone, or by mail.</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To promote the health and safety of attendees, we reserve the right to implement safety measures as we deem prudent or as required by any applicable laws or government orders. Furthermore, in the event we determine it is necessary or appropriate to make alternative arrangements for the Annual Meeting, we will announce the decision to do so in advance, and details on how to participate will be issued by press release, posted on our website, and filed with the Securities and Exchange Commission (“SEC”) as additional proxy soliciting material. If you plan to attend the Annual Meeting in person, please email </w:t>
      </w:r>
      <w:r>
        <w:rPr>
          <w:rFonts w:ascii="Times New Roman" w:cs="Times New Roman" w:eastAsia="Times New Roman" w:hAnsi="Times New Roman"/>
          <w:sz w:val="18"/>
          <w:szCs w:val="18"/>
          <w:i w:val="1"/>
          <w:iCs w:val="1"/>
          <w:u w:val="single" w:color="auto"/>
          <w:color w:val="auto"/>
        </w:rPr>
        <w:t>annualmeeting@definitivehc.com</w:t>
      </w:r>
      <w:r>
        <w:rPr>
          <w:rFonts w:ascii="Times New Roman" w:cs="Times New Roman" w:eastAsia="Times New Roman" w:hAnsi="Times New Roman"/>
          <w:sz w:val="18"/>
          <w:szCs w:val="18"/>
          <w:color w:val="auto"/>
        </w:rPr>
        <w:t xml:space="preserve"> prior to the Annual Meeting to confirm local visitor requirements, as circumstances may change upon short notice. For example, then-current COVID protocols may require visitors to pre-register and complete a symptoms checklist prior to entering the building.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proposals scheduled to be voted on at the Annual Meeting:</w:t>
      </w:r>
    </w:p>
    <w:p>
      <w:pPr>
        <w:spacing w:after="0" w:line="131" w:lineRule="exact"/>
        <w:rPr>
          <w:sz w:val="20"/>
          <w:szCs w:val="20"/>
          <w:color w:val="auto"/>
        </w:rPr>
      </w:pPr>
    </w:p>
    <w:p>
      <w:pPr>
        <w:jc w:val="both"/>
        <w:ind w:left="960" w:right="28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To elect the four Class II directors of Definitive Healthcare Corp. named in this Proxy Statement, each to serve a three-year term expiring at the 2026 annual meeting of stockholders and until such director’s successor is duly elected and qualified, or until such director’s earlier death, resignation or removal.</w:t>
      </w:r>
    </w:p>
    <w:p>
      <w:pPr>
        <w:spacing w:after="0" w:line="81"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To approve, on a non-binding advisory basis, the frequency of future non-binding advisory votes on the compensation of our named executive officers.</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To ratify the appointment of Deloitte &amp; Touche LLP as our independent registered public accounting firm for the fiscal year ending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Stockholders of record as of the close of business on April 3, 2023 (the “Record Date”) may vote at the Annual Meeting or any postponement or adjournment thereof. As of that date, there were 110,162,665 shares of our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1120" w:right="479" w:bottom="1440" w:gutter="0" w:footer="0" w:header="0"/>
        </w:sectPr>
      </w:pPr>
    </w:p>
    <w:bookmarkStart w:id="6" w:name="page7"/>
    <w:bookmarkEnd w:id="6"/>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Class A common stock and 44,218,741 shares of our Class B common stock outstanding. Holders of our Class A common stock have one vote for each share of Class A common stock held as of the Record Date, and holders of our Class B common stock have one vote for each share of Class B common stock held as of the Record Date, in each case including shares:</w:t>
      </w:r>
    </w:p>
    <w:p>
      <w:pPr>
        <w:spacing w:after="0" w:line="8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directly in your name as “stockholder of record” (also referred to as “registered stockholder”); and</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for you in an account with a broker, bank, or other nominee (shares held in “street name”). Street name holders generally cannot vote their shares directly and instead must instruct the brokerage firm, bank, or nominee how to vote their shares.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Class A common stock and Class B common stock will vote together as a single class on all matters described in this Proxy Statement for which stockholder votes are being solicited.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record of a majority in voting power of the shares entitled to vote at the Annual Meeting shall constitute a quorum. Abstentions, “withhold” votes, and shares represented by “broker non-votes” that are present in person or by proxy and entitled to vote at the Annual Meeting are counted for purposes of determining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7"/>
          <w:szCs w:val="17"/>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Nos. 1 and 2 are considered non-routine matters, and a broker will lack the authority to vote uninstructed shares at their discretion on such proposal. Proposal No. 3 is considered a routine matter, and a broker will be permitted to exercise its discretion to vote uninstructed shares on this proposal.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to approve each proposal?</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Proposal No. 1, under our Amended and Restated Certificate of Incorporation (“Charter”), directors are elected by the plurality of the votes cast by the holders of shares present in person or represented by proxy at the meeting and entitled to vote thereon. There is no cumulative voting. Director nominees who receive the greatest number of affirmative votes will be elected. In an uncontested election where the number of nominees equals the number of director seats up for election, all the nominees will be elected as long as there is a quorum and they receive at least one vote.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w:t>
      </w:r>
    </w:p>
    <w:p>
      <w:pPr>
        <w:spacing w:after="0" w:line="19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For Proposal No. 2, under our Bylaws, the frequency receiving the affirmative vote of the holders of a majority in voting power of the shares of stock present in person or by proxy and entitled to vote thereon will be considered the frequency preferred by the stockholders. It is important to note that Proposal No. 2 is advisory and therefore not binding on the Board. Nevertheless, the Board and the Human Capital Management and Compensation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97" w:right="519" w:bottom="1440" w:gutter="0" w:footer="0" w:header="0"/>
        </w:sectPr>
      </w:pPr>
    </w:p>
    <w:bookmarkStart w:id="7" w:name="page8"/>
    <w:bookmarkEnd w:id="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Committee value the opinions of stockholders in this matter and, to the extent there is any significant vote in favor of one frequency over the other options, even if less than a majority, the Board will consider the stockholders’ concerns and evaluate any appropriate next steps. However, the Board may decide that it is in the best interests of the stockholders to hold an advisory vote on executive compensation more or less frequently than the option preferred by the stockholders.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Proposal No. 3, under our Bylaws, approval of the proposal requires the affirmative vote of the holders of a majority in voting power of the shares of stock present in person or by proxy and entitled to vote thereon. It is important to note that Proposal No. 3 is advisory and therefore are not binding on the Board. While the ratification of Deloitte &amp; Touche LLP as our independent registered public accounting firm is not required by our Bylaws or otherwise, if our stockholders fail to ratify the selection, we will consider it notice to the Board and the Audit Committee to consider, in their discretion, the selection of a different firm. In addition, even if the selection is ratified, the Board and the Audit Committee may, in their discretion, direct the appointment of a different firm if at any time during the year they determine that such a change would be in the best interests of the Company and its stockholders.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respect to the election of directors (Proposal No. 1), you may vote “FOR” or “WITHHOLD” with respect to each nominee. Votes that are “withheld” will not count as a vote “FOR” or “AGAINST” a director because directors are elected by plurality voting; however, votes that are “withheld” may trigger the director resignation policy set forth in our Corporate Governance Guidelines as described elsewhere in this Proxy Statement. Broker non-votes will have no effect on the outcome of Proposal No. 1 and there will not be any abstentions on this proposal.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frequency of shareholder advisory votes on executive compensation (Proposal No. 2), you may vote “ONE YEAR,”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“THREE YEARS,” or “ABSTAIN”. Abstentions will have the same effect as a vote “AGAINST” each of the proposed voting frequencies.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will have no effect on the outcome of this proposal.</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our independent registered public accounting firm (Proposal No. 3), you may vote “FOR,” “AGAINST,” or “ABSTAIN.” Abstentions will have the same effect as a vote “AGAINST” Proposal No. 3. Because brokers have the discretionary authority to vote on Proposal No. 3 there will not be any broker non-votes on this proposal.</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 sign and submit your proxy card without voting instructions, your shares will be voted in accordance with the recommendation of the Board with respect to the Proposals.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not aware of any matters to be voted on by stockholders at the Annual Meeting other than those referenced above. If any matter is properly presented at the Annual Meeting, your executed proxy gives your proxy holder discretionary authority to vote your shares in accordance with their best judgment with respect to the matter.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131"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Class II director nominees set forth in this Proxy Statement;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as the frequency of the advisory vote on the executive compensation of our named executive officers; and</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the fiscal year ending December 31, 2023.</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Who will count the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of Mediant Communications or its designee will tabulate the votes and act as inspectors of election.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without attending the Annual Meeting?</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authorizing a proxy to vote on your behalf at the Annual Meeting. Specifically, you may authorize a proxy: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Internet</w:t>
            </w:r>
          </w:p>
        </w:tc>
        <w:tc>
          <w:tcPr>
            <w:tcW w:w="9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If you received the Notice of Internet Availability (“Notice”) or a printed copy of the proxy materials, follow the instructions in</w:t>
            </w:r>
          </w:p>
        </w:tc>
      </w:tr>
      <w:tr>
        <w:trPr>
          <w:trHeight w:val="234"/>
        </w:trPr>
        <w:tc>
          <w:tcPr>
            <w:tcW w:w="1400" w:type="dxa"/>
            <w:vAlign w:val="bottom"/>
          </w:tcPr>
          <w:p>
            <w:pPr>
              <w:spacing w:after="0"/>
              <w:rPr>
                <w:sz w:val="20"/>
                <w:szCs w:val="20"/>
                <w:color w:val="auto"/>
              </w:rPr>
            </w:pPr>
          </w:p>
        </w:tc>
        <w:tc>
          <w:tcPr>
            <w:tcW w:w="9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Notice or on the proxy card.</w:t>
            </w:r>
          </w:p>
        </w:tc>
      </w:tr>
      <w:tr>
        <w:trPr>
          <w:trHeight w:val="216"/>
        </w:trPr>
        <w:tc>
          <w:tcPr>
            <w:tcW w:w="14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By Telephone</w:t>
            </w:r>
          </w:p>
        </w:tc>
        <w:tc>
          <w:tcPr>
            <w:tcW w:w="9620" w:type="dxa"/>
            <w:vAlign w:val="bottom"/>
            <w:shd w:val="clear" w:color="auto" w:fill="E5E5E5"/>
          </w:tcPr>
          <w:p>
            <w:pPr>
              <w:ind w:left="380"/>
              <w:spacing w:after="0"/>
              <w:rPr>
                <w:sz w:val="20"/>
                <w:szCs w:val="20"/>
                <w:color w:val="auto"/>
              </w:rPr>
            </w:pPr>
            <w:r>
              <w:rPr>
                <w:rFonts w:ascii="Times New Roman" w:cs="Times New Roman" w:eastAsia="Times New Roman" w:hAnsi="Times New Roman"/>
                <w:sz w:val="18"/>
                <w:szCs w:val="18"/>
                <w:color w:val="auto"/>
              </w:rPr>
              <w:t>If you received the Notice or a printed copy of the proxy materials, follow the instructions on the Notice or on the proxy card.</w:t>
            </w:r>
          </w:p>
        </w:tc>
      </w:tr>
      <w:tr>
        <w:trPr>
          <w:trHeight w:val="198"/>
        </w:trPr>
        <w:tc>
          <w:tcPr>
            <w:tcW w:w="14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By Mail</w:t>
            </w:r>
          </w:p>
        </w:tc>
        <w:tc>
          <w:tcPr>
            <w:tcW w:w="96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If you received a printed copy of the proxy materials, complete, sign, date, and mail your proxy card in the enclosed, postage-</w:t>
            </w:r>
          </w:p>
        </w:tc>
      </w:tr>
      <w:tr>
        <w:trPr>
          <w:trHeight w:val="234"/>
        </w:trPr>
        <w:tc>
          <w:tcPr>
            <w:tcW w:w="1400" w:type="dxa"/>
            <w:vAlign w:val="bottom"/>
          </w:tcPr>
          <w:p>
            <w:pPr>
              <w:spacing w:after="0"/>
              <w:rPr>
                <w:sz w:val="20"/>
                <w:szCs w:val="20"/>
                <w:color w:val="auto"/>
              </w:rPr>
            </w:pPr>
          </w:p>
        </w:tc>
        <w:tc>
          <w:tcPr>
            <w:tcW w:w="9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envelope.</w:t>
            </w:r>
          </w:p>
        </w:tc>
      </w:tr>
      <w:tr>
        <w:trPr>
          <w:trHeight w:val="198"/>
        </w:trPr>
        <w:tc>
          <w:tcPr>
            <w:tcW w:w="1400" w:type="dxa"/>
            <w:vAlign w:val="bottom"/>
            <w:shd w:val="clear" w:color="auto" w:fill="E5E5E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 Person</w:t>
            </w:r>
          </w:p>
        </w:tc>
        <w:tc>
          <w:tcPr>
            <w:tcW w:w="9620" w:type="dxa"/>
            <w:vAlign w:val="bottom"/>
            <w:shd w:val="clear" w:color="auto" w:fill="E5E5E5"/>
          </w:tcPr>
          <w:p>
            <w:pPr>
              <w:ind w:left="380"/>
              <w:spacing w:after="0" w:line="198" w:lineRule="exact"/>
              <w:rPr>
                <w:sz w:val="20"/>
                <w:szCs w:val="20"/>
                <w:color w:val="auto"/>
              </w:rPr>
            </w:pPr>
            <w:r>
              <w:rPr>
                <w:rFonts w:ascii="Times New Roman" w:cs="Times New Roman" w:eastAsia="Times New Roman" w:hAnsi="Times New Roman"/>
                <w:sz w:val="18"/>
                <w:szCs w:val="18"/>
                <w:color w:val="auto"/>
              </w:rPr>
              <w:t>You may also vote in person by attending the meeting and submitting your proxy card. Please see the General Information</w:t>
            </w:r>
          </w:p>
        </w:tc>
      </w:tr>
      <w:tr>
        <w:trPr>
          <w:trHeight w:val="234"/>
        </w:trPr>
        <w:tc>
          <w:tcPr>
            <w:tcW w:w="1400" w:type="dxa"/>
            <w:vAlign w:val="bottom"/>
            <w:shd w:val="clear" w:color="auto" w:fill="E5E5E5"/>
          </w:tcPr>
          <w:p>
            <w:pPr>
              <w:spacing w:after="0"/>
              <w:rPr>
                <w:sz w:val="20"/>
                <w:szCs w:val="20"/>
                <w:color w:val="auto"/>
              </w:rPr>
            </w:pPr>
          </w:p>
        </w:tc>
        <w:tc>
          <w:tcPr>
            <w:tcW w:w="9620" w:type="dxa"/>
            <w:vAlign w:val="bottom"/>
            <w:shd w:val="clear" w:color="auto" w:fill="E5E5E5"/>
          </w:tcPr>
          <w:p>
            <w:pPr>
              <w:ind w:left="380"/>
              <w:spacing w:after="0"/>
              <w:rPr>
                <w:sz w:val="20"/>
                <w:szCs w:val="20"/>
                <w:color w:val="auto"/>
              </w:rPr>
            </w:pPr>
            <w:r>
              <w:rPr>
                <w:rFonts w:ascii="Times New Roman" w:cs="Times New Roman" w:eastAsia="Times New Roman" w:hAnsi="Times New Roman"/>
                <w:sz w:val="18"/>
                <w:szCs w:val="18"/>
                <w:color w:val="auto"/>
              </w:rPr>
              <w:t>section of this Proxy Statement for additional information on how to attend in person.</w:t>
            </w: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and vote my shares at the Annual Meeting?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This year’s Annual Meeting will be held at 492 Old Connecticut Path, Framingham, MA 01701. The instructions for how to attend the Annual Meeting and vote, including how to demonstrate proof of stock ownership, are posted at </w:t>
      </w:r>
      <w:r>
        <w:rPr>
          <w:rFonts w:ascii="Times New Roman" w:cs="Times New Roman" w:eastAsia="Times New Roman" w:hAnsi="Times New Roman"/>
          <w:sz w:val="18"/>
          <w:szCs w:val="18"/>
          <w:i w:val="1"/>
          <w:iCs w:val="1"/>
          <w:color w:val="auto"/>
        </w:rPr>
        <w:t>www.proxydocs.com/DH</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If you plan to attend the Annual Meeting in person, please email </w:t>
      </w:r>
      <w:r>
        <w:rPr>
          <w:rFonts w:ascii="Times New Roman" w:cs="Times New Roman" w:eastAsia="Times New Roman" w:hAnsi="Times New Roman"/>
          <w:sz w:val="18"/>
          <w:szCs w:val="18"/>
          <w:i w:val="1"/>
          <w:iCs w:val="1"/>
          <w:color w:val="auto"/>
        </w:rPr>
        <w:t>annualmeeting@definitivehc.com</w:t>
      </w:r>
      <w:r>
        <w:rPr>
          <w:rFonts w:ascii="Times New Roman" w:cs="Times New Roman" w:eastAsia="Times New Roman" w:hAnsi="Times New Roman"/>
          <w:sz w:val="18"/>
          <w:szCs w:val="18"/>
          <w:color w:val="auto"/>
        </w:rPr>
        <w:t xml:space="preserve"> prior to the Annual Meeting to confirm local visitor requirements, as circumstances may change upon short notice. For example, then-current COVID protocols may require visitors to pre-register and complete a symptoms checklist prior to entering the building.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on or about the same time?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change my vote or revoke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Whether you have voted by Internet, telephone, or mail, if you are a stockholder of record, you may change your vote and revoke your proxy by:</w:t>
      </w:r>
    </w:p>
    <w:p>
      <w:pPr>
        <w:spacing w:after="0" w:line="131"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statement to that effect to our Secretary, provided such statement is received no later than May 31, 2023;</w:t>
      </w:r>
    </w:p>
    <w:p>
      <w:pPr>
        <w:spacing w:after="0" w:line="130"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Internet or telephone at a later time than your previous vote and before the closing of those voting facilities at the Annual Meeting on June 1, 2023;</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3" w:right="439" w:bottom="1440" w:gutter="0" w:footer="0" w:header="0"/>
        </w:sectPr>
      </w:pPr>
    </w:p>
    <w:bookmarkStart w:id="9" w:name="page10"/>
    <w:bookmarkEnd w:id="9"/>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submitting a properly signed proxy card, which has a later date than your previous vote, and that is received no later than May 31, 2023;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please refer to information from your bank, broker, or other nominee on how to revoke or submit new voting instructions.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not aware of any matters to be voted on by stockholders at the Annual Meeting other than those referenced above. If any matter is properly presented at the Annual Meeting, your executed proxy gives your proxy holder discretionary authority to vote your shares in accordance with their best judgment with respect to the matter.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provided in the “question and answer” format above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97"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NO. 1—ELECTION OF CLASS II DIRECTORS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Charter provides for a classified Board of Directors divided into three classes. Chris Egan, Samuel A. Hamood, Jill Larsen, and Sastry Chilukuri constitute a class with a term that expires at the Annual Meeting of Stockholders in 2023 (the “Class II Directors”); Jeff Haywood, Robert Musslewhite, and Kathleen A. Winters constitute a class with a term that expires at the Annual Meeting of Stockholders in 2024 (the “Class III Directors”); and Jason Krantz, Chris Mitchell, and Lauren Young constitute a class with a term that expires at the Annual Meeting of Stockholders in 2025 (the “Class I Directors”). Mr. Chilukuri was appointed to the Board of Directors and the Audit Committee concurrently with the resignation of D. Randall Winn, effective September 30, 2022. Mr. Winn served on the Board of Directors from September 2019 until such date.</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Upon the recommendation of the Nominating and Corporate Governance Committee, the Board of Directors has considered and nominated the following slate of nominees to serve as Class II Directors for a three-year term expiring at the Annual Meeting of Stockholders in 2026: Chris Egan, Samuel A. Hamood, Jill Larsen, and Sastry Chilukuri. Action will be taken at the Annual Meeting for the election of these four Class II Director nominees.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Unless otherwise instructed, the persons named in the form of proxy card (the “proxyholders”) included with this Proxy Statement intend to vote the proxies held by them “FOR” the election of the director nominees. All of the nominees have indicated that they will be willing and able to serve as directors. Each person nominated for election has agreed to be named in this Proxy Statement and to serve if elected. We have no reason to believe that any of the nominees will be unavailable or, if elected, will decline to serve. In the event that any of the nominees should be unable to serve or for good cause will not serve, proxies will be voted for a substitute as designated by the Board, or alternatively, the Board may leave a vacancy on the Board or reduce the size of the Board.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Agreements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September 17, 2021, in connection with the initial public offering of our Class A common stock completed September 17, 2021(our “IPO”), we entered into nominating agreements with each of an affiliate of Advent, Jason Krantz, and Spectrum Equity, which provide that, subject to certain stock ownership thresholds, the Company will include two designees of Advent, one designee of Jason Krantz, and one designee of Spectrum Equity, respectively, in the slate of director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 Chris Egan and Lauren Young are the designees of Advent, Jason Krantz is the designee of Jason Krantz, and Jeff Haywood is the designee of Spectrum Equity.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 in 2023</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nominees is shown under “Ownership of Securities”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93" w:right="4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Class II – Nominees for term expiring in 2026</w:t>
            </w:r>
          </w:p>
        </w:tc>
      </w:tr>
      <w:tr>
        <w:trPr>
          <w:trHeight w:val="412"/>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24"/>
                <w:szCs w:val="24"/>
                <w:color w:val="auto"/>
              </w:rPr>
            </w:pPr>
          </w:p>
        </w:tc>
        <w:tc>
          <w:tcPr>
            <w:tcW w:w="760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r>
      <w:tr>
        <w:trPr>
          <w:trHeight w:val="221"/>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7"/>
              </w:rPr>
              <w:t>Chris</w:t>
            </w:r>
          </w:p>
        </w:tc>
        <w:tc>
          <w:tcPr>
            <w:tcW w:w="2620" w:type="dxa"/>
            <w:vAlign w:val="bottom"/>
          </w:tcPr>
          <w:p>
            <w:pPr>
              <w:ind w:left="80"/>
              <w:spacing w:after="0" w:line="195" w:lineRule="exact"/>
              <w:rPr>
                <w:sz w:val="20"/>
                <w:szCs w:val="20"/>
                <w:color w:val="auto"/>
              </w:rPr>
            </w:pPr>
            <w:r>
              <w:rPr>
                <w:rFonts w:ascii="Times New Roman" w:cs="Times New Roman" w:eastAsia="Times New Roman" w:hAnsi="Times New Roman"/>
                <w:sz w:val="18"/>
                <w:szCs w:val="18"/>
                <w:color w:val="auto"/>
              </w:rPr>
              <w:t>Egan</w:t>
            </w:r>
          </w:p>
        </w:tc>
        <w:tc>
          <w:tcPr>
            <w:tcW w:w="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7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Mr. Egan has served as a member of the Board of Directors of the Company since July 2019.</w:t>
            </w:r>
          </w:p>
        </w:tc>
      </w:tr>
      <w:tr>
        <w:trPr>
          <w:trHeight w:val="422"/>
        </w:trPr>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Egan is a Managing Partner of Advent International Corporation, which he joined in 2000. Prior to</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Advent, Mr. Egan served as an analyst at UBS, a Swiss multinational investment bank and financial</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services company. Mr. Egan currently serves or has served on the board of directors of Ansira Holdings,</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NielsenIQ, and Xplor Technologies, each a private company. Additionally, Mr. Egan serves on the board</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directors of CCC Intelligent Solutions Holdings Inc., a public company. Mr. Egan holds a B.A. in</w:t>
            </w: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English and Economics from Dartmouth College.</w:t>
            </w:r>
          </w:p>
        </w:tc>
      </w:tr>
      <w:tr>
        <w:trPr>
          <w:trHeight w:val="441"/>
        </w:trPr>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 believe Mr. Egan is qualified to serve on our Board of Directors because of his financial knowledge,</w:t>
            </w: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experience, and his service as director of other software solutions companies.</w:t>
            </w:r>
          </w:p>
        </w:tc>
      </w:tr>
      <w:tr>
        <w:trPr>
          <w:trHeight w:val="44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A. Hamood</w:t>
            </w:r>
          </w:p>
        </w:tc>
        <w:tc>
          <w:tcPr>
            <w:tcW w:w="8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54  Mr. Hamood has served as a member of the Board of Directors of the Company since September 2020.</w:t>
            </w:r>
          </w:p>
        </w:tc>
      </w:tr>
      <w:tr>
        <w:trPr>
          <w:trHeight w:val="441"/>
        </w:trPr>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Hamood currently serves as President and Chief Administrative and Financial Officer at Culligan</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International Co (“Culligan”), which he joined in August 2019. Prior to his time at Culligan,</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Hamood served as interim Chief Executive Officer and President of ATI Physical Therapy, Inc., a</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nationally recognized rehabilitation provider, from January 2018 to August 2019. Prior to his time at ATI</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Physical Therapy, Inc., Mr. Hamood served as Executive Vice President and Chief Financial Officer of</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Change HealthCare Corporation from 2017 to 2018, and as Executive Vice President and Chief Financial</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 of TransUnion from 2008 to 2018. Mr. Hamood also previously served on the board of directors</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 Culligan from 2016 to 2019 and currently serves on the boards of directors of Accentcare, a private</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company. Mr. Hamood is a Certified Public Accountant (inactive status), and he received his Bachelor of</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Business Administration in finance at The University of Iowa, and his Juris Doctor from Southwestern</w:t>
            </w: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University School of Law.</w:t>
            </w:r>
          </w:p>
        </w:tc>
      </w:tr>
      <w:tr>
        <w:trPr>
          <w:trHeight w:val="441"/>
        </w:trPr>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We believe Mr. Hamood is qualified to serve on our Board of Directors because of his financial expertise</w:t>
            </w: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experience in, and knowledge of, the healthcare industry.</w:t>
            </w:r>
          </w:p>
        </w:tc>
      </w:tr>
      <w:tr>
        <w:trPr>
          <w:trHeight w:val="445"/>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Larsen</w:t>
            </w:r>
          </w:p>
        </w:tc>
        <w:tc>
          <w:tcPr>
            <w:tcW w:w="8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50  Ms. Larsen has served as a member of the Board of Directors of the Company since April 2021.</w:t>
            </w:r>
          </w:p>
        </w:tc>
      </w:tr>
      <w:tr>
        <w:trPr>
          <w:trHeight w:val="459"/>
        </w:trPr>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Larsen currently serves as a HCM consultant and founder of DigitalHR LLC. Prior to joining the</w:t>
            </w:r>
          </w:p>
        </w:tc>
      </w:tr>
    </w:tbl>
    <w:p>
      <w:pPr>
        <w:ind w:left="342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company, Ms. Larsen served as the Chief People Officer &amp; Executive Vice President at PTC Inc., a global software company in the industrial and manufacturing space, from January 2020 to March 2022. Prior to her time at PTC, Ms. Larsen served as the Executive Vice President Human Resources and Chief Human Resources Officer of Medidata Solutions, Inc., from April 2018 to January 2020.</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93" w:right="439" w:bottom="1440" w:gutter="0" w:footer="0" w:header="0"/>
        </w:sectPr>
      </w:pPr>
    </w:p>
    <w:bookmarkStart w:id="12" w:name="page13"/>
    <w:bookmarkEnd w:id="12"/>
    <w:p>
      <w:pPr>
        <w:spacing w:after="0"/>
        <w:tabs>
          <w:tab w:leader="none" w:pos="3000" w:val="left"/>
          <w:tab w:leader="none" w:pos="5860" w:val="left"/>
        </w:tabs>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Name</w:t>
      </w:r>
      <w:r>
        <w:rPr>
          <w:sz w:val="20"/>
          <w:szCs w:val="20"/>
          <w:color w:val="auto"/>
        </w:rPr>
        <w:tab/>
      </w:r>
      <w:r>
        <w:rPr>
          <w:rFonts w:ascii="Times New Roman" w:cs="Times New Roman" w:eastAsia="Times New Roman" w:hAnsi="Times New Roman"/>
          <w:sz w:val="14"/>
          <w:szCs w:val="14"/>
          <w:b w:val="1"/>
          <w:bCs w:val="1"/>
          <w:color w:val="auto"/>
        </w:rPr>
        <w:t>Age</w:t>
      </w:r>
      <w:r>
        <w:rPr>
          <w:sz w:val="20"/>
          <w:szCs w:val="20"/>
          <w:color w:val="auto"/>
        </w:rPr>
        <w:tab/>
      </w:r>
      <w:r>
        <w:rPr>
          <w:rFonts w:ascii="Times New Roman" w:cs="Times New Roman" w:eastAsia="Times New Roman" w:hAnsi="Times New Roman"/>
          <w:sz w:val="14"/>
          <w:szCs w:val="14"/>
          <w:b w:val="1"/>
          <w:bCs w:val="1"/>
          <w:color w:val="auto"/>
        </w:rPr>
        <w:t>Principal occupation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16510</wp:posOffset>
            </wp:positionV>
            <wp:extent cx="5100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9" w:lineRule="exact"/>
        <w:rPr>
          <w:sz w:val="20"/>
          <w:szCs w:val="20"/>
          <w:color w:val="auto"/>
        </w:rPr>
      </w:pPr>
    </w:p>
    <w:p>
      <w:pPr>
        <w:ind w:left="3420" w:right="40"/>
        <w:spacing w:after="0" w:line="253" w:lineRule="auto"/>
        <w:rPr>
          <w:sz w:val="20"/>
          <w:szCs w:val="20"/>
          <w:color w:val="auto"/>
        </w:rPr>
      </w:pPr>
      <w:r>
        <w:rPr>
          <w:rFonts w:ascii="Times New Roman" w:cs="Times New Roman" w:eastAsia="Times New Roman" w:hAnsi="Times New Roman"/>
          <w:sz w:val="18"/>
          <w:szCs w:val="18"/>
          <w:color w:val="auto"/>
        </w:rPr>
        <w:t>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and was chief human resources officer of RSA, the security division of Dell EMC. Ms. Larsen currently serves on the board of directors of Sterling Check Corp., a public company. Ms. Larsen is PHR certified, received her B.A. in communications and English from Boston College and her MS in Human Resources Management from Emmanuel College.</w:t>
      </w:r>
    </w:p>
    <w:p>
      <w:pPr>
        <w:spacing w:after="0" w:line="217" w:lineRule="exact"/>
        <w:rPr>
          <w:sz w:val="20"/>
          <w:szCs w:val="20"/>
          <w:color w:val="auto"/>
        </w:rPr>
      </w:pPr>
    </w:p>
    <w:p>
      <w:pPr>
        <w:ind w:left="3420" w:right="480"/>
        <w:spacing w:after="0" w:line="312" w:lineRule="auto"/>
        <w:rPr>
          <w:sz w:val="20"/>
          <w:szCs w:val="20"/>
          <w:color w:val="auto"/>
        </w:rPr>
      </w:pPr>
      <w:r>
        <w:rPr>
          <w:rFonts w:ascii="Times New Roman" w:cs="Times New Roman" w:eastAsia="Times New Roman" w:hAnsi="Times New Roman"/>
          <w:sz w:val="17"/>
          <w:szCs w:val="17"/>
          <w:color w:val="auto"/>
        </w:rPr>
        <w:t>We believe Ms. Larsen is qualified to serve on our Board of Directors because of her extensive experience in talent acquisition strategies and human resources expertise in technology companies.</w:t>
      </w:r>
    </w:p>
    <w:p>
      <w:pPr>
        <w:spacing w:after="0" w:line="153" w:lineRule="exact"/>
        <w:rPr>
          <w:sz w:val="20"/>
          <w:szCs w:val="20"/>
          <w:color w:val="auto"/>
        </w:rPr>
      </w:pPr>
    </w:p>
    <w:p>
      <w:pPr>
        <w:spacing w:after="0"/>
        <w:tabs>
          <w:tab w:leader="none" w:pos="3040" w:val="left"/>
          <w:tab w:leader="none" w:pos="3400" w:val="left"/>
        </w:tabs>
        <w:rPr>
          <w:sz w:val="20"/>
          <w:szCs w:val="20"/>
          <w:color w:val="auto"/>
        </w:rPr>
      </w:pPr>
      <w:r>
        <w:rPr>
          <w:rFonts w:ascii="Times New Roman" w:cs="Times New Roman" w:eastAsia="Times New Roman" w:hAnsi="Times New Roman"/>
          <w:sz w:val="18"/>
          <w:szCs w:val="18"/>
          <w:color w:val="auto"/>
        </w:rPr>
        <w:t>Sastry Chilukuri</w:t>
      </w:r>
      <w:r>
        <w:rPr>
          <w:sz w:val="20"/>
          <w:szCs w:val="20"/>
          <w:color w:val="auto"/>
        </w:rPr>
        <w:tab/>
      </w: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Mr. Chilukuri has served as a member of the Board of Directors of the Company since September 2022.</w:t>
      </w:r>
    </w:p>
    <w:p>
      <w:pPr>
        <w:spacing w:after="0" w:line="252" w:lineRule="exact"/>
        <w:rPr>
          <w:sz w:val="20"/>
          <w:szCs w:val="20"/>
          <w:color w:val="auto"/>
        </w:rPr>
      </w:pPr>
    </w:p>
    <w:p>
      <w:pPr>
        <w:ind w:left="3420" w:right="80"/>
        <w:spacing w:after="0" w:line="270" w:lineRule="auto"/>
        <w:rPr>
          <w:sz w:val="20"/>
          <w:szCs w:val="20"/>
          <w:color w:val="auto"/>
        </w:rPr>
      </w:pPr>
      <w:r>
        <w:rPr>
          <w:rFonts w:ascii="Times New Roman" w:cs="Times New Roman" w:eastAsia="Times New Roman" w:hAnsi="Times New Roman"/>
          <w:sz w:val="17"/>
          <w:szCs w:val="17"/>
          <w:color w:val="auto"/>
        </w:rPr>
        <w:t>Mr. Chilukuri, 48, currently serves as a strategic advisor to Medidata, a Dassault Systèmes global software company serving the pharmaceutical, biotech, medical device, and contract research industries, and was Co-Chief Executive Officer of Medidata from July 2021 to January 2023. Mr. Chilukuri is also Founder and President of Acorn AI, Medidata’s data science business, which he founded in January</w:t>
      </w:r>
    </w:p>
    <w:p>
      <w:pPr>
        <w:spacing w:after="0" w:line="3" w:lineRule="exact"/>
        <w:rPr>
          <w:sz w:val="20"/>
          <w:szCs w:val="20"/>
          <w:color w:val="auto"/>
        </w:rPr>
      </w:pPr>
    </w:p>
    <w:p>
      <w:pPr>
        <w:ind w:left="3420"/>
        <w:spacing w:after="0" w:line="253" w:lineRule="auto"/>
        <w:rPr>
          <w:sz w:val="20"/>
          <w:szCs w:val="20"/>
          <w:color w:val="auto"/>
        </w:rPr>
      </w:pPr>
      <w:r>
        <w:rPr>
          <w:rFonts w:ascii="Times New Roman" w:cs="Times New Roman" w:eastAsia="Times New Roman" w:hAnsi="Times New Roman"/>
          <w:sz w:val="18"/>
          <w:szCs w:val="18"/>
          <w:color w:val="auto"/>
        </w:rPr>
        <w:t>2019. Prior to his time at Medidata, Mr. Chilukuri served as a Partner at McKinsey &amp; Company, a global management consulting firm, from July 2006 to January 2019. Mr. Chilukuri currently serves on the board of Cyclica, a private company. Mr. Chilukuri holds a B.Tech from the Indian Institute of Technology (Banaras Hindu University), Varanasi, an M.S. from The Ohio State University, and an MBA from the Northwestern University Kellogg School of Management.</w:t>
      </w:r>
    </w:p>
    <w:p>
      <w:pPr>
        <w:spacing w:after="0" w:line="214" w:lineRule="exact"/>
        <w:rPr>
          <w:sz w:val="20"/>
          <w:szCs w:val="20"/>
          <w:color w:val="auto"/>
        </w:rPr>
      </w:pPr>
    </w:p>
    <w:p>
      <w:pPr>
        <w:ind w:left="3420" w:right="480"/>
        <w:spacing w:after="0" w:line="266" w:lineRule="auto"/>
        <w:rPr>
          <w:sz w:val="20"/>
          <w:szCs w:val="20"/>
          <w:color w:val="auto"/>
        </w:rPr>
      </w:pPr>
      <w:r>
        <w:rPr>
          <w:rFonts w:ascii="Times New Roman" w:cs="Times New Roman" w:eastAsia="Times New Roman" w:hAnsi="Times New Roman"/>
          <w:sz w:val="18"/>
          <w:szCs w:val="18"/>
          <w:color w:val="auto"/>
        </w:rPr>
        <w:t>We believe Mr. Chilukuri is qualified to serve on our Board of Directors because of his technology expertise, consulting experience, knowledge of the healthcare industry, and experience with data analytics.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OF THE DIRECTOR NOMINEES NAMED ABOVE.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Continuing Members of the Board of Directors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the offices held, other business directorships, and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III – Directors whose term expires in 2024</w:t>
      </w:r>
    </w:p>
    <w:p>
      <w:pPr>
        <w:sectPr>
          <w:pgSz w:w="11900" w:h="16838" w:orient="portrait"/>
          <w:cols w:equalWidth="0" w:num="1">
            <w:col w:w="10960"/>
          </w:cols>
          <w:pgMar w:left="440" w:top="293" w:right="49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Haywood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Musslewhite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Principal occupation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16510</wp:posOffset>
            </wp:positionV>
            <wp:extent cx="47491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1" w:lineRule="exact"/>
        <w:rPr>
          <w:sz w:val="20"/>
          <w:szCs w:val="20"/>
          <w:color w:val="auto"/>
        </w:rPr>
      </w:pPr>
    </w:p>
    <w:p>
      <w:pPr>
        <w:ind w:left="460" w:hanging="43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Haywood has served as a member of the Board of Directors of the Company since February 2015.</w:t>
      </w:r>
    </w:p>
    <w:p>
      <w:pPr>
        <w:spacing w:after="0" w:line="232" w:lineRule="exact"/>
        <w:rPr>
          <w:rFonts w:ascii="Times New Roman" w:cs="Times New Roman" w:eastAsia="Times New Roman" w:hAnsi="Times New Roman"/>
          <w:sz w:val="18"/>
          <w:szCs w:val="18"/>
          <w:color w:val="auto"/>
        </w:rPr>
      </w:pPr>
    </w:p>
    <w:p>
      <w:pPr>
        <w:ind w:left="4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Haywood is a Managing Director at Spectrum Equity, which he joined in February 2007. Prior to Spectrum Equity, Mr. Haywood served as an associate at Thoma Cressey Equity Partners, an American private equity and growth capital firm, and as an analyst at Goldman Sachs. Mr. Haywood also currently serves on the board of directors of RxVantage, Datassential, and Membersy Topco, LLC. Mr. Haywood also currently serves as a Board Observer at Everlywell. Previously, Mr. Haywood has served on the board of directors or as a board observer of a range of private companies in the technology, healthcare, and data industries. Mr. Haywood holds a B.A. in Political Science and History from Duke University.</w:t>
      </w:r>
    </w:p>
    <w:p>
      <w:pPr>
        <w:spacing w:after="0" w:line="218" w:lineRule="exact"/>
        <w:rPr>
          <w:rFonts w:ascii="Times New Roman" w:cs="Times New Roman" w:eastAsia="Times New Roman" w:hAnsi="Times New Roman"/>
          <w:sz w:val="18"/>
          <w:szCs w:val="18"/>
          <w:color w:val="auto"/>
        </w:rPr>
      </w:pPr>
    </w:p>
    <w:p>
      <w:pPr>
        <w:ind w:left="460" w:right="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189" w:lineRule="exact"/>
        <w:rPr>
          <w:sz w:val="20"/>
          <w:szCs w:val="20"/>
          <w:color w:val="auto"/>
        </w:rPr>
      </w:pPr>
    </w:p>
    <w:p>
      <w:pPr>
        <w:ind w:left="460" w:right="300" w:hanging="435"/>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Musslewhite has served as the Company’s Chief Executive Officer since August 2022 and as a member of the Board of Directors of the Company since June 2021.</w:t>
      </w:r>
    </w:p>
    <w:p>
      <w:pPr>
        <w:spacing w:after="0" w:line="188" w:lineRule="exact"/>
        <w:rPr>
          <w:rFonts w:ascii="Times New Roman" w:cs="Times New Roman" w:eastAsia="Times New Roman" w:hAnsi="Times New Roman"/>
          <w:sz w:val="18"/>
          <w:szCs w:val="18"/>
          <w:color w:val="auto"/>
        </w:rPr>
      </w:pPr>
    </w:p>
    <w:p>
      <w:pPr>
        <w:ind w:left="4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that, Mr. Musslewhite served as President of the Company commencing in October 2021. Prior to joining the Company, Mr. Musslewhite was the Chief Executive Officer of OptumInsight, the health services business of Optum, from August 2019 through August 2021, Optum360, Optum’s medical billing and coding business from March 2019 to August 2019, and Optum Analytics and Advisory Board Research, which provides research on healthcare strategy, care delivery, and operations from 2017 to March 2019. Mr. Musslewhite also served as Chief Executive Officer of The Advisory Board Company from 2008 until 2017 and Chairman from 2013 to 2017, at which time the Company was acquired by Optum. Prior to joining The Advisory Board Company, Mr. Musslewhite was an Associate Principal with McKinsey &amp; Company, a global management consulting firm. Mr. Musslewhite currently serves on the boards of directors of CoStar Group, a public company, and Ascend Learning and Iodine Software, which are private companies, and is a member of the Economics Club of Washington D.C. Mr. Musslewhite</w:t>
      </w:r>
    </w:p>
    <w:p>
      <w:pPr>
        <w:spacing w:after="0" w:line="13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2360" w:space="720"/>
            <w:col w:w="7880"/>
          </w:cols>
          <w:pgMar w:left="440" w:top="293"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Kathleen Winters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Krantz</w:t>
      </w:r>
    </w:p>
    <w:p>
      <w:pPr>
        <w:spacing w:after="0" w:line="20" w:lineRule="exact"/>
        <w:rPr>
          <w:sz w:val="20"/>
          <w:szCs w:val="20"/>
          <w:color w:val="auto"/>
        </w:rPr>
      </w:pPr>
      <w:r>
        <w:rPr>
          <w:sz w:val="20"/>
          <w:szCs w:val="20"/>
          <w:color w:val="auto"/>
        </w:rPr>
        <w:br w:type="column"/>
      </w:r>
    </w:p>
    <w:p>
      <w:pPr>
        <w:ind w:left="120"/>
        <w:spacing w:after="0"/>
        <w:tabs>
          <w:tab w:leader="none" w:pos="2960" w:val="left"/>
        </w:tabs>
        <w:rPr>
          <w:sz w:val="20"/>
          <w:szCs w:val="20"/>
          <w:color w:val="auto"/>
        </w:rPr>
      </w:pP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Principal occupation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-197485</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16510</wp:posOffset>
            </wp:positionV>
            <wp:extent cx="4749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received a J.D. from Harvard Law School and an A.B. in Economics from Princeton University.</w:t>
      </w:r>
    </w:p>
    <w:p>
      <w:pPr>
        <w:spacing w:after="0" w:line="232" w:lineRule="exact"/>
        <w:rPr>
          <w:sz w:val="20"/>
          <w:szCs w:val="20"/>
          <w:color w:val="auto"/>
        </w:rPr>
      </w:pPr>
    </w:p>
    <w:p>
      <w:pPr>
        <w:ind w:left="580" w:right="180"/>
        <w:spacing w:after="0" w:line="312" w:lineRule="auto"/>
        <w:rPr>
          <w:sz w:val="20"/>
          <w:szCs w:val="20"/>
          <w:color w:val="auto"/>
        </w:rPr>
      </w:pPr>
      <w:r>
        <w:rPr>
          <w:rFonts w:ascii="Times New Roman" w:cs="Times New Roman" w:eastAsia="Times New Roman" w:hAnsi="Times New Roman"/>
          <w:sz w:val="17"/>
          <w:szCs w:val="17"/>
          <w:color w:val="auto"/>
        </w:rPr>
        <w:t>We believe Mr. Musslewhite is qualified to serve on our Board of Directors because of his consulting experience, knowledge of the healthcare industry, and experience with healthcare data analytics.</w:t>
      </w:r>
    </w:p>
    <w:p>
      <w:pPr>
        <w:spacing w:after="0" w:line="153" w:lineRule="exact"/>
        <w:rPr>
          <w:sz w:val="20"/>
          <w:szCs w:val="20"/>
          <w:color w:val="auto"/>
        </w:rPr>
      </w:pPr>
    </w:p>
    <w:p>
      <w:pPr>
        <w:ind w:left="580" w:hanging="435"/>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Winters has served as a member of the Board of Directors of the Company since October 2021.</w:t>
      </w:r>
    </w:p>
    <w:p>
      <w:pPr>
        <w:spacing w:after="0" w:line="252" w:lineRule="exact"/>
        <w:rPr>
          <w:rFonts w:ascii="Times New Roman" w:cs="Times New Roman" w:eastAsia="Times New Roman" w:hAnsi="Times New Roman"/>
          <w:sz w:val="18"/>
          <w:szCs w:val="18"/>
          <w:color w:val="auto"/>
        </w:rPr>
      </w:pPr>
    </w:p>
    <w:p>
      <w:pPr>
        <w:ind w:left="5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Winters is an independent director and former CFO. In addition to our Board of Directors, Ms. Winters currently serves as a member of the board of directors of American Express Global Business Travel, a public company. Ms. Winters served as Chief Financial Officer at Automatic Data Processing Inc. from 2019 to 2021, a global technology company providing human capital management solutions. At Automatic Data Processing Inc., she was responsible for leading the global finance organization and representing the company to investors, lenders, and rating agencies, and she played a significant role in driving the company’s strategy, growth, and operational effectiveness. Prior to Automatic Data Processing Inc., Ms. Winters served as Chief Financial Officer at MSCI, Inc., a provider of investment decision support tools, including indexes, for institutional investors from 2016 to March 2019. Before that, she spent 14 years in various financial leadership roles at Honeywell International from 2002 to 2016. Ms. Winters began her career at PricewaterhouseCoopers LLP, serving clients primarily in the entertainment and media industries. Ms. Winters holds a bachelor’s degree from Boston College and is a Certified Public Accountant (inactive status).</w:t>
      </w:r>
    </w:p>
    <w:p>
      <w:pPr>
        <w:spacing w:after="0" w:line="214" w:lineRule="exact"/>
        <w:rPr>
          <w:rFonts w:ascii="Times New Roman" w:cs="Times New Roman" w:eastAsia="Times New Roman" w:hAnsi="Times New Roman"/>
          <w:sz w:val="18"/>
          <w:szCs w:val="18"/>
          <w:color w:val="auto"/>
        </w:rPr>
      </w:pPr>
    </w:p>
    <w:p>
      <w:pPr>
        <w:ind w:left="580" w:right="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Ms. Winters is qualified to serve on our Board of Directors because of her financial expertise, numerous leadership positions in financial roles, and extensive experience serving the financial and technology sectors.</w:t>
      </w:r>
    </w:p>
    <w:p>
      <w:pPr>
        <w:spacing w:after="0" w:line="200" w:lineRule="exact"/>
        <w:rPr>
          <w:sz w:val="20"/>
          <w:szCs w:val="20"/>
          <w:color w:val="auto"/>
        </w:rPr>
      </w:pPr>
    </w:p>
    <w:p>
      <w:pPr>
        <w:spacing w:after="0" w:line="20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Class I – Directors whose term expires in 2025</w:t>
      </w:r>
    </w:p>
    <w:p>
      <w:pPr>
        <w:spacing w:after="0" w:line="250"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Principal occupation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16510</wp:posOffset>
            </wp:positionV>
            <wp:extent cx="4612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21" w:lineRule="exact"/>
        <w:rPr>
          <w:sz w:val="20"/>
          <w:szCs w:val="20"/>
          <w:color w:val="auto"/>
        </w:rPr>
      </w:pPr>
    </w:p>
    <w:p>
      <w:pPr>
        <w:ind w:left="780" w:right="180" w:hanging="711"/>
        <w:spacing w:after="0" w:line="254"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Krantz has served as Executive Chairman of the Board of Directors of the Company since August 2022, having previously served as Chief Executive Officer and director since founding the Company in February 2011.</w:t>
      </w:r>
    </w:p>
    <w:p>
      <w:pPr>
        <w:spacing w:after="0" w:line="213" w:lineRule="exact"/>
        <w:rPr>
          <w:rFonts w:ascii="Times New Roman" w:cs="Times New Roman" w:eastAsia="Times New Roman" w:hAnsi="Times New Roman"/>
          <w:sz w:val="18"/>
          <w:szCs w:val="18"/>
          <w:color w:val="auto"/>
        </w:rPr>
      </w:pPr>
    </w:p>
    <w:p>
      <w:pPr>
        <w:ind w:left="78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founding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build several intelligence and analytics companies including Energy Acuity, a privately held provider of intelligence on the alternative energy market,</w:t>
      </w:r>
    </w:p>
    <w:p>
      <w:pPr>
        <w:spacing w:after="0" w:line="1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2240" w:space="720"/>
            <w:col w:w="8040"/>
          </w:cols>
          <w:pgMar w:left="440" w:top="290"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0"/>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728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r>
      <w:tr>
        <w:trPr>
          <w:trHeight w:val="198"/>
        </w:trPr>
        <w:tc>
          <w:tcPr>
            <w:tcW w:w="360" w:type="dxa"/>
            <w:vAlign w:val="bottom"/>
            <w:tcBorders>
              <w:top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and Xtelligent Media, a privately held integrated marketing company focused on the healthcare</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industry. Mr. Krantz previously served on the board of directors of RainKing Solutions, a private</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company, from 2015 until 2017. Mr. Krantz currently serves as Chief Executive Officer of Ninigret</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Capital, a private company, and on the board of directors of CapHedge Ventures Inc., and FINTRX,</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each private companies. Mr. Krantz holds a B.S. in Finance and Computer Science from Boston</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College and an M.B.A. from Harvard Business School.</w:t>
            </w:r>
          </w:p>
        </w:tc>
      </w:tr>
      <w:tr>
        <w:trPr>
          <w:trHeight w:val="441"/>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We believe Mr. Krantz is qualified to serve on our Board of Directors because of his entrepreneurial</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experiences, finance and data analytics expertise, as well as knowledge of the healthcare industry.</w:t>
            </w:r>
          </w:p>
        </w:tc>
      </w:tr>
      <w:tr>
        <w:trPr>
          <w:trHeight w:val="42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Mitchell</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51</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Mr. Mitchell has served as a member of the Board of Directors of the Company since February</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r>
      <w:tr>
        <w:trPr>
          <w:trHeight w:val="441"/>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w w:val="99"/>
              </w:rPr>
              <w:t>Mr. Mitchell is a Managing Director at Spectrum Equity, which he joined in 2001. Prior to Spectrum</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Equity, Mr. Mitchell worked as a principal at Monitor Clipper Partners, a middle-market private</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equity firm, and as an associate at TA Associates, a global growth private equity firm. Mr. Mitchell</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currently serves on the board of directors of the following companies: SponsorUnited, Titan</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Transport (formerly Tenstreet), and Varicent Software, which are each private companies.</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Previously, Mr. Mitchell has served on the board of directors of a range of private companies in the</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data analytics and information services industries. Mr. Mitchell holds an A.B. in Classics from</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Princeton University.</w:t>
            </w:r>
          </w:p>
        </w:tc>
      </w:tr>
      <w:tr>
        <w:trPr>
          <w:trHeight w:val="441"/>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We believe Mr. Mitchell is qualified to serve on our Board of Directors because of his expertise in</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finance and investment and his service as a director of a broad range of companies in the data</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analytics and information services industries.</w:t>
            </w:r>
          </w:p>
        </w:tc>
      </w:tr>
      <w:tr>
        <w:trPr>
          <w:trHeight w:val="4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Young</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Ms. Young has served as a member of the Board of Directors of the Company since July 2019.</w:t>
            </w:r>
          </w:p>
        </w:tc>
      </w:tr>
      <w:tr>
        <w:trPr>
          <w:trHeight w:val="459"/>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Ms. Young is a Managing Director of Advent International Corporation (“Advent”), a private equity</w:t>
            </w:r>
          </w:p>
        </w:tc>
      </w:tr>
    </w:tbl>
    <w:p>
      <w:pPr>
        <w:ind w:left="3740" w:right="1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firm that focuses on investments in five core sectors: business and financial services; healthcare; industrial; retail, consumer, and leisure; and technology. Ms. Young joined Advent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Iodine Software, each private companies. Additionally, Ms. Young serves on the board of directors of CCC Intelligent Solutions Holdings Inc., a public company. Ms. Young holds a B.A. from Davidson College and an M.B.A. from the Harvard Business School.</w:t>
      </w:r>
    </w:p>
    <w:p>
      <w:pPr>
        <w:spacing w:after="0" w:line="220" w:lineRule="exact"/>
        <w:rPr>
          <w:sz w:val="20"/>
          <w:szCs w:val="20"/>
          <w:color w:val="auto"/>
        </w:rPr>
      </w:pPr>
    </w:p>
    <w:p>
      <w:pPr>
        <w:jc w:val="both"/>
        <w:ind w:left="3740" w:right="520"/>
        <w:spacing w:after="0" w:line="266" w:lineRule="auto"/>
        <w:rPr>
          <w:sz w:val="20"/>
          <w:szCs w:val="20"/>
          <w:color w:val="auto"/>
        </w:rPr>
      </w:pPr>
      <w:r>
        <w:rPr>
          <w:rFonts w:ascii="Times New Roman" w:cs="Times New Roman" w:eastAsia="Times New Roman" w:hAnsi="Times New Roman"/>
          <w:sz w:val="18"/>
          <w:szCs w:val="18"/>
          <w:color w:val="auto"/>
        </w:rPr>
        <w:t>We believe Ms. Young is qualified to serve on our Board of Directors because of her financial knowledge, investment experience across industries, and service as director of other software solutions companies.</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90" w:right="4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BOARD OF DIRECTORS AND CERTAIN GOVERNANCE MATTERS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Charter provides that our Board must consist of at least one director, or such larger number as may be fixed from time to time by a resolution of at least a majority of the directors then in office. Our Board is composed of ten directors divided into three classes, with terms staggered according to class. See “Proposal No. 1 – Election of Class II Directors”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Independence Determinations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Under our Corporate Governance Guidelines, the Board will have a majority of independent directors. In making independence determinations, the Board observes all applicable requirements, including the corporate governance listing standards established by the Nasdaq Stock Market (“Nasdaq”). The Board will carefully consider all relevant facts and circumstances in making an independence determination.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affirmatively determined that each of Sastry Chilukuri, Chris Egan, Samuel A. Hamood, Jeff Haywood, Jill Larsen, Chris Mitchell, D. Randall Winn, Kathleen Winters, and Lauren Young is independent under applicable Nasdaq listing standards. Our Board also determined that each of Sastry Chilukuri, Samuel A. Hamood, D. Randall Winn, and Kathleen Winters is independent under Section 10A-3 of the Securities Exchange Act of 1934, as amended (the “Exchange Act”) for purposes of serving on the Audit Committee, and that each of Jeff Haywood, Jill Larsen, D. Randall Winn, and Lauren Young is independent for purposes of serving on the HCM and Compensation Committee. Mr. Winn resigned from the Board effective September 30, 2022. In making its independence determinations, our Board of Directors considered and reviewed all information known to it, including information identified through annual director questionnaires. In the case of Mr. Egan and Ms. Young, our Board of Directors considered their positions as a Managing Partner and Managing Director, respectively, of Advent. In the case of Mr. Haywood and Mr. Mitchell, our Board of Directors considered their positions as Managing Directors at Spectrum Equity.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Currently, the Board of Directors is divided into three classes of approximately equal size. Each year, at the Annual Meeting of Stockholders, the Board proposes a slate of director nominees for a particular class to stockholders for election to a term of three years. Stockholders may also recommend candidates for election to the Board, as described below. The Board has delegated the process of screening potential director candidates to the Nominating and Corporate Governance Committee.</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periodically reviewing with the Board the appropriate criteria that directors are required to fulfill (including experience, qualifications, attributes, skills, and other characteristics) in the context of the current make-up of the Board and the needs of the Board given the circumstances of the Company. In identifying and screening director candidates, the Nominating and Corporate Governance Committee considers whether the candidates fulfill the criteria for directors approved by the Board, including integrity, objectivity, independence, sound judgment, leadership, courage, and diversity of experience (for example, in relation to finance and accounting, strategy, risk management, technical expertise, policymaking, etc.). In addition, the Company recognizes and embraces the benefits of having a diverse Board. In evaluating the Board’s composition, although the Board does not have a formal policy specifying how diversity of background and personal experience should be applied in identifying or evaluating director candidates, the Nominating and Corporate Governance Committee will consider diversity among other relevant considerations, including, but not limited to, diversity of gender, age, race, ethnicity, cultural and educational background, professional experience, skills, knowledge, and length of service.</w:t>
      </w:r>
    </w:p>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values the input of stockholders in identifying director candidates. The Nominating and Corporate Governance Committee considers recommendations for Board candidates submitted by stockholders using substantially the same criteria it applies to recommendations from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93" w:right="459" w:bottom="1440" w:gutter="0" w:footer="0" w:header="0"/>
        </w:sectPr>
      </w:pPr>
    </w:p>
    <w:bookmarkStart w:id="17" w:name="page18"/>
    <w:bookmarkEnd w:id="17"/>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committee, directors, and members of management. Stockholders may submit recommendations by providing the person’s name and appropriate background and biographical information in writing to the Nominating and Corporate Governance Committee at Definitive Healthcare Corp., Attn: Chief Legal Officer, 492 Old Connecticut Path, Suite 401, Framingham, MA 01701.</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Invitations to serve as a nominee are extended by the Board via the Chair of the Board and the Chair of the Nominating and Corporate Governance Committee.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cast in both contested elections (elections in which the number of nominees is greater than the number of Board seats open for election) and uncontested elections (elections in which the number of nominees does not exceed the number of Board seats open for election).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Board of Directors is led by Mr. Krantz, our Executive Chairman and Founder. At this time, we believe that separate Executive Chairman and Chief Executive Officer roles are appropriate for the Company and in the best interests of the Company and its stockholders. As the former Chief Executive Officer and Founder, Mr. Krantz has a deep understanding of the Company and supports and advises the Chief Executive Officer, which we believe enables the Board to understand the Company and work closely with management. In addition, we believe that separating these roles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including with respect to evaluating whether steps management is taking to manage risks are appropriate for the Company. We believe Mr. Krantz offers a robust understanding of risks facing the Company as our founder and former Chief Executive Officer. Meanwhile, the separation of roles permits our Chief Executive Officer to focus primarily on management responsibilities as we grow our Company and encourages objective oversight of management and balanced decision-making. The Board does not have a fixed policy regarding the separation of the offices of Chair of the Board and Chief Executive Officer and believes that it should maintain the flexibility to select the Chair of the Board and its leadership structure, from time to time, based on the criteria that it deems in the best interests of the Company and its stockholders. The Board believes that this flexibility is in the best interest of the Company and that a one-size-fits-all approach to corporate governance, with a mandated independent Chairman, would not result in better governance or oversight.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Board is involved in the oversight of risk management related to us and our business. The Board accomplishes this oversight both directly and through its Audit Committee, which assists the Board in overseeing a part of our overall risk management and regularly reports to the Board. The Audit Committee periodically reviews our accounting, reporting, and financial practices, and oversees the integrity of our financial statements, the administrative and financial controls, our compliance with legal and regulatory requirements, our procedures for treatment of complaints regarding internal accounting controls or auditing matters, and our policies with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97" w:right="479" w:bottom="1440" w:gutter="0" w:footer="0" w:header="0"/>
        </w:sectPr>
      </w:pPr>
    </w:p>
    <w:bookmarkStart w:id="18" w:name="page19"/>
    <w:bookmarkEnd w:id="1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respect to risk assessment and risk management. In addition, the Audit Committee reviews controls and risk around information security and data privacy, including approving procedures and security measures undertaken to strengthen and support compliance in this area. Through its regular meetings with management, including the finance, legal, and internal audit functions, the Audit Committee reviews and discusses significant areas of our business and related risks and summarizes for the Board areas of risk and any mitigating factors. In addition, the HCM &amp; Compensation Committee reviews at least annually whether risks arising from the Company’s compensation policies and practices for all employees, including executive officers, are reasonably likely to have a material adverse effect on the Company. For more information regarding our risk oversight governance framework, see below under “Our Commitment to ESG.”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As described in our Corporate Governance Guidelines, the non-management directors meet regularly in executive session without members of management present. If any of the non-management directors do not qualify as an “independent director” under applicable Nasdaq rules, at least once a year an additional executive session is held, attended only by independent directors. The executive sessions have such agendas and procedures as are determined by the non-management and independent directors, as applicable. An independent presiding director convenes and presides at such sessions. Authority in such sessions to act on behalf of the Company or the Board on any matters requires an express delegation of authority by the Board.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described in our Corporate Governance Guidelines, stockholders are invited to communicate to the Board or its committees by writing to Definitive Healthcare Corp., Attn: Chief Legal Officer, 492 Old Connecticut Path, Suite 401, Framingham, MA 01701. In addition, interested parties may communicate with the Chair of the Board or with the non-management and independent directors of the Company as a group by writing to Definitive Healthcare Corp., Attn: Chief Legal Officer, 492 Old Connecticut Path, Suite 401, Framingham, MA 01701.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membership of each of the Board’s committees and the number of meetings held by each committee during the year ended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HCM and</w:t>
            </w:r>
          </w:p>
        </w:tc>
        <w:tc>
          <w:tcPr>
            <w:tcW w:w="1820" w:type="dxa"/>
            <w:vAlign w:val="bottom"/>
            <w:gridSpan w:val="2"/>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7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20" w:type="dxa"/>
            <w:vAlign w:val="bottom"/>
            <w:gridSpan w:val="2"/>
          </w:tcPr>
          <w:p>
            <w:pPr>
              <w:jc w:val="center"/>
              <w:ind w:left="63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80" w:type="dxa"/>
            <w:vAlign w:val="bottom"/>
            <w:gridSpan w:val="2"/>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7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8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Egan</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Samuel A. Hamood</w:t>
            </w:r>
          </w:p>
        </w:tc>
        <w:tc>
          <w:tcPr>
            <w:tcW w:w="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Haywood</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Jill Larsen</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Mitchell</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Kathleen A. Winters</w:t>
            </w:r>
          </w:p>
        </w:tc>
        <w:tc>
          <w:tcPr>
            <w:tcW w:w="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Young</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Sastry Chilukuri</w:t>
            </w:r>
          </w:p>
        </w:tc>
        <w:tc>
          <w:tcPr>
            <w:tcW w:w="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meetings</w:t>
            </w: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held in 2022:</w:t>
            </w:r>
          </w:p>
        </w:tc>
        <w:tc>
          <w:tcPr>
            <w:tcW w:w="1280" w:type="dxa"/>
            <w:vAlign w:val="bottom"/>
            <w:gridSpan w:val="2"/>
            <w:shd w:val="clear" w:color="auto" w:fill="CCEEFF"/>
          </w:tcPr>
          <w:p>
            <w:pPr>
              <w:jc w:val="center"/>
              <w:ind w:left="499"/>
              <w:spacing w:after="0"/>
              <w:rPr>
                <w:sz w:val="20"/>
                <w:szCs w:val="20"/>
                <w:color w:val="auto"/>
              </w:rPr>
            </w:pPr>
            <w:r>
              <w:rPr>
                <w:rFonts w:ascii="Times New Roman" w:cs="Times New Roman" w:eastAsia="Times New Roman" w:hAnsi="Times New Roman"/>
                <w:sz w:val="18"/>
                <w:szCs w:val="18"/>
                <w:color w:val="auto"/>
              </w:rPr>
              <w:t>8</w:t>
            </w:r>
          </w:p>
        </w:tc>
        <w:tc>
          <w:tcPr>
            <w:tcW w:w="1620" w:type="dxa"/>
            <w:vAlign w:val="bottom"/>
            <w:gridSpan w:val="2"/>
            <w:shd w:val="clear" w:color="auto" w:fill="CCEEFF"/>
          </w:tcPr>
          <w:p>
            <w:pPr>
              <w:jc w:val="center"/>
              <w:ind w:left="639"/>
              <w:spacing w:after="0"/>
              <w:rPr>
                <w:sz w:val="20"/>
                <w:szCs w:val="20"/>
                <w:color w:val="auto"/>
              </w:rPr>
            </w:pPr>
            <w:r>
              <w:rPr>
                <w:rFonts w:ascii="Times New Roman" w:cs="Times New Roman" w:eastAsia="Times New Roman" w:hAnsi="Times New Roman"/>
                <w:sz w:val="18"/>
                <w:szCs w:val="18"/>
                <w:color w:val="auto"/>
              </w:rPr>
              <w:t>5</w:t>
            </w:r>
          </w:p>
        </w:tc>
        <w:tc>
          <w:tcPr>
            <w:tcW w:w="1820" w:type="dxa"/>
            <w:vAlign w:val="bottom"/>
            <w:gridSpan w:val="2"/>
            <w:shd w:val="clear" w:color="auto" w:fill="CCEEFF"/>
          </w:tcPr>
          <w:p>
            <w:pPr>
              <w:jc w:val="center"/>
              <w:ind w:left="71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59"/>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Mr. Egan served on our Audit Committee until September 2022.</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Board held 8 meetings. In 2022, all of our directors attended at least 75% of the meetings of the Board and committees during the time in which he or she served as a member of the Board or such committee. Directors are invited, but not required, to attend our annual meetings of stockholders.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97"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purposes of our Audit Committee under the committee’s charter are to assist the Board’s oversight of:</w:t>
      </w:r>
    </w:p>
    <w:p>
      <w:pPr>
        <w:spacing w:after="0" w:line="131"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of our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financial statements, financial reporting, and disclosure practices;</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processes relating to risk management and the soundness of our systems of internal control over financial reporting and accounting compliance and disclosure controls and procedures;</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engagement, compensation, independence, and performance of our independent auditor, and the independent auditor’s conduct of the annual audit of our financial statements;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Audit Committee is composed of Samuel A. Hamood, Kathleen A. Winters, and Sastry Chilukuri, with Mr. Hamood serving as chair. Our Board determined that each of Mr. Hamood, Ms. Winters, and Mr. Chilukuri meets the Nasdaq financial literacy requirements for serving on an audit committee and that each of Mr. Hamood and Ms. Winters qualify as an “audit committee financial expert” as such term has been defined by the SEC in Item 407(d) of Regulation S-K. Our Board affirmatively determined that each of Mr. Hamood, Ms. Winters, and Mr. Chilukuri is independent for the purposes of serving on the Audit Committee under applicable Nasdaq rules and Rule 10A-3 under the Exchange Act. The Audit Committee is governed by a charter that complies with the rules of Nasdaq.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 &amp; Compensation Committee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Human Capital Management and Compensation Committee (“HCM and Compensation Committee”) under the committee’s charter is to assist the Board in overseeing our employee compensation philosophy and practices, non-Chief Executive Officer succession planning, and human capital resource management, including:</w:t>
      </w:r>
    </w:p>
    <w:p>
      <w:pPr>
        <w:spacing w:after="0" w:line="81" w:lineRule="exact"/>
        <w:rPr>
          <w:sz w:val="20"/>
          <w:szCs w:val="20"/>
          <w:color w:val="auto"/>
        </w:rPr>
      </w:pPr>
    </w:p>
    <w:p>
      <w:pPr>
        <w:ind w:left="960" w:right="72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and approving executive officer compensation arrangements, plans, policies and programs, including evaluating the performance of our Chief Executive Officer and overseeing that of our other executive officers;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Company-wide equity-based and other incentive compensation plans;</w:t>
      </w:r>
    </w:p>
    <w:p>
      <w:pPr>
        <w:spacing w:after="0" w:line="130"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grants of equity-based awards to executive officers and delegating authority to the Chief Executive Officer to make awards to non-executives; reviewing compensation of our directors and recommending modifications; assessing risks arising from our compensation policies and practices; and reviewing human capital and talent related policies and practices including:</w:t>
      </w:r>
    </w:p>
    <w:p>
      <w:pPr>
        <w:spacing w:after="0" w:line="81"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executive officers other than the Chief Executive Officer and, where applicable, other critical roles;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development, retention, overall employee wellness and engagement of company personnel;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culture and strategies in support of diversity, equity, and inclusion.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HCM and Compensation Committee is composed of Jeff Haywood, Jill Larsen, and Lauren Young, with Ms. Larsen serving as the chair. Our Board affirmatively determined that each of Mr. Haywood, Ms. Larsen, and Ms. Young is independent for purposes of serving on the HCM and Compensation Committee. The HCM and Compensation Committee is governed by a charter that complies with the rules of Nasdaq.</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93"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Nominating and Corporate Governance Committee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primary purpose of our Nominating and Corporate Governance Committee is to recommend candidates for appointment to the Board and to review the corporate governance guidelines of the Company, including:</w:t>
      </w:r>
    </w:p>
    <w:p>
      <w:pPr>
        <w:spacing w:after="0" w:line="67" w:lineRule="exact"/>
        <w:rPr>
          <w:sz w:val="20"/>
          <w:szCs w:val="20"/>
          <w:color w:val="auto"/>
        </w:rPr>
      </w:pPr>
    </w:p>
    <w:p>
      <w:pPr>
        <w:ind w:left="960" w:right="2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screening individuals qualified to serve as directors and recommending to the Board candidates for nomination for election at the annual meeting of stockholders or to fill Board vacancies;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to the Board, and reviewing the Company’s Corporate Governance Guidelines;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overseeing the annual self-evaluation of the Board and its committees;</w:t>
      </w:r>
    </w:p>
    <w:p>
      <w:pPr>
        <w:spacing w:after="0" w:line="130"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overall approach to environmental, social, and governance practices, disclosures, and frameworks; and</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regular basis the overall corporate governance of the Company and recommending improvements for approval by the Board where appropriate.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Chris Mitchell, Lauren Young, and Sastry Chilukuri, with Ms. Young serving as the chair. Our Board affirmatively determined that each of Mr. Mitchell, Ms. Young and Mr. Chilukuri is independent for purposes of serving on our Board under applicable Nasdaq rules. The Nominating and Corporate Governance Committee is governed by a charter that complies with the rules of Nasdaq.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Our Code of Business Conduct and Ethics that applies to all of our employees, officers (including the principal executive officer, principal financial officer, principal accounting officer, controller and persons performing similar functions), and directors is available on our website located at </w:t>
      </w:r>
      <w:r>
        <w:rPr>
          <w:rFonts w:ascii="Times New Roman" w:cs="Times New Roman" w:eastAsia="Times New Roman" w:hAnsi="Times New Roman"/>
          <w:sz w:val="18"/>
          <w:szCs w:val="18"/>
          <w:i w:val="1"/>
          <w:iCs w:val="1"/>
          <w:color w:val="auto"/>
        </w:rPr>
        <w:t>ir.definitivehc.com</w:t>
      </w:r>
      <w:r>
        <w:rPr>
          <w:rFonts w:ascii="Times New Roman" w:cs="Times New Roman" w:eastAsia="Times New Roman" w:hAnsi="Times New Roman"/>
          <w:sz w:val="18"/>
          <w:szCs w:val="18"/>
          <w:color w:val="auto"/>
        </w:rPr>
        <w:t>. We intend to post on this section of our website any amendment to our Code of Business Conduct and Ethics, as well as any waivers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Code of Business Conduct and Ethics, that are required to be disclosed by the rules of the SEC or Nasdaq. Our Audit Committee is responsible for overseeing the Code of Business Conduct and Ethics and our Board must approve any waivers of the Code of Business Conduct and Ethics for any directors, executive officers or senior financial officers.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Charters and Corporate Governance Guidelines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Corporate Governance Guidelines, Audit Committee, HCM and Compensation Committee, and Nominating and Corporate Governance Committee charters, Code of Business Conduct and Ethics, and other corporate governance documents and information, are available on our website at </w:t>
      </w:r>
      <w:r>
        <w:rPr>
          <w:rFonts w:ascii="Times New Roman" w:cs="Times New Roman" w:eastAsia="Times New Roman" w:hAnsi="Times New Roman"/>
          <w:sz w:val="18"/>
          <w:szCs w:val="18"/>
          <w:i w:val="1"/>
          <w:iCs w:val="1"/>
          <w:color w:val="auto"/>
        </w:rPr>
        <w:t xml:space="preserve">ir.definitivehc.com </w:t>
      </w:r>
      <w:r>
        <w:rPr>
          <w:rFonts w:ascii="Times New Roman" w:cs="Times New Roman" w:eastAsia="Times New Roman" w:hAnsi="Times New Roman"/>
          <w:sz w:val="18"/>
          <w:szCs w:val="18"/>
          <w:color w:val="auto"/>
        </w:rPr>
        <w:t>under Governance. Any stockholder also may request them in print, without charge, by contacting the Chief Legal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Healthcare Corp., at 492 Old Connecticut Path, Suite 401, Framingham, MA 01701.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ESG</w:t>
      </w:r>
    </w:p>
    <w:p>
      <w:pPr>
        <w:spacing w:after="0" w:line="12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Our Board, acting directly and through its committees, reviews and oversees our strategic plans, objectives, and risks related to sustainability, environmental, social, and governance matters (“ESG”), pursuant to our Corporate Governance Guidelines. At this time, the Board believes full board oversight, rather than assigning oversight to an existing or new committee, will ensure all directors are actively engaged in overseeing ESG risks 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93" w:right="479" w:bottom="1440" w:gutter="0" w:footer="0" w:header="0"/>
        </w:sectPr>
      </w:pPr>
    </w:p>
    <w:bookmarkStart w:id="21" w:name="page22"/>
    <w:bookmarkEnd w:id="21"/>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opportunities. Each of our committees share in ESG oversight responsibilities, and each committee reports regularly to the full Board on its activities. The HCM and Compensation Committee is responsible for overseeing the policies and strategies relating to talent management, as well as the diversity, equity, and inclusion philosophy, efforts, and results. The Nominating and Corporate Governance Committee reviews and makes recommendations to the Board about significant emerging corporate governance issues and practices. The Nominating and Corporate Governance Committee’s charter was also amended during 2022 to provide that committee with general oversight over our broader ESG framework and approach to reporting. The Audit Committee reviews controls and risks around information security and data privacy and approves procedures and security measures undertaken to strengthen and support compliance in this area. During 2022, the Audit Committee’s charter was amended to provide specific oversight responsibility with respect to the financial reporting elements of ESG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self-identified diversity statistics concerning the members of the Board of Directors:</w:t>
      </w:r>
    </w:p>
    <w:p>
      <w:pPr>
        <w:spacing w:after="0" w:line="270"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6140" w:type="dxa"/>
            <w:vAlign w:val="bottom"/>
            <w:shd w:val="clear" w:color="auto" w:fill="D0DAF9"/>
          </w:tcPr>
          <w:p>
            <w:pPr>
              <w:ind w:left="234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20, 2023)</w:t>
            </w:r>
          </w:p>
        </w:tc>
        <w:tc>
          <w:tcPr>
            <w:tcW w:w="900" w:type="dxa"/>
            <w:vAlign w:val="bottom"/>
            <w:shd w:val="clear" w:color="auto" w:fill="D0DAF9"/>
          </w:tcPr>
          <w:p>
            <w:pPr>
              <w:spacing w:after="0"/>
              <w:rPr>
                <w:sz w:val="18"/>
                <w:szCs w:val="18"/>
                <w:color w:val="auto"/>
              </w:rPr>
            </w:pPr>
          </w:p>
        </w:tc>
        <w:tc>
          <w:tcPr>
            <w:tcW w:w="1320" w:type="dxa"/>
            <w:vAlign w:val="bottom"/>
            <w:shd w:val="clear" w:color="auto" w:fill="D0DAF9"/>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900" w:type="dxa"/>
            <w:vAlign w:val="bottom"/>
          </w:tcPr>
          <w:p>
            <w:pPr>
              <w:spacing w:after="0"/>
              <w:rPr>
                <w:sz w:val="18"/>
                <w:szCs w:val="18"/>
                <w:color w:val="auto"/>
              </w:rPr>
            </w:pPr>
          </w:p>
        </w:tc>
        <w:tc>
          <w:tcPr>
            <w:tcW w:w="132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6"/>
        </w:trPr>
        <w:tc>
          <w:tcPr>
            <w:tcW w:w="6140" w:type="dxa"/>
            <w:vAlign w:val="bottom"/>
            <w:shd w:val="clear" w:color="auto" w:fill="D0DAF9"/>
          </w:tcPr>
          <w:p>
            <w:pPr>
              <w:spacing w:after="0"/>
              <w:rPr>
                <w:sz w:val="18"/>
                <w:szCs w:val="18"/>
                <w:color w:val="auto"/>
              </w:rPr>
            </w:pPr>
          </w:p>
        </w:tc>
        <w:tc>
          <w:tcPr>
            <w:tcW w:w="900" w:type="dxa"/>
            <w:vAlign w:val="bottom"/>
            <w:shd w:val="clear" w:color="auto" w:fill="D0DAF9"/>
          </w:tcPr>
          <w:p>
            <w:pPr>
              <w:spacing w:after="0"/>
              <w:rPr>
                <w:sz w:val="18"/>
                <w:szCs w:val="18"/>
                <w:color w:val="auto"/>
              </w:rPr>
            </w:pPr>
          </w:p>
        </w:tc>
        <w:tc>
          <w:tcPr>
            <w:tcW w:w="1320" w:type="dxa"/>
            <w:vAlign w:val="bottom"/>
            <w:shd w:val="clear" w:color="auto" w:fill="D0DAF9"/>
          </w:tcPr>
          <w:p>
            <w:pPr>
              <w:spacing w:after="0"/>
              <w:rPr>
                <w:sz w:val="18"/>
                <w:szCs w:val="18"/>
                <w:color w:val="auto"/>
              </w:rPr>
            </w:pPr>
          </w:p>
        </w:tc>
      </w:tr>
      <w:tr>
        <w:trPr>
          <w:trHeight w:val="216"/>
        </w:trPr>
        <w:tc>
          <w:tcPr>
            <w:tcW w:w="6140" w:type="dxa"/>
            <w:vAlign w:val="bottom"/>
            <w:tcBorders>
              <w:bottom w:val="single" w:sz="8" w:color="8AA4F2"/>
            </w:tcBorders>
          </w:tcPr>
          <w:p>
            <w:pPr>
              <w:spacing w:after="0"/>
              <w:rPr>
                <w:sz w:val="18"/>
                <w:szCs w:val="18"/>
                <w:color w:val="auto"/>
              </w:rPr>
            </w:pPr>
          </w:p>
        </w:tc>
        <w:tc>
          <w:tcPr>
            <w:tcW w:w="900" w:type="dxa"/>
            <w:vAlign w:val="bottom"/>
            <w:tcBorders>
              <w:bottom w:val="single" w:sz="8" w:color="8AA4F2"/>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320" w:type="dxa"/>
            <w:vAlign w:val="bottom"/>
            <w:tcBorders>
              <w:bottom w:val="single" w:sz="8" w:color="8AA4F2"/>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09"/>
        </w:trPr>
        <w:tc>
          <w:tcPr>
            <w:tcW w:w="6140" w:type="dxa"/>
            <w:vAlign w:val="bottom"/>
            <w:tcBorders>
              <w:bottom w:val="single" w:sz="8" w:color="8AA4F2"/>
            </w:tcBorders>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00" w:type="dxa"/>
            <w:vAlign w:val="bottom"/>
            <w:tcBorders>
              <w:bottom w:val="single" w:sz="8" w:color="8AA4F2"/>
            </w:tcBorders>
          </w:tcPr>
          <w:p>
            <w:pPr>
              <w:spacing w:after="0"/>
              <w:rPr>
                <w:sz w:val="18"/>
                <w:szCs w:val="18"/>
                <w:color w:val="auto"/>
              </w:rPr>
            </w:pPr>
          </w:p>
        </w:tc>
        <w:tc>
          <w:tcPr>
            <w:tcW w:w="1320" w:type="dxa"/>
            <w:vAlign w:val="bottom"/>
            <w:tcBorders>
              <w:bottom w:val="single" w:sz="8" w:color="8AA4F2"/>
            </w:tcBorders>
          </w:tcPr>
          <w:p>
            <w:pPr>
              <w:spacing w:after="0"/>
              <w:rPr>
                <w:sz w:val="18"/>
                <w:szCs w:val="18"/>
                <w:color w:val="auto"/>
              </w:rPr>
            </w:pPr>
          </w:p>
        </w:tc>
      </w:tr>
      <w:tr>
        <w:trPr>
          <w:trHeight w:val="210"/>
        </w:trPr>
        <w:tc>
          <w:tcPr>
            <w:tcW w:w="6140" w:type="dxa"/>
            <w:vAlign w:val="bottom"/>
            <w:tcBorders>
              <w:bottom w:val="single" w:sz="8" w:color="8AA4F2"/>
            </w:tcBorders>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Borders>
              <w:bottom w:val="single" w:sz="8" w:color="8AA4F2"/>
            </w:tcBorders>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8AA4F2"/>
            </w:tcBorders>
          </w:tcPr>
          <w:p>
            <w:pPr>
              <w:jc w:val="right"/>
              <w:ind w:right="41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6140" w:type="dxa"/>
            <w:vAlign w:val="bottom"/>
            <w:tcBorders>
              <w:bottom w:val="single" w:sz="8" w:color="8AA4F2"/>
            </w:tcBorders>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900" w:type="dxa"/>
            <w:vAlign w:val="bottom"/>
            <w:tcBorders>
              <w:bottom w:val="single" w:sz="8" w:color="8AA4F2"/>
            </w:tcBorders>
          </w:tcPr>
          <w:p>
            <w:pPr>
              <w:spacing w:after="0"/>
              <w:rPr>
                <w:sz w:val="18"/>
                <w:szCs w:val="18"/>
                <w:color w:val="auto"/>
              </w:rPr>
            </w:pPr>
          </w:p>
        </w:tc>
        <w:tc>
          <w:tcPr>
            <w:tcW w:w="1320" w:type="dxa"/>
            <w:vAlign w:val="bottom"/>
            <w:tcBorders>
              <w:bottom w:val="single" w:sz="8" w:color="8AA4F2"/>
            </w:tcBorders>
          </w:tcPr>
          <w:p>
            <w:pPr>
              <w:spacing w:after="0"/>
              <w:rPr>
                <w:sz w:val="18"/>
                <w:szCs w:val="18"/>
                <w:color w:val="auto"/>
              </w:rPr>
            </w:pPr>
          </w:p>
        </w:tc>
      </w:tr>
      <w:tr>
        <w:trPr>
          <w:trHeight w:val="20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140" w:type="dxa"/>
            <w:vAlign w:val="bottom"/>
            <w:shd w:val="clear" w:color="auto" w:fill="E7ECFC"/>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900" w:type="dxa"/>
            <w:vAlign w:val="bottom"/>
            <w:shd w:val="clear" w:color="auto" w:fill="E7ECFC"/>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E7ECFC"/>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140" w:type="dxa"/>
            <w:vAlign w:val="bottom"/>
            <w:tcBorders>
              <w:bottom w:val="single" w:sz="8" w:color="8AA4F2"/>
            </w:tcBorders>
          </w:tcPr>
          <w:p>
            <w:pPr>
              <w:ind w:left="180"/>
              <w:spacing w:after="0"/>
              <w:rPr>
                <w:sz w:val="20"/>
                <w:szCs w:val="20"/>
                <w:color w:val="auto"/>
              </w:rPr>
            </w:pPr>
            <w:r>
              <w:rPr>
                <w:rFonts w:ascii="Times New Roman" w:cs="Times New Roman" w:eastAsia="Times New Roman" w:hAnsi="Times New Roman"/>
                <w:sz w:val="18"/>
                <w:szCs w:val="18"/>
                <w:color w:val="auto"/>
              </w:rPr>
              <w:t>Middle Eastern</w:t>
            </w:r>
          </w:p>
        </w:tc>
        <w:tc>
          <w:tcPr>
            <w:tcW w:w="900" w:type="dxa"/>
            <w:vAlign w:val="bottom"/>
            <w:tcBorders>
              <w:bottom w:val="single" w:sz="8" w:color="8AA4F2"/>
            </w:tcBorders>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bottom w:val="single" w:sz="8" w:color="8AA4F2"/>
            </w:tcBorders>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Diversity Matrix as of April 12, 2022 can be found in our proxy statement for the 2022 Annual Meeting filed with the SEC on April 12,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Set forth below is certain information regarding each of our current executive officers, other than Messrs. Musslewhite and Krantz, each of whom also serve as directors of the Company. For biographical information for Mr. Musslewhite, see “Proposal No. 1 – Election of Class II Directors — Nominees for Election to the Board of Directors in 2023” and “Proposal No. 1 – Election of Class II Directors — Continuing Members of the Board of Directors”,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20" w:type="dxa"/>
            <w:vAlign w:val="bottom"/>
          </w:tcPr>
          <w:p>
            <w:pPr>
              <w:spacing w:after="0"/>
              <w:rPr>
                <w:sz w:val="16"/>
                <w:szCs w:val="16"/>
                <w:color w:val="auto"/>
              </w:rPr>
            </w:pP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60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r>
      <w:tr>
        <w:trPr>
          <w:trHeight w:val="205"/>
        </w:trPr>
        <w:tc>
          <w:tcPr>
            <w:tcW w:w="2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Jonathan Maack</w:t>
            </w:r>
          </w:p>
        </w:tc>
        <w:tc>
          <w:tcPr>
            <w:tcW w:w="3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7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Mr. Maack has served as the Company’s President since November 2022. Prior to joining the Company,</w:t>
            </w:r>
          </w:p>
        </w:tc>
      </w:tr>
    </w:tbl>
    <w:p>
      <w:pPr>
        <w:ind w:left="3420" w:right="220"/>
        <w:spacing w:after="0" w:line="250" w:lineRule="auto"/>
        <w:rPr>
          <w:sz w:val="20"/>
          <w:szCs w:val="20"/>
          <w:color w:val="auto"/>
        </w:rPr>
      </w:pPr>
      <w:r>
        <w:rPr>
          <w:rFonts w:ascii="Times New Roman" w:cs="Times New Roman" w:eastAsia="Times New Roman" w:hAnsi="Times New Roman"/>
          <w:sz w:val="18"/>
          <w:szCs w:val="18"/>
          <w:color w:val="auto"/>
        </w:rPr>
        <w:t>Mr. Maack served as Chief Strategy and Corporate Development Officer at athenahealth, a leading provider of cloud-based EHR/PM solutions and revenue cycle and value-based care services, which he joined in May 2021. Prior to his time at athenahealth, Mr. Maack served as Chief Strategy Officer at OptumInsight, an information and technology-enabled health services business, having joined via acquisition in November 2017 and remaining through May 2021. Prior to joining OptumInsight,</w:t>
      </w:r>
    </w:p>
    <w:p>
      <w:pPr>
        <w:ind w:left="3420" w:right="40"/>
        <w:spacing w:after="0" w:line="255" w:lineRule="auto"/>
        <w:rPr>
          <w:sz w:val="20"/>
          <w:szCs w:val="20"/>
          <w:color w:val="auto"/>
        </w:rPr>
      </w:pPr>
      <w:r>
        <w:rPr>
          <w:rFonts w:ascii="Times New Roman" w:cs="Times New Roman" w:eastAsia="Times New Roman" w:hAnsi="Times New Roman"/>
          <w:sz w:val="18"/>
          <w:szCs w:val="18"/>
          <w:color w:val="auto"/>
        </w:rPr>
        <w:t>Mr. Maack held a variety of senior leadership roles at The Advisory Board Company from August 2014 to November 2017, culminating in a role as the General Manager of the Health System Growth Business, which helped health systems market their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97"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760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r>
      <w:tr>
        <w:trPr>
          <w:trHeight w:val="198"/>
        </w:trPr>
        <w:tc>
          <w:tcPr>
            <w:tcW w:w="360" w:type="dxa"/>
            <w:vAlign w:val="bottom"/>
            <w:tcBorders>
              <w:top w:val="single" w:sz="8" w:color="auto"/>
            </w:tcBorders>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services to patients and engage physicians. Prior to The Advisory Board Company, Mr. Maack was a</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consultant at Bain &amp; Company from January 2010 to August 2014, where he focused on</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equity due diligence and operational improvement work in healthcare. Mr. Maack holds a B.A. in</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Art History, Economics, and German from New York University and an M.B.A. in Healthcare from The</w:t>
            </w: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Wharton School of the University of Pennsylvania.</w:t>
            </w:r>
          </w:p>
        </w:tc>
      </w:tr>
      <w:tr>
        <w:trPr>
          <w:trHeight w:val="41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8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53  Mr. Booth has served as the Company’s Chief Financial Officer since March 2021. Prior to joining the</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Mr. Booth served as Chief Financial Officer of Bottomline Technologies, Inc., a SaaS based</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business payment provider from April 2015 to March 2021, where he oversaw finance and information</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security. Before joining Bottomline Technologies, Inc., Mr. Booth was the VP of Finance and Corporate</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Controller of Sapient (since renamed Publicis Sapient), a publicly traded digital advertising firm. Prior to</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Sapient, Mr. Booth oversaw financial matters at Nuance Communications, a publicly traded software and</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services firm, culminating in his role as VP of Business Financial Planning &amp; Analysis. Mr. Booth</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currently serves as a member of the board of directors and the audit committee of CRA International,</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 a publicly traded global consulting firm, and on the board of directors of 33 Foundation, a private</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community enrichment organization. Mr. Booth holds a B.S. in accounting with high honors from Penn</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 University, an M.S.O.D. from American University, an M.S. in taxation from Bentley College, and</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 M.B.A. from Stanford University Graduate School of Business, where he was an Arjay Miller</w:t>
            </w: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Scholar. Mr. Booth is also a licensed CPA.</w:t>
            </w:r>
          </w:p>
        </w:tc>
      </w:tr>
      <w:tr>
        <w:trPr>
          <w:trHeight w:val="41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8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40  Mr. Mirisola has served as the Company’s Chief Revenue Officer since January 2020. Prior to that,</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Mirisola served as the Company’s SVP of Sales and Revenue from January 2018 to December 2019,</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President of Sales from January 2013 to December 2017 and the Director of Business Development</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from April 2011 to December 2012. Before joining the Company, he held positions as a mortgage banker</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2005 to 2007 and then was a partner at Universal Home Lending Corp and Universal Unsecured</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Lending Corp until 2010. Mr. Mirisola currently serves on the board of directors of FINTRX, a private</w:t>
            </w: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Mr. Mirisola attended the University of Massachusetts Dartmouth.</w:t>
            </w:r>
          </w:p>
        </w:tc>
      </w:tr>
      <w:tr>
        <w:trPr>
          <w:trHeight w:val="41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8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36  Ms. Shamsuddin has served as the Company’s Chief Product Officer since January 2020. Prior to being</w:t>
            </w: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Company’s Chief Product Officer, Ms. Shamsuddin served as the Company’s Senior Vice President</w:t>
            </w: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Strategy from January 2018 to December 2019, Vice President of Strategy from September 2016 to</w:t>
            </w:r>
          </w:p>
        </w:tc>
      </w:tr>
    </w:tbl>
    <w:p>
      <w:pPr>
        <w:ind w:left="3420" w:right="36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December 2017, and Director of Product Strategy from February 2015 to September 2016. Prior to joining the Company, Ms. Shamsuddin worked in strategic services at Blue Cross Blue Shield Association, a national association of 30+ independent, community-based, and locally operated Blue Cross Blue Shield companies. At Blue Cross Blue Shield Association, Ms. Shamsuddin developed strategic initiatives and products to use across all of the Blue Cross Blue Shield companies.</w:t>
      </w:r>
    </w:p>
    <w:p>
      <w:pPr>
        <w:spacing w:after="0" w:line="1" w:lineRule="exact"/>
        <w:rPr>
          <w:sz w:val="20"/>
          <w:szCs w:val="20"/>
          <w:color w:val="auto"/>
        </w:rPr>
      </w:pPr>
    </w:p>
    <w:p>
      <w:pPr>
        <w:ind w:left="3420" w:right="20"/>
        <w:spacing w:after="0" w:line="260" w:lineRule="auto"/>
        <w:rPr>
          <w:sz w:val="20"/>
          <w:szCs w:val="20"/>
          <w:color w:val="auto"/>
        </w:rPr>
      </w:pPr>
      <w:r>
        <w:rPr>
          <w:rFonts w:ascii="Times New Roman" w:cs="Times New Roman" w:eastAsia="Times New Roman" w:hAnsi="Times New Roman"/>
          <w:sz w:val="18"/>
          <w:szCs w:val="18"/>
          <w:color w:val="auto"/>
        </w:rPr>
        <w:t>Ms. Shamsuddin holds a B.A. in Anthropology and Global Health from Emory University and an M.S. in Health Policy and Management from Harvard University School of Public Health.</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90" w:right="439" w:bottom="1440" w:gutter="0" w:footer="0" w:header="0"/>
        </w:sectPr>
      </w:pPr>
    </w:p>
    <w:bookmarkStart w:id="23" w:name="page24"/>
    <w:bookmarkEnd w:id="23"/>
    <w:p>
      <w:pPr>
        <w:jc w:val="center"/>
        <w:ind w:left="46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2—ADVISORY VOTE ON THE FREQUENCY OF SOLICITATION OF ADVISORY STOCKHOLDER APPROVAL OF EXECUTIVE COMPENSATION</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and Section 14A of the Exchange Act enable our stockholders, at least once every six years, to indicate their preference regarding how frequently we should solicit a non-binding advisory vote on the compensation of our named executive officers as disclosed in the proxy statement. Accordingly, the Company is asking stockholders to indicate whether they would prefer an advisory vote every year, every other year, or every three years. Alternatively, stockholders may abstain from casting a vote.</w:t>
      </w:r>
    </w:p>
    <w:p>
      <w:pPr>
        <w:spacing w:after="0" w:line="18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the Board recommends that the advisory vote on the compensation of the Company’s named executive officers be submitted to the stockholders every year.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our named executive officers is the most appropriate policy for us at this time. In formulating its recommendation, the Board considered that an annual advisory vote on executive compensation will allow stockholders to provide the most direct and timely input to the Board and the HCM and Compensation Committee with respect to our compensation philosophy, policies, and practices. The Board also believes that an annual vote is consistent with our efforts to seek input and engage with stockholders to further understand their perspectives.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Accordingly, the Board is asking stockholders to indicate their preferred voting frequency by voting for one, two, or three years or abstain from voting on this proposal. While the Board believes that its recommendation is appropriate at this time, the stockholders are not voting to approve or disapprove that recommendation, but are instead asked to indicate their preferences, on an advisory basis, as to whether the non-binding advisory vote on the approval of our executive officer compensation practices should be held every year, every other year, or every three years. The option among those choices that receives the affirmative vote of the holders of a majority in voting power of the shares of stock present in person or by proxy and entitled to vote thereon will be deemed to be the frequency preferred by the stockholders.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Board and the HCM and Compensation Committee value the opinions of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the Board or the Company, the Board may decide that it is in the best interests of the stockholders to hold an advisory vote on executive compensation more or less frequently than the option preferred by the stockholders. The vote will not be construed to create or imply any change or addition to the fiduciary duties of the Company or the Board.</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shares represented by your proxy will be voted for “ONE YEAR” as the preferred frequency of advisory votes to approve executive compensation unless you specify otherwise.</w:t>
      </w:r>
    </w:p>
    <w:p>
      <w:pPr>
        <w:spacing w:after="0" w:line="374" w:lineRule="exact"/>
        <w:rPr>
          <w:sz w:val="20"/>
          <w:szCs w:val="20"/>
          <w:color w:val="auto"/>
        </w:rPr>
      </w:pPr>
    </w:p>
    <w:p>
      <w:pPr>
        <w:jc w:val="center"/>
        <w:ind w:left="48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“ONE YEAR” AS THE PREFERRED FREQUENCY OF ADVISORY VOTES TO APPROVE EXECUTIVE COMPENSATION.</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93" w:right="479" w:bottom="1440" w:gutter="0" w:footer="0" w:header="0"/>
        </w:sectPr>
      </w:pPr>
    </w:p>
    <w:bookmarkStart w:id="24" w:name="page25"/>
    <w:bookmarkEnd w:id="2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3—RATIFICATION OF INDEPENDENT REGISTERED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The Audit Committee has appointed Deloitte &amp; Touche LLP to serve as our independent registered public accounting firm for the fiscal year ending December 31, 2023.</w:t>
      </w:r>
    </w:p>
    <w:p>
      <w:pPr>
        <w:spacing w:after="0" w:line="16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spacing w:after="0" w:line="183"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A representative of Deloitte &amp; Touche LLP is expected to attend the Annual Meeting. The representative will also have the opportunity to make a statement if he or she desires to do so, and the representative is expected to be available to respond to appropriate questions.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shares represented by your proxy will be voted “FOR” the ratification of the selection of Deloitte &amp; Touche LLP unless you specify otherwise.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121" w:lineRule="exact"/>
        <w:rPr>
          <w:sz w:val="20"/>
          <w:szCs w:val="20"/>
          <w:color w:val="auto"/>
        </w:rPr>
      </w:pPr>
    </w:p>
    <w:p>
      <w:pPr>
        <w:jc w:val="both"/>
        <w:ind w:left="4" w:right="220"/>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2022 financial statements, we entered into an agreement with Deloitte &amp; Touche LLP which sets forth the terms by which Deloitte &amp; Touche LLP will perform audit services for the Company.</w:t>
      </w:r>
    </w:p>
    <w:p>
      <w:pPr>
        <w:spacing w:after="0" w:line="162"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fees for professional services rendered by our independent registered public accounting firm, Deloitte &amp; Touche LLP, the member firms of Deloitte Touche Tohmatsu, and their respective affiliates, in the identified categories for the years ended December 31, 2022 and 2021:</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0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209"/>
        </w:trPr>
        <w:tc>
          <w:tcPr>
            <w:tcW w:w="60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$ 1,530,828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976,257</w:t>
            </w:r>
          </w:p>
        </w:tc>
        <w:tc>
          <w:tcPr>
            <w:tcW w:w="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1,700,000</w:t>
            </w:r>
          </w:p>
        </w:tc>
      </w:tr>
      <w:tr>
        <w:trPr>
          <w:trHeight w:val="216"/>
        </w:trPr>
        <w:tc>
          <w:tcPr>
            <w:tcW w:w="6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946,320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153,185</w:t>
            </w: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w:t>
            </w: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$ 2,514,043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2,831,337</w:t>
            </w:r>
          </w:p>
        </w:tc>
      </w:tr>
    </w:tbl>
    <w:p>
      <w:pPr>
        <w:spacing w:after="0" w:line="225" w:lineRule="exact"/>
        <w:rPr>
          <w:sz w:val="20"/>
          <w:szCs w:val="20"/>
          <w:color w:val="auto"/>
        </w:rPr>
      </w:pPr>
    </w:p>
    <w:p>
      <w:pPr>
        <w:jc w:val="both"/>
        <w:ind w:left="424" w:hanging="424"/>
        <w:spacing w:after="0" w:line="257"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fees recognized in each of the last two fiscal years for professional services rendered for the audit of the Company’s annual financial statements, reviews of financial statements, and the fees for services that are normally provided in connection with statutory or regulatory filings or engagements.</w:t>
      </w:r>
    </w:p>
    <w:p>
      <w:pPr>
        <w:spacing w:after="0" w:line="1"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assurance and related services that are reasonably related to performance of the audit and review of our financial statements, and which are not reported under “Audit fees.” These services in 2022 and 2021 consisted primarily of attestation services for such matters as required for consents and comfort letters related to registration statements and other filings with the Securities and Exchange Commission.</w:t>
      </w:r>
    </w:p>
    <w:p>
      <w:pPr>
        <w:spacing w:after="0" w:line="1"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fees recognized in each of the last two fiscal years for professional services rendered for tax compliance, tax advice, and tax planning.</w:t>
      </w: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of annual subscription fees for accounting research software.</w:t>
      </w:r>
    </w:p>
    <w:p>
      <w:pPr>
        <w:spacing w:after="0" w:line="207" w:lineRule="exact"/>
        <w:rPr>
          <w:sz w:val="20"/>
          <w:szCs w:val="20"/>
          <w:color w:val="auto"/>
        </w:rPr>
      </w:pPr>
    </w:p>
    <w:p>
      <w:pPr>
        <w:ind w:left="4" w:right="40"/>
        <w:spacing w:after="0" w:line="312" w:lineRule="auto"/>
        <w:rPr>
          <w:sz w:val="20"/>
          <w:szCs w:val="20"/>
          <w:color w:val="auto"/>
        </w:rPr>
      </w:pPr>
      <w:r>
        <w:rPr>
          <w:rFonts w:ascii="Times New Roman" w:cs="Times New Roman" w:eastAsia="Times New Roman" w:hAnsi="Times New Roman"/>
          <w:sz w:val="17"/>
          <w:szCs w:val="17"/>
          <w:color w:val="auto"/>
        </w:rPr>
        <w:t>All of the services shown in this table for 2022 and 2021 were pre-approved by the Audit Committee. The Audit Committee considered whether providing the non-audit services shown in this table was compatible with maintaining Deloitte &amp; Touche LLP’s independence and concluded that it was.</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93"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Pre-Approval Policy for Services of Independent Registered Public Accounting Firm</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pre-approves all audit and permitted non-audit services provided by any independent registered public accounting firm prior to each engagement.</w:t>
      </w:r>
    </w:p>
    <w:p>
      <w:pPr>
        <w:spacing w:after="0" w:line="392" w:lineRule="exact"/>
        <w:rPr>
          <w:sz w:val="20"/>
          <w:szCs w:val="20"/>
          <w:color w:val="auto"/>
        </w:rPr>
      </w:pPr>
    </w:p>
    <w:p>
      <w:pPr>
        <w:jc w:val="center"/>
        <w:ind w:left="5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DELOITTE &amp; TOUCHE LLP AS OUR INDEPENDENT REGISTERED PUBLIC ACCOUNTING FIRM FOR THE FISCAL YEAR ENDING DECEMBER 31, 2023.</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80"/>
          </w:cols>
          <w:pgMar w:left="440" w:top="293" w:right="5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REPORT OF THE AUDIT COMMITTEE</w:t>
      </w:r>
    </w:p>
    <w:p>
      <w:pPr>
        <w:spacing w:after="0" w:line="22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is not to be deemed to be “soliciting material” or to be “filed” with the SEC, or subject to Regulation 14A of the Exchange Act or to the liabilities of Section 18 of the Exchange Act, nor is such information to be incorporated by reference into any future filing under the Securities Exchange Act of 1933, as amended, or the Exchange Act, except to the extent that we specifically incorporate it by reference into such filing.</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87"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Based upon the review and discussions described in the preceding paragraph, the Audit Committee recommended to the Board that the audited financial statements of the Company be included in the Annual Report on Form 10-K for the fiscal year ended December 31, 2022 for filing with the SEC.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Company’s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A. Hamood,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Kathleen A. Winters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Sastry Chilukuri</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93" w:right="45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COMPENSATION DISCUSSION &amp; ANALYSIS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Compensation Discussion &amp; Analysis (“CD&amp;A”) explains our executive compensation program for our named executive officers (“named executive officers” or “NEOs”) listed below. This CD&amp;A also describes the Human Capital Management &amp; Compensation Committee’s (the “HCM &amp; Compensation Committee”) process for making pay decisions, as well as its rationale for specific decisions related to the fiscal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for fiscal 2022 were:</w:t>
      </w:r>
    </w:p>
    <w:p>
      <w:pPr>
        <w:spacing w:after="0" w:line="131"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Musslewhite, our Chief Executive Officer (“CEO”) and director and former President;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Krantz, our Executive Chairman and director and former CEO;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Maack, our President;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Booth, our Chief Financial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Kate Shamsuddin Jensen, our Chief Product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Mirisola, our Chief Revenue Officer;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Samuels, our former Chief Legal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2022, Mr. Krantz transitioned from the role of Company CEO to Executive Chairman at which time the Company promoted</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Mr. Musslewhite from President to CEO. Mr. Maack became President of the Company effective November 3, 2022, and Mr. Samuels transitioned out of the Chief Legal Officer role effective November 16, 2022. More information on each of these transitions can be found under the headings, “— Executive Summary—2022 Compensation Highlights” and “—2022 Executive Compensation Program—Long-Term Equity Incentives” in this CD&amp;A and under the heading “—Employment Agreements” in the narrative to the Summary Compensation Table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Definitive Healthcare, our mission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IPO in September 2021, we have experienced strong revenue growth and continue to produce exceptional results. Our strength is broad-based across all of our segments, and we continue to innovate to build the next generation of healthcare commercial intelligence solutions.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Business Highlights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delivered strong performance in 2022, with a 34% year-over-year revenue growth rate and a 29% adjusted EBITDA margin – representing a “Rule of 63” performance. This unique combination of high growth and profitability allows us to continue to effectively grow and scale the business, while maintaining a clear focus on maximizing our long-term success and value creation for customers and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key Company financial highlights for 2022:</w:t>
      </w:r>
    </w:p>
    <w:p>
      <w:pPr>
        <w:spacing w:after="0" w:line="131" w:lineRule="exact"/>
        <w:rPr>
          <w:sz w:val="20"/>
          <w:szCs w:val="20"/>
          <w:color w:val="auto"/>
        </w:rPr>
      </w:pPr>
    </w:p>
    <w:p>
      <w:pPr>
        <w:ind w:left="420" w:hanging="316"/>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$222.7 million for the year, an increase of 34% from $166.2 million for the full year 2021.</w:t>
      </w:r>
    </w:p>
    <w:p>
      <w:pPr>
        <w:spacing w:after="0" w:line="130" w:lineRule="exact"/>
        <w:rPr>
          <w:rFonts w:ascii="Times New Roman" w:cs="Times New Roman" w:eastAsia="Times New Roman" w:hAnsi="Times New Roman"/>
          <w:sz w:val="18"/>
          <w:szCs w:val="18"/>
          <w:color w:val="auto"/>
        </w:rPr>
      </w:pPr>
    </w:p>
    <w:p>
      <w:pPr>
        <w:ind w:left="420" w:right="80" w:hanging="316"/>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(as defined under “Annual Incentives” below) was $239.8 million, an increase of 24% from $193.8 million at year-end 2021.</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93" w:right="519" w:bottom="1440" w:gutter="0" w:footer="0" w:header="0"/>
        </w:sectPr>
      </w:pPr>
    </w:p>
    <w:bookmarkStart w:id="28" w:name="page29"/>
    <w:bookmarkEnd w:id="28"/>
    <w:p>
      <w:pPr>
        <w:ind w:left="420" w:right="140" w:hanging="316"/>
        <w:spacing w:after="0" w:line="266"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Net Dollar Retention (NDR) (as defined under “Annual Incentives” below) was 110% for customers generating more than $100,000 in ARR (Enterprise Customers), down from 120% at year-end 2021. NDR was 103% for all customers with ARR greater than $17,500, down from 111% at year-end 2021. Overall NDR was 102%, down from 108% as of year-end 2021.</w:t>
      </w:r>
    </w:p>
    <w:p>
      <w:pPr>
        <w:spacing w:after="0" w:line="81" w:lineRule="exact"/>
        <w:rPr>
          <w:rFonts w:ascii="Times New Roman" w:cs="Times New Roman" w:eastAsia="Times New Roman" w:hAnsi="Times New Roman"/>
          <w:sz w:val="18"/>
          <w:szCs w:val="18"/>
          <w:color w:val="auto"/>
        </w:rPr>
      </w:pPr>
    </w:p>
    <w:p>
      <w:pPr>
        <w:ind w:left="420" w:right="400" w:hanging="316"/>
        <w:spacing w:after="0" w:line="282"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ended the year with 538 Enterprise Customers with ARR of greater than $100,000 per year, up 29% from 417 as of year-end 2021. These Enterprise Customers account for approximately 61% of our total ARR for year-end 2022.</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was $(22.3) million, or 10% of revenue, compared to $(61.3) million, or 37% of revenue for the full year 2021.</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$63.7 million, or 29% of revenue, compared to $56 million, or 34% of revenue for the full year 2021.</w:t>
      </w:r>
    </w:p>
    <w:p>
      <w:pPr>
        <w:spacing w:after="0" w:line="225"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Adjusted EBITDA and Adjusted EBITDA Margin are non-GAAP financial measures. See Appendix A below for more information about these non-GAAP financial measures and for reconciliations of these non-GAAP measures to the most directly comparable GAAP financial measures.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Compensation Highlights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has three primary elements: base salary, annual incentives, and long-term equity incentives. Each of these compensation elements serves a specific purpose in our compensation strategy. Base salary is an essential component of any market-competitive compensation program. Annual incentives reward the achievement of short-term goals, while long-term incentives drive our NEOs to focus on long-term, sustainable stockholder value creation. Based on our performance and consistent with the design of our program, we made the following executive compensation decisions for fiscal 2022 in our full first year of being a publicly traded company:</w:t>
      </w:r>
    </w:p>
    <w:p>
      <w:pPr>
        <w:spacing w:after="0" w:line="85" w:lineRule="exact"/>
        <w:rPr>
          <w:sz w:val="20"/>
          <w:szCs w:val="20"/>
          <w:color w:val="auto"/>
        </w:rPr>
      </w:pPr>
    </w:p>
    <w:p>
      <w:pPr>
        <w:ind w:left="420" w:hanging="316"/>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None of the NEOs received base salary increases for 2022.</w:t>
      </w:r>
    </w:p>
    <w:p>
      <w:pPr>
        <w:spacing w:after="0" w:line="130" w:lineRule="exact"/>
        <w:rPr>
          <w:rFonts w:ascii="Times New Roman" w:cs="Times New Roman" w:eastAsia="Times New Roman" w:hAnsi="Times New Roman"/>
          <w:sz w:val="18"/>
          <w:szCs w:val="18"/>
          <w:color w:val="auto"/>
        </w:rPr>
      </w:pPr>
    </w:p>
    <w:p>
      <w:pPr>
        <w:ind w:left="420" w:hanging="316"/>
        <w:spacing w:after="0" w:line="255"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Incentives. </w:t>
      </w:r>
      <w:r>
        <w:rPr>
          <w:rFonts w:ascii="Times New Roman" w:cs="Times New Roman" w:eastAsia="Times New Roman" w:hAnsi="Times New Roman"/>
          <w:sz w:val="18"/>
          <w:szCs w:val="18"/>
          <w:color w:val="auto"/>
        </w:rPr>
        <w:t>In early 2022, our HCM &amp; Compensation Committee established challenging performance goals for the Company under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Corporate Bonus Program (the “Bonus Program”). Each of our NEOs received the opportunity to earn annual cash incentives under the Bonus Program, which is designed to incentivize and reward our executives for their leadership and contributions to the Company’s success, based on both Company and individual performance (solely based upon Company performance for CEO and Executive Chair). Despite a year of strong growth, key strategic accomplishments, and a significant increase in revenue over 2021, the Company did not meet the rigorous ARR performance targets required for payouts. Accordingly, none of the NEOs received payouts under the Bonus Program for 2022. However, the HCM &amp; Compensation Committee and Board determined to award cash bonuses to our NEOs in recognition of the Company’s financial performance and strategic achievements in the difficult economic conditions of 2022.</w:t>
      </w:r>
    </w:p>
    <w:p>
      <w:pPr>
        <w:spacing w:after="0" w:line="90" w:lineRule="exact"/>
        <w:rPr>
          <w:rFonts w:ascii="Times New Roman" w:cs="Times New Roman" w:eastAsia="Times New Roman" w:hAnsi="Times New Roman"/>
          <w:sz w:val="18"/>
          <w:szCs w:val="18"/>
          <w:color w:val="auto"/>
        </w:rPr>
      </w:pPr>
    </w:p>
    <w:p>
      <w:pPr>
        <w:ind w:left="420" w:right="80" w:hanging="316"/>
        <w:spacing w:after="0" w:line="259"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Our NEOs were issued grants of time-based restricted stock units (“RSUs”) and performance-based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(“PSUs”) at the time of the Company’s IPO, on September 14, 2021. Accordingly, the HCM &amp; Compensation Committee and Board determined not to provide our NEOs with any equity grants in 2022, other than the one-time RSU and PSU grants awarded to Mr. Musslewhite in recognition of his promotion to CEO and the one-time RSU grant awarded to Mr. Maack in connection with his new hire arrangement (see below for descriptions of each of these awards).</w:t>
      </w:r>
    </w:p>
    <w:p>
      <w:pPr>
        <w:spacing w:after="0" w:line="84" w:lineRule="exact"/>
        <w:rPr>
          <w:rFonts w:ascii="Times New Roman" w:cs="Times New Roman" w:eastAsia="Times New Roman" w:hAnsi="Times New Roman"/>
          <w:sz w:val="18"/>
          <w:szCs w:val="18"/>
          <w:color w:val="auto"/>
        </w:rPr>
      </w:pPr>
    </w:p>
    <w:p>
      <w:pPr>
        <w:ind w:left="420" w:right="200" w:hanging="316"/>
        <w:spacing w:after="0" w:line="262"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 Musslewhite’s Promotion to CEO. </w:t>
      </w:r>
      <w:r>
        <w:rPr>
          <w:rFonts w:ascii="Times New Roman" w:cs="Times New Roman" w:eastAsia="Times New Roman" w:hAnsi="Times New Roman"/>
          <w:sz w:val="18"/>
          <w:szCs w:val="18"/>
          <w:color w:val="auto"/>
        </w:rPr>
        <w:t>Mr. Musslewhite became CEO of the Company effective August 1, 2022. In connection with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promotion, Mr. Musslewhite did not receive any cash compensation increases but received two grants of RSUs (333,322 RSUs vesting 30% on May 4, 2023 and 7% per quarter over the subsequent 30-months, and 83,333 RSUs vesting 25% on May 4, 2023 and 6.25% per quarter over the subsequent three years, in each case, subject to Mr. Musslewhite’s continued service to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7" w:right="459" w:bottom="1440" w:gutter="0" w:footer="0" w:header="0"/>
        </w:sectPr>
      </w:pPr>
    </w:p>
    <w:bookmarkStart w:id="29" w:name="page30"/>
    <w:bookmarkEnd w:id="29"/>
    <w:p>
      <w:pPr>
        <w:ind w:left="42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through each vesting date), and a grant of 125,000 PSUs (at target), which vest based upon the Company’s relative total shareholder return performance versus the Nasdaq Composite index of SaaS and Health Care Information Technology companies over a three-year performance period. These grants provide strong alignment with shareholders and ensure focus on long-term value creation. For additional detail, please see the headings “—2022 Executive Compensation Program—Long-Term Equity Incentives” in this CD&amp;A and under the heading “—Employment Agreements” in the narratives to the Summary Compensation Table below.</w:t>
      </w:r>
    </w:p>
    <w:p>
      <w:pPr>
        <w:spacing w:after="0" w:line="85" w:lineRule="exact"/>
        <w:rPr>
          <w:sz w:val="20"/>
          <w:szCs w:val="20"/>
          <w:color w:val="auto"/>
        </w:rPr>
      </w:pPr>
    </w:p>
    <w:p>
      <w:pPr>
        <w:ind w:left="420" w:right="20" w:hanging="316"/>
        <w:spacing w:after="0" w:line="254"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Hiring Mr. Maack. </w:t>
      </w:r>
      <w:r>
        <w:rPr>
          <w:rFonts w:ascii="Times New Roman" w:cs="Times New Roman" w:eastAsia="Times New Roman" w:hAnsi="Times New Roman"/>
          <w:sz w:val="18"/>
          <w:szCs w:val="18"/>
          <w:color w:val="auto"/>
        </w:rPr>
        <w:t>Mr. Maack joined the Company as President effective November 3, 2022. To attract Mr. Maack to Definitive Healthcare,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offering a market-based annual compensation package, it was critical to also provide one-time awards to offset unvested equity left behind at his prior employer. Mr. Maack’s one-time “sign-on” package utilized a mix of cash and equity. Mr. Maack’s annual base salary was set at $400,000 and his annual cash incentive opportunity target for 2022 was set at 70% of his base salary, prorated from his start date (and guaranteed for 2022). His new hire arrangement also included a one-time cash relocation payment of $330,000, subject to a clawback provision if he voluntarily terminates his employment with the Company within two years (100% repayment to the Company if he is employed for less than</w:t>
      </w:r>
    </w:p>
    <w:p>
      <w:pPr>
        <w:spacing w:after="0" w:line="3" w:lineRule="exact"/>
        <w:rPr>
          <w:rFonts w:ascii="Times New Roman" w:cs="Times New Roman" w:eastAsia="Times New Roman" w:hAnsi="Times New Roman"/>
          <w:sz w:val="18"/>
          <w:szCs w:val="18"/>
          <w:color w:val="auto"/>
        </w:rPr>
      </w:pPr>
    </w:p>
    <w:p>
      <w:pPr>
        <w:ind w:left="42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12-months; 50% repayment if he is employed between 12 and 24 months), as well as a one-time grant of 546,303 RSUs. The RSUs will vest 25% on November 3, 2023 and 6.25% every three months thereafter for three years (4 year total vest), subject to Mr. Maack’s continued service to the Company through each vesting date. For additional detail regarding Mr. Maack’s new-hire compensation package, please see the headings “— 2022 Executive Compensation Program—Long-Term Equity Incentives” in this CD&amp;A and the heading “—Employment Agreements” in the narratives to the Summary Compensation Table.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 Compensation Practices &amp; Policies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believe the following practices and policies within our program promote sound compensation governance and are in the best interests of our stockholders and executives: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220" w:type="dxa"/>
            <w:vAlign w:val="bottom"/>
          </w:tcPr>
          <w:p>
            <w:pPr>
              <w:spacing w:after="0"/>
              <w:rPr>
                <w:sz w:val="16"/>
                <w:szCs w:val="16"/>
                <w:color w:val="auto"/>
              </w:rPr>
            </w:pPr>
          </w:p>
        </w:tc>
        <w:tc>
          <w:tcPr>
            <w:tcW w:w="51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What We Don’t Do</w:t>
            </w:r>
          </w:p>
        </w:tc>
        <w:tc>
          <w:tcPr>
            <w:tcW w:w="0" w:type="dxa"/>
            <w:vAlign w:val="bottom"/>
          </w:tcPr>
          <w:p>
            <w:pPr>
              <w:spacing w:after="0"/>
              <w:rPr>
                <w:sz w:val="1"/>
                <w:szCs w:val="1"/>
                <w:color w:val="auto"/>
              </w:rPr>
            </w:pPr>
          </w:p>
        </w:tc>
      </w:tr>
      <w:tr>
        <w:trPr>
          <w:trHeight w:val="191"/>
        </w:trPr>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Emphasize variable pay over fixed pay and long-term compensation</w:t>
            </w:r>
          </w:p>
        </w:tc>
        <w:tc>
          <w:tcPr>
            <w:tcW w:w="22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tax gross ups, other than for qualified relocation expenses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over short-term compensation, with a significant portion tied to our</w:t>
            </w:r>
          </w:p>
        </w:tc>
        <w:tc>
          <w:tcPr>
            <w:tcW w:w="2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results and stock performance</w:t>
            </w:r>
          </w:p>
        </w:tc>
        <w:tc>
          <w:tcPr>
            <w:tcW w:w="5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automatic or guaranteed annual salary increases</w:t>
            </w:r>
          </w:p>
        </w:tc>
        <w:tc>
          <w:tcPr>
            <w:tcW w:w="0" w:type="dxa"/>
            <w:vAlign w:val="bottom"/>
          </w:tcPr>
          <w:p>
            <w:pPr>
              <w:spacing w:after="0"/>
              <w:rPr>
                <w:sz w:val="1"/>
                <w:szCs w:val="1"/>
                <w:color w:val="auto"/>
              </w:rPr>
            </w:pPr>
          </w:p>
        </w:tc>
      </w:tr>
      <w:tr>
        <w:trPr>
          <w:trHeight w:val="187"/>
        </w:trPr>
        <w:tc>
          <w:tcPr>
            <w:tcW w:w="380" w:type="dxa"/>
            <w:vAlign w:val="bottom"/>
            <w:vMerge w:val="continue"/>
          </w:tcPr>
          <w:p>
            <w:pPr>
              <w:spacing w:after="0"/>
              <w:rPr>
                <w:sz w:val="16"/>
                <w:szCs w:val="16"/>
                <w:color w:val="auto"/>
              </w:rPr>
            </w:pPr>
          </w:p>
        </w:tc>
        <w:tc>
          <w:tcPr>
            <w:tcW w:w="532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color w:val="auto"/>
              </w:rPr>
              <w:t>Maintain anti-hedging and anti-pledging policies</w:t>
            </w:r>
          </w:p>
        </w:tc>
        <w:tc>
          <w:tcPr>
            <w:tcW w:w="5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Provide for “double-trigger” post-IPO equity award vesting and</w:t>
            </w: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significant perquisites</w:t>
            </w:r>
          </w:p>
        </w:tc>
        <w:tc>
          <w:tcPr>
            <w:tcW w:w="0" w:type="dxa"/>
            <w:vAlign w:val="bottom"/>
          </w:tcPr>
          <w:p>
            <w:pPr>
              <w:spacing w:after="0"/>
              <w:rPr>
                <w:sz w:val="1"/>
                <w:szCs w:val="1"/>
                <w:color w:val="auto"/>
              </w:rPr>
            </w:pPr>
          </w:p>
        </w:tc>
      </w:tr>
      <w:tr>
        <w:trPr>
          <w:trHeight w:val="216"/>
        </w:trPr>
        <w:tc>
          <w:tcPr>
            <w:tcW w:w="3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severance benefits upon a change in control</w:t>
            </w:r>
          </w:p>
        </w:tc>
        <w:tc>
          <w:tcPr>
            <w:tcW w:w="5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supplemental executive retirement plans</w:t>
            </w: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an independent compensation consultant reporting directly to the</w:t>
            </w:r>
          </w:p>
        </w:tc>
        <w:tc>
          <w:tcPr>
            <w:tcW w:w="5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HCM &amp; Compensation Committee to assess compensation relative to</w:t>
            </w:r>
          </w:p>
        </w:tc>
        <w:tc>
          <w:tcPr>
            <w:tcW w:w="2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market in order to retain and hire the best talent</w:t>
            </w:r>
          </w:p>
        </w:tc>
        <w:tc>
          <w:tcPr>
            <w:tcW w:w="5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excessive severance benefits</w:t>
            </w:r>
          </w:p>
        </w:tc>
        <w:tc>
          <w:tcPr>
            <w:tcW w:w="0" w:type="dxa"/>
            <w:vAlign w:val="bottom"/>
          </w:tcPr>
          <w:p>
            <w:pPr>
              <w:spacing w:after="0"/>
              <w:rPr>
                <w:sz w:val="1"/>
                <w:szCs w:val="1"/>
                <w:color w:val="auto"/>
              </w:rPr>
            </w:pPr>
          </w:p>
        </w:tc>
      </w:tr>
      <w:tr>
        <w:trPr>
          <w:trHeight w:val="187"/>
        </w:trPr>
        <w:tc>
          <w:tcPr>
            <w:tcW w:w="380" w:type="dxa"/>
            <w:vAlign w:val="bottom"/>
            <w:vMerge w:val="continue"/>
          </w:tcPr>
          <w:p>
            <w:pPr>
              <w:spacing w:after="0"/>
              <w:rPr>
                <w:sz w:val="16"/>
                <w:szCs w:val="16"/>
                <w:color w:val="auto"/>
              </w:rPr>
            </w:pPr>
          </w:p>
        </w:tc>
        <w:tc>
          <w:tcPr>
            <w:tcW w:w="532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color w:val="auto"/>
              </w:rPr>
              <w:t>Review compensation levels internally to determine pay equity</w:t>
            </w:r>
          </w:p>
        </w:tc>
        <w:tc>
          <w:tcPr>
            <w:tcW w:w="5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relevant peer group pay quantum and design data as a reference</w:t>
            </w: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outsized / aspirational peer groups are used</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point</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40" w:hanging="456"/>
        <w:spacing w:after="0"/>
        <w:tabs>
          <w:tab w:leader="none" w:pos="54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Incentive plan goals aligned with stockholder interests</w:t>
      </w:r>
    </w:p>
    <w:p>
      <w:pPr>
        <w:spacing w:after="0" w:line="15" w:lineRule="exact"/>
        <w:rPr>
          <w:rFonts w:ascii="MS PGothic" w:cs="MS PGothic" w:eastAsia="MS PGothic" w:hAnsi="MS PGothic"/>
          <w:sz w:val="18"/>
          <w:szCs w:val="18"/>
          <w:color w:val="auto"/>
        </w:rPr>
      </w:pPr>
    </w:p>
    <w:p>
      <w:pPr>
        <w:ind w:left="540" w:hanging="456"/>
        <w:spacing w:after="0"/>
        <w:tabs>
          <w:tab w:leader="none" w:pos="54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Maximum caps on incentive opportunities</w:t>
      </w:r>
    </w:p>
    <w:p>
      <w:pPr>
        <w:spacing w:after="0" w:line="9" w:lineRule="exact"/>
        <w:rPr>
          <w:rFonts w:ascii="MS PGothic" w:cs="MS PGothic" w:eastAsia="MS PGothic" w:hAnsi="MS PGothic"/>
          <w:sz w:val="18"/>
          <w:szCs w:val="18"/>
          <w:color w:val="auto"/>
        </w:rPr>
      </w:pPr>
    </w:p>
    <w:p>
      <w:pPr>
        <w:ind w:left="540" w:hanging="456"/>
        <w:spacing w:after="0"/>
        <w:tabs>
          <w:tab w:leader="none" w:pos="54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Stock ownership guidelines for executives and non-employee directors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97" w:right="43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Stockholder Say-on-Pay Vote</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During the fiscal year ending December 31, 2022, we became a large, accelerated filer and exited the “emerging growth company” status as defined in the Jumpstart Our Business Startups Act. As such, our stockholders will have their first opportunity to cast a non-binding advisory vote to approve our executive compensation at our 2024 annual meeting of stockholders. In the future, we intend to consider the outcome of such say-on-pay votes when making compensation decisions regarding our executive compensation. Depending on the outcome of Proposal No. 2 (regarding the frequency of future say-on-pay votes), we expect to hold say-on-pay votes annually thereafter.</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GUIDES OUR PROGRAM</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Our executive compensation philosophy is driven by the following guiding principles that underpin the critical connections between performance, long-term value creation, talent management, compensation governance, and our cultural values:</w:t>
      </w:r>
    </w:p>
    <w:p>
      <w:pPr>
        <w:spacing w:after="0" w:line="63" w:lineRule="exact"/>
        <w:rPr>
          <w:sz w:val="20"/>
          <w:szCs w:val="20"/>
          <w:color w:val="auto"/>
        </w:rPr>
      </w:pPr>
    </w:p>
    <w:p>
      <w:pPr>
        <w:ind w:left="424" w:right="80" w:hanging="424"/>
        <w:spacing w:after="0" w:line="28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Competitively Positioned: </w:t>
      </w:r>
      <w:r>
        <w:rPr>
          <w:rFonts w:ascii="Times New Roman" w:cs="Times New Roman" w:eastAsia="Times New Roman" w:hAnsi="Times New Roman"/>
          <w:sz w:val="18"/>
          <w:szCs w:val="18"/>
          <w:color w:val="auto"/>
        </w:rPr>
        <w:t>Target compensation should be competitive with the compensation being offered to individuals in comparable roles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companies with which we compete for talent to ensure that we attract, motivate, and retain the best people to lead our success.</w:t>
      </w:r>
    </w:p>
    <w:p>
      <w:pPr>
        <w:spacing w:after="0" w:line="60" w:lineRule="exact"/>
        <w:rPr>
          <w:rFonts w:ascii="Times New Roman" w:cs="Times New Roman" w:eastAsia="Times New Roman" w:hAnsi="Times New Roman"/>
          <w:sz w:val="18"/>
          <w:szCs w:val="18"/>
          <w:color w:val="auto"/>
        </w:rPr>
      </w:pPr>
    </w:p>
    <w:p>
      <w:pPr>
        <w:ind w:left="424" w:right="20" w:hanging="424"/>
        <w:spacing w:after="0" w:line="28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Performance-Driven and Stockholder-Aligned: </w:t>
      </w:r>
      <w:r>
        <w:rPr>
          <w:rFonts w:ascii="Times New Roman" w:cs="Times New Roman" w:eastAsia="Times New Roman" w:hAnsi="Times New Roman"/>
          <w:sz w:val="18"/>
          <w:szCs w:val="18"/>
          <w:color w:val="auto"/>
        </w:rPr>
        <w:t>A meaningful portion of total compensation should be variable and linked to the achievement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short and long-term performance objectives and designed to drive stockholder value creation.</w:t>
      </w:r>
    </w:p>
    <w:p>
      <w:pPr>
        <w:spacing w:after="0" w:line="60" w:lineRule="exact"/>
        <w:rPr>
          <w:rFonts w:ascii="Times New Roman" w:cs="Times New Roman" w:eastAsia="Times New Roman" w:hAnsi="Times New Roman"/>
          <w:sz w:val="18"/>
          <w:szCs w:val="18"/>
          <w:color w:val="auto"/>
        </w:rPr>
      </w:pPr>
    </w:p>
    <w:p>
      <w:pPr>
        <w:ind w:left="424" w:right="500" w:hanging="424"/>
        <w:spacing w:after="0" w:line="28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Responsibly Governed: </w:t>
      </w:r>
      <w:r>
        <w:rPr>
          <w:rFonts w:ascii="Times New Roman" w:cs="Times New Roman" w:eastAsia="Times New Roman" w:hAnsi="Times New Roman"/>
          <w:sz w:val="18"/>
          <w:szCs w:val="18"/>
          <w:color w:val="auto"/>
        </w:rPr>
        <w:t>Decisions about compensation should be guided by best-practice governance standards and rigorous processes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encourage prudent decision-making.</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Elements of Pay: Total Direct Compensation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executive compensation philosophy is supported by the following principal elements of pay:</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Pay Element</w:t>
            </w:r>
          </w:p>
        </w:tc>
        <w:tc>
          <w:tcPr>
            <w:tcW w:w="1220" w:type="dxa"/>
            <w:vAlign w:val="bottom"/>
          </w:tcPr>
          <w:p>
            <w:pPr>
              <w:spacing w:after="0"/>
              <w:rPr>
                <w:sz w:val="15"/>
                <w:szCs w:val="15"/>
                <w:color w:val="auto"/>
              </w:rPr>
            </w:pPr>
          </w:p>
        </w:tc>
        <w:tc>
          <w:tcPr>
            <w:tcW w:w="21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How It’s Paid</w:t>
            </w:r>
          </w:p>
        </w:tc>
        <w:tc>
          <w:tcPr>
            <w:tcW w:w="68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20"/>
        </w:trPr>
        <w:tc>
          <w:tcPr>
            <w:tcW w:w="7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191"/>
        </w:trPr>
        <w:tc>
          <w:tcPr>
            <w:tcW w:w="2000" w:type="dxa"/>
            <w:vAlign w:val="bottom"/>
            <w:gridSpan w:val="2"/>
            <w:shd w:val="clear" w:color="auto" w:fill="D1FCFC"/>
          </w:tcPr>
          <w:p>
            <w:pPr>
              <w:spacing w:after="0" w:line="191" w:lineRule="exact"/>
              <w:rPr>
                <w:sz w:val="20"/>
                <w:szCs w:val="20"/>
                <w:color w:val="auto"/>
              </w:rPr>
            </w:pPr>
            <w:r>
              <w:rPr>
                <w:rFonts w:ascii="Times New Roman" w:cs="Times New Roman" w:eastAsia="Times New Roman" w:hAnsi="Times New Roman"/>
                <w:sz w:val="18"/>
                <w:szCs w:val="18"/>
                <w:color w:val="auto"/>
              </w:rPr>
              <w:t>Base Salary</w:t>
            </w:r>
          </w:p>
        </w:tc>
        <w:tc>
          <w:tcPr>
            <w:tcW w:w="2140" w:type="dxa"/>
            <w:vAlign w:val="bottom"/>
            <w:gridSpan w:val="3"/>
            <w:shd w:val="clear" w:color="auto" w:fill="D1FCFC"/>
          </w:tcPr>
          <w:p>
            <w:pPr>
              <w:ind w:left="420"/>
              <w:spacing w:after="0" w:line="191" w:lineRule="exact"/>
              <w:rPr>
                <w:sz w:val="20"/>
                <w:szCs w:val="20"/>
                <w:color w:val="auto"/>
              </w:rPr>
            </w:pPr>
            <w:r>
              <w:rPr>
                <w:rFonts w:ascii="Times New Roman" w:cs="Times New Roman" w:eastAsia="Times New Roman" w:hAnsi="Times New Roman"/>
                <w:sz w:val="18"/>
                <w:szCs w:val="18"/>
                <w:color w:val="auto"/>
              </w:rPr>
              <w:t>Cash (Fixed)</w:t>
            </w:r>
          </w:p>
        </w:tc>
        <w:tc>
          <w:tcPr>
            <w:tcW w:w="6880" w:type="dxa"/>
            <w:vAlign w:val="bottom"/>
            <w:gridSpan w:val="3"/>
            <w:shd w:val="clear" w:color="auto" w:fill="D1FCFC"/>
          </w:tcPr>
          <w:p>
            <w:pPr>
              <w:ind w:left="480"/>
              <w:spacing w:after="0" w:line="191" w:lineRule="exact"/>
              <w:rPr>
                <w:sz w:val="20"/>
                <w:szCs w:val="20"/>
                <w:color w:val="auto"/>
              </w:rPr>
            </w:pPr>
            <w:r>
              <w:rPr>
                <w:rFonts w:ascii="Times New Roman" w:cs="Times New Roman" w:eastAsia="Times New Roman" w:hAnsi="Times New Roman"/>
                <w:sz w:val="18"/>
                <w:szCs w:val="18"/>
                <w:color w:val="auto"/>
              </w:rPr>
              <w:t>Provide a competitive base salary rate relative to similar positions in the market and</w:t>
            </w:r>
          </w:p>
        </w:tc>
      </w:tr>
      <w:tr>
        <w:trPr>
          <w:trHeight w:val="234"/>
        </w:trPr>
        <w:tc>
          <w:tcPr>
            <w:tcW w:w="780" w:type="dxa"/>
            <w:vAlign w:val="bottom"/>
            <w:shd w:val="clear" w:color="auto" w:fill="D1FCFC"/>
          </w:tcPr>
          <w:p>
            <w:pPr>
              <w:spacing w:after="0"/>
              <w:rPr>
                <w:sz w:val="20"/>
                <w:szCs w:val="20"/>
                <w:color w:val="auto"/>
              </w:rPr>
            </w:pPr>
          </w:p>
        </w:tc>
        <w:tc>
          <w:tcPr>
            <w:tcW w:w="1220" w:type="dxa"/>
            <w:vAlign w:val="bottom"/>
            <w:shd w:val="clear" w:color="auto" w:fill="D1FCFC"/>
          </w:tcPr>
          <w:p>
            <w:pPr>
              <w:spacing w:after="0"/>
              <w:rPr>
                <w:sz w:val="20"/>
                <w:szCs w:val="20"/>
                <w:color w:val="auto"/>
              </w:rPr>
            </w:pPr>
          </w:p>
        </w:tc>
        <w:tc>
          <w:tcPr>
            <w:tcW w:w="420" w:type="dxa"/>
            <w:vAlign w:val="bottom"/>
            <w:shd w:val="clear" w:color="auto" w:fill="D1FCFC"/>
          </w:tcPr>
          <w:p>
            <w:pPr>
              <w:spacing w:after="0"/>
              <w:rPr>
                <w:sz w:val="20"/>
                <w:szCs w:val="20"/>
                <w:color w:val="auto"/>
              </w:rPr>
            </w:pPr>
          </w:p>
        </w:tc>
        <w:tc>
          <w:tcPr>
            <w:tcW w:w="840" w:type="dxa"/>
            <w:vAlign w:val="bottom"/>
            <w:shd w:val="clear" w:color="auto" w:fill="D1FCFC"/>
          </w:tcPr>
          <w:p>
            <w:pPr>
              <w:spacing w:after="0"/>
              <w:rPr>
                <w:sz w:val="20"/>
                <w:szCs w:val="20"/>
                <w:color w:val="auto"/>
              </w:rPr>
            </w:pPr>
          </w:p>
        </w:tc>
        <w:tc>
          <w:tcPr>
            <w:tcW w:w="880" w:type="dxa"/>
            <w:vAlign w:val="bottom"/>
            <w:shd w:val="clear" w:color="auto" w:fill="D1FCFC"/>
          </w:tcPr>
          <w:p>
            <w:pPr>
              <w:spacing w:after="0"/>
              <w:rPr>
                <w:sz w:val="20"/>
                <w:szCs w:val="20"/>
                <w:color w:val="auto"/>
              </w:rPr>
            </w:pPr>
          </w:p>
        </w:tc>
        <w:tc>
          <w:tcPr>
            <w:tcW w:w="6880" w:type="dxa"/>
            <w:vAlign w:val="bottom"/>
            <w:gridSpan w:val="3"/>
            <w:shd w:val="clear" w:color="auto" w:fill="D1FCFC"/>
          </w:tcPr>
          <w:p>
            <w:pPr>
              <w:ind w:left="480"/>
              <w:spacing w:after="0"/>
              <w:rPr>
                <w:sz w:val="20"/>
                <w:szCs w:val="20"/>
                <w:color w:val="auto"/>
              </w:rPr>
            </w:pPr>
            <w:r>
              <w:rPr>
                <w:rFonts w:ascii="Times New Roman" w:cs="Times New Roman" w:eastAsia="Times New Roman" w:hAnsi="Times New Roman"/>
                <w:sz w:val="18"/>
                <w:szCs w:val="18"/>
                <w:color w:val="auto"/>
              </w:rPr>
              <w:t>enable the Company to attract and retain critical executive talent.</w:t>
            </w: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Annual Incentives</w:t>
            </w:r>
          </w:p>
        </w:tc>
        <w:tc>
          <w:tcPr>
            <w:tcW w:w="2140" w:type="dxa"/>
            <w:vAlign w:val="bottom"/>
            <w:gridSpan w:val="3"/>
          </w:tcPr>
          <w:p>
            <w:pPr>
              <w:ind w:left="420"/>
              <w:spacing w:after="0" w:line="198" w:lineRule="exact"/>
              <w:rPr>
                <w:sz w:val="20"/>
                <w:szCs w:val="20"/>
                <w:color w:val="auto"/>
              </w:rPr>
            </w:pPr>
            <w:r>
              <w:rPr>
                <w:rFonts w:ascii="Times New Roman" w:cs="Times New Roman" w:eastAsia="Times New Roman" w:hAnsi="Times New Roman"/>
                <w:sz w:val="18"/>
                <w:szCs w:val="18"/>
                <w:color w:val="auto"/>
              </w:rPr>
              <w:t>Cash (Variable)</w:t>
            </w:r>
          </w:p>
        </w:tc>
        <w:tc>
          <w:tcPr>
            <w:tcW w:w="6880" w:type="dxa"/>
            <w:vAlign w:val="bottom"/>
            <w:gridSpan w:val="3"/>
          </w:tcPr>
          <w:p>
            <w:pPr>
              <w:ind w:left="480"/>
              <w:spacing w:after="0" w:line="198" w:lineRule="exact"/>
              <w:rPr>
                <w:sz w:val="20"/>
                <w:szCs w:val="20"/>
                <w:color w:val="auto"/>
              </w:rPr>
            </w:pPr>
            <w:r>
              <w:rPr>
                <w:rFonts w:ascii="Times New Roman" w:cs="Times New Roman" w:eastAsia="Times New Roman" w:hAnsi="Times New Roman"/>
                <w:sz w:val="18"/>
                <w:szCs w:val="18"/>
                <w:color w:val="auto"/>
              </w:rPr>
              <w:t>Reward executives for delivering on annual financial and strategic objectives that</w:t>
            </w:r>
          </w:p>
        </w:tc>
      </w:tr>
      <w:tr>
        <w:trPr>
          <w:trHeight w:val="234"/>
        </w:trPr>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contribute to the creation of stockholder value.</w:t>
            </w:r>
          </w:p>
        </w:tc>
      </w:tr>
      <w:tr>
        <w:trPr>
          <w:trHeight w:val="198"/>
        </w:trPr>
        <w:tc>
          <w:tcPr>
            <w:tcW w:w="2000" w:type="dxa"/>
            <w:vAlign w:val="bottom"/>
            <w:gridSpan w:val="2"/>
            <w:shd w:val="clear" w:color="auto" w:fill="D1FCFC"/>
          </w:tcPr>
          <w:p>
            <w:pPr>
              <w:spacing w:after="0" w:line="198" w:lineRule="exact"/>
              <w:rPr>
                <w:sz w:val="20"/>
                <w:szCs w:val="20"/>
                <w:color w:val="auto"/>
              </w:rPr>
            </w:pPr>
            <w:r>
              <w:rPr>
                <w:rFonts w:ascii="Times New Roman" w:cs="Times New Roman" w:eastAsia="Times New Roman" w:hAnsi="Times New Roman"/>
                <w:sz w:val="18"/>
                <w:szCs w:val="18"/>
                <w:color w:val="auto"/>
              </w:rPr>
              <w:t>Long-Term Incentives</w:t>
            </w:r>
          </w:p>
        </w:tc>
        <w:tc>
          <w:tcPr>
            <w:tcW w:w="2140" w:type="dxa"/>
            <w:vAlign w:val="bottom"/>
            <w:gridSpan w:val="3"/>
            <w:shd w:val="clear" w:color="auto" w:fill="D1FCFC"/>
          </w:tcPr>
          <w:p>
            <w:pPr>
              <w:ind w:left="420"/>
              <w:spacing w:after="0" w:line="198" w:lineRule="exact"/>
              <w:rPr>
                <w:sz w:val="20"/>
                <w:szCs w:val="20"/>
                <w:color w:val="auto"/>
              </w:rPr>
            </w:pPr>
            <w:r>
              <w:rPr>
                <w:rFonts w:ascii="Times New Roman" w:cs="Times New Roman" w:eastAsia="Times New Roman" w:hAnsi="Times New Roman"/>
                <w:sz w:val="18"/>
                <w:szCs w:val="18"/>
                <w:color w:val="auto"/>
              </w:rPr>
              <w:t>Equity (Variable)</w:t>
            </w:r>
          </w:p>
        </w:tc>
        <w:tc>
          <w:tcPr>
            <w:tcW w:w="6880" w:type="dxa"/>
            <w:vAlign w:val="bottom"/>
            <w:gridSpan w:val="3"/>
            <w:shd w:val="clear" w:color="auto" w:fill="D1FCFC"/>
          </w:tcPr>
          <w:p>
            <w:pPr>
              <w:ind w:left="480"/>
              <w:spacing w:after="0" w:line="198" w:lineRule="exact"/>
              <w:rPr>
                <w:sz w:val="20"/>
                <w:szCs w:val="20"/>
                <w:color w:val="auto"/>
              </w:rPr>
            </w:pPr>
            <w:r>
              <w:rPr>
                <w:rFonts w:ascii="Times New Roman" w:cs="Times New Roman" w:eastAsia="Times New Roman" w:hAnsi="Times New Roman"/>
                <w:sz w:val="18"/>
                <w:szCs w:val="18"/>
                <w:color w:val="auto"/>
                <w:w w:val="99"/>
              </w:rPr>
              <w:t>Provide incentives for executives to execute on longer-term financial goals that drive the</w:t>
            </w:r>
          </w:p>
        </w:tc>
      </w:tr>
      <w:tr>
        <w:trPr>
          <w:trHeight w:val="216"/>
        </w:trPr>
        <w:tc>
          <w:tcPr>
            <w:tcW w:w="780" w:type="dxa"/>
            <w:vAlign w:val="bottom"/>
            <w:shd w:val="clear" w:color="auto" w:fill="D1FCFC"/>
          </w:tcPr>
          <w:p>
            <w:pPr>
              <w:spacing w:after="0"/>
              <w:rPr>
                <w:sz w:val="18"/>
                <w:szCs w:val="18"/>
                <w:color w:val="auto"/>
              </w:rPr>
            </w:pPr>
          </w:p>
        </w:tc>
        <w:tc>
          <w:tcPr>
            <w:tcW w:w="1220" w:type="dxa"/>
            <w:vAlign w:val="bottom"/>
            <w:shd w:val="clear" w:color="auto" w:fill="D1FCFC"/>
          </w:tcPr>
          <w:p>
            <w:pPr>
              <w:spacing w:after="0"/>
              <w:rPr>
                <w:sz w:val="18"/>
                <w:szCs w:val="18"/>
                <w:color w:val="auto"/>
              </w:rPr>
            </w:pPr>
          </w:p>
        </w:tc>
        <w:tc>
          <w:tcPr>
            <w:tcW w:w="420" w:type="dxa"/>
            <w:vAlign w:val="bottom"/>
            <w:shd w:val="clear" w:color="auto" w:fill="D1FCFC"/>
          </w:tcPr>
          <w:p>
            <w:pPr>
              <w:spacing w:after="0"/>
              <w:rPr>
                <w:sz w:val="18"/>
                <w:szCs w:val="18"/>
                <w:color w:val="auto"/>
              </w:rPr>
            </w:pPr>
          </w:p>
        </w:tc>
        <w:tc>
          <w:tcPr>
            <w:tcW w:w="840" w:type="dxa"/>
            <w:vAlign w:val="bottom"/>
            <w:shd w:val="clear" w:color="auto" w:fill="D1FCFC"/>
          </w:tcPr>
          <w:p>
            <w:pPr>
              <w:spacing w:after="0"/>
              <w:rPr>
                <w:sz w:val="18"/>
                <w:szCs w:val="18"/>
                <w:color w:val="auto"/>
              </w:rPr>
            </w:pPr>
          </w:p>
        </w:tc>
        <w:tc>
          <w:tcPr>
            <w:tcW w:w="880" w:type="dxa"/>
            <w:vAlign w:val="bottom"/>
            <w:shd w:val="clear" w:color="auto" w:fill="D1FCFC"/>
          </w:tcPr>
          <w:p>
            <w:pPr>
              <w:spacing w:after="0"/>
              <w:rPr>
                <w:sz w:val="18"/>
                <w:szCs w:val="18"/>
                <w:color w:val="auto"/>
              </w:rPr>
            </w:pPr>
          </w:p>
        </w:tc>
        <w:tc>
          <w:tcPr>
            <w:tcW w:w="6880" w:type="dxa"/>
            <w:vAlign w:val="bottom"/>
            <w:gridSpan w:val="3"/>
            <w:shd w:val="clear" w:color="auto" w:fill="D1FCFC"/>
          </w:tcPr>
          <w:p>
            <w:pPr>
              <w:ind w:left="480"/>
              <w:spacing w:after="0"/>
              <w:rPr>
                <w:sz w:val="20"/>
                <w:szCs w:val="20"/>
                <w:color w:val="auto"/>
              </w:rPr>
            </w:pPr>
            <w:r>
              <w:rPr>
                <w:rFonts w:ascii="Times New Roman" w:cs="Times New Roman" w:eastAsia="Times New Roman" w:hAnsi="Times New Roman"/>
                <w:sz w:val="18"/>
                <w:szCs w:val="18"/>
                <w:color w:val="auto"/>
              </w:rPr>
              <w:t>creation of stockholder value and align executives’ interests with those of our</w:t>
            </w:r>
          </w:p>
        </w:tc>
      </w:tr>
      <w:tr>
        <w:trPr>
          <w:trHeight w:val="216"/>
        </w:trPr>
        <w:tc>
          <w:tcPr>
            <w:tcW w:w="780" w:type="dxa"/>
            <w:vAlign w:val="bottom"/>
            <w:shd w:val="clear" w:color="auto" w:fill="D1FCFC"/>
          </w:tcPr>
          <w:p>
            <w:pPr>
              <w:spacing w:after="0"/>
              <w:rPr>
                <w:sz w:val="18"/>
                <w:szCs w:val="18"/>
                <w:color w:val="auto"/>
              </w:rPr>
            </w:pPr>
          </w:p>
        </w:tc>
        <w:tc>
          <w:tcPr>
            <w:tcW w:w="1220" w:type="dxa"/>
            <w:vAlign w:val="bottom"/>
            <w:shd w:val="clear" w:color="auto" w:fill="D1FCFC"/>
          </w:tcPr>
          <w:p>
            <w:pPr>
              <w:spacing w:after="0"/>
              <w:rPr>
                <w:sz w:val="18"/>
                <w:szCs w:val="18"/>
                <w:color w:val="auto"/>
              </w:rPr>
            </w:pPr>
          </w:p>
        </w:tc>
        <w:tc>
          <w:tcPr>
            <w:tcW w:w="420" w:type="dxa"/>
            <w:vAlign w:val="bottom"/>
            <w:shd w:val="clear" w:color="auto" w:fill="D1FCFC"/>
          </w:tcPr>
          <w:p>
            <w:pPr>
              <w:spacing w:after="0"/>
              <w:rPr>
                <w:sz w:val="18"/>
                <w:szCs w:val="18"/>
                <w:color w:val="auto"/>
              </w:rPr>
            </w:pPr>
          </w:p>
        </w:tc>
        <w:tc>
          <w:tcPr>
            <w:tcW w:w="840" w:type="dxa"/>
            <w:vAlign w:val="bottom"/>
            <w:shd w:val="clear" w:color="auto" w:fill="D1FCFC"/>
          </w:tcPr>
          <w:p>
            <w:pPr>
              <w:spacing w:after="0"/>
              <w:rPr>
                <w:sz w:val="18"/>
                <w:szCs w:val="18"/>
                <w:color w:val="auto"/>
              </w:rPr>
            </w:pPr>
          </w:p>
        </w:tc>
        <w:tc>
          <w:tcPr>
            <w:tcW w:w="880" w:type="dxa"/>
            <w:vAlign w:val="bottom"/>
            <w:shd w:val="clear" w:color="auto" w:fill="D1FCFC"/>
          </w:tcPr>
          <w:p>
            <w:pPr>
              <w:spacing w:after="0"/>
              <w:rPr>
                <w:sz w:val="18"/>
                <w:szCs w:val="18"/>
                <w:color w:val="auto"/>
              </w:rPr>
            </w:pPr>
          </w:p>
        </w:tc>
        <w:tc>
          <w:tcPr>
            <w:tcW w:w="6880" w:type="dxa"/>
            <w:vAlign w:val="bottom"/>
            <w:gridSpan w:val="3"/>
            <w:shd w:val="clear" w:color="auto" w:fill="D1FCFC"/>
          </w:tcPr>
          <w:p>
            <w:pPr>
              <w:ind w:left="480"/>
              <w:spacing w:after="0"/>
              <w:rPr>
                <w:sz w:val="20"/>
                <w:szCs w:val="20"/>
                <w:color w:val="auto"/>
              </w:rPr>
            </w:pPr>
            <w:r>
              <w:rPr>
                <w:rFonts w:ascii="Times New Roman" w:cs="Times New Roman" w:eastAsia="Times New Roman" w:hAnsi="Times New Roman"/>
                <w:sz w:val="18"/>
                <w:szCs w:val="18"/>
                <w:color w:val="auto"/>
              </w:rPr>
              <w:t>stockholders. Additionally, equity incentives retain executive talent through multi-year</w:t>
            </w:r>
          </w:p>
        </w:tc>
      </w:tr>
      <w:tr>
        <w:trPr>
          <w:trHeight w:val="234"/>
        </w:trPr>
        <w:tc>
          <w:tcPr>
            <w:tcW w:w="780" w:type="dxa"/>
            <w:vAlign w:val="bottom"/>
            <w:shd w:val="clear" w:color="auto" w:fill="D1FCFC"/>
          </w:tcPr>
          <w:p>
            <w:pPr>
              <w:spacing w:after="0"/>
              <w:rPr>
                <w:sz w:val="20"/>
                <w:szCs w:val="20"/>
                <w:color w:val="auto"/>
              </w:rPr>
            </w:pPr>
          </w:p>
        </w:tc>
        <w:tc>
          <w:tcPr>
            <w:tcW w:w="1220" w:type="dxa"/>
            <w:vAlign w:val="bottom"/>
            <w:shd w:val="clear" w:color="auto" w:fill="D1FCFC"/>
          </w:tcPr>
          <w:p>
            <w:pPr>
              <w:spacing w:after="0"/>
              <w:rPr>
                <w:sz w:val="20"/>
                <w:szCs w:val="20"/>
                <w:color w:val="auto"/>
              </w:rPr>
            </w:pPr>
          </w:p>
        </w:tc>
        <w:tc>
          <w:tcPr>
            <w:tcW w:w="420" w:type="dxa"/>
            <w:vAlign w:val="bottom"/>
            <w:shd w:val="clear" w:color="auto" w:fill="D1FCFC"/>
          </w:tcPr>
          <w:p>
            <w:pPr>
              <w:spacing w:after="0"/>
              <w:rPr>
                <w:sz w:val="20"/>
                <w:szCs w:val="20"/>
                <w:color w:val="auto"/>
              </w:rPr>
            </w:pPr>
          </w:p>
        </w:tc>
        <w:tc>
          <w:tcPr>
            <w:tcW w:w="840" w:type="dxa"/>
            <w:vAlign w:val="bottom"/>
            <w:shd w:val="clear" w:color="auto" w:fill="D1FCFC"/>
          </w:tcPr>
          <w:p>
            <w:pPr>
              <w:spacing w:after="0"/>
              <w:rPr>
                <w:sz w:val="20"/>
                <w:szCs w:val="20"/>
                <w:color w:val="auto"/>
              </w:rPr>
            </w:pPr>
          </w:p>
        </w:tc>
        <w:tc>
          <w:tcPr>
            <w:tcW w:w="880" w:type="dxa"/>
            <w:vAlign w:val="bottom"/>
            <w:shd w:val="clear" w:color="auto" w:fill="D1FCFC"/>
          </w:tcPr>
          <w:p>
            <w:pPr>
              <w:spacing w:after="0"/>
              <w:rPr>
                <w:sz w:val="20"/>
                <w:szCs w:val="20"/>
                <w:color w:val="auto"/>
              </w:rPr>
            </w:pPr>
          </w:p>
        </w:tc>
        <w:tc>
          <w:tcPr>
            <w:tcW w:w="6880" w:type="dxa"/>
            <w:vAlign w:val="bottom"/>
            <w:gridSpan w:val="3"/>
            <w:shd w:val="clear" w:color="auto" w:fill="D1FCFC"/>
          </w:tcPr>
          <w:p>
            <w:pPr>
              <w:ind w:left="480"/>
              <w:spacing w:after="0"/>
              <w:rPr>
                <w:sz w:val="20"/>
                <w:szCs w:val="20"/>
                <w:color w:val="auto"/>
              </w:rPr>
            </w:pPr>
            <w:r>
              <w:rPr>
                <w:rFonts w:ascii="Times New Roman" w:cs="Times New Roman" w:eastAsia="Times New Roman" w:hAnsi="Times New Roman"/>
                <w:sz w:val="18"/>
                <w:szCs w:val="18"/>
                <w:color w:val="auto"/>
              </w:rPr>
              <w:t>vesting schedules and foster a culture of thinking and acting like business owners.</w:t>
            </w:r>
          </w:p>
        </w:tc>
      </w:tr>
    </w:tbl>
    <w:p>
      <w:pPr>
        <w:spacing w:after="0" w:line="198"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In evaluating our executive compensation policies and programs, as well as the short-term and long-term value of our executive compensation plans, we consider both the performance and skills of each of our executives, as well as the compensation paid to executives in similar companies with similar responsibilities. We focus on providing a competitive compensation package which provides significant short-term and long-term incentives for the achievement of measurable corporate objectives. We believe that this approach provides an appropriate blend of short-term and long-term incentives to maximize stockholder value.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93" w:right="439" w:bottom="1440" w:gutter="0" w:footer="0" w:header="0"/>
        </w:sectPr>
      </w:pPr>
    </w:p>
    <w:bookmarkStart w:id="31" w:name="page32"/>
    <w:bookmarkEnd w:id="3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HCM &amp; Compensation Committee uses its judgment to establish a total compensation program for each named executive officer that it believes is appropriate to achieve the goals of our executive compensation program and our corporate objectives. A significant portion of the named executive officers’ total target compensation is comprised of performance-based bonus opportunities and long-term equity awards in order to align their incentives with the interests of our stockholders and our corporate goals.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we do not have any formal policies for allocating compensation among salary, performance bonus awards and equity grants, short-term and long-term incentive compensation or among cash and non-cash compensation, in making executive compensation decisions, the HCM &amp; Compensation Committee generally considers each executive officer’s total target direct compensation, which consists of base salary, target bonus opportunity, and long-term equity awards (valued based on an approximation of grant date fair value), with an objective of having the value of such long-term equity awards comprise at least a majority of each executive’s total target direct compensation. The mix of incentives is reviewed and determined regularly by the HCM &amp; Compensation Committee based on the short-term and long-term objectives of the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Decision-Making Process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Role of the HCM &amp; Compensation Committee. </w:t>
      </w:r>
      <w:r>
        <w:rPr>
          <w:rFonts w:ascii="Times New Roman" w:cs="Times New Roman" w:eastAsia="Times New Roman" w:hAnsi="Times New Roman"/>
          <w:sz w:val="18"/>
          <w:szCs w:val="18"/>
          <w:color w:val="auto"/>
        </w:rPr>
        <w:t>The HCM &amp; Compensation Committee oversees the executive compensation program for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HCM &amp; Compensation Committee is comprised of independent, non-employee members of the Board. The HCM &amp; Compensation Committee works very closely with its independent consultant and management to examine the effectiveness of the Company’s executive compensation program throughout the year.</w:t>
      </w:r>
    </w:p>
    <w:p>
      <w:pPr>
        <w:spacing w:after="0" w:line="1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HCM &amp; Compensation Committee meets periodically throughout the year to, among other responsibilities, manage and evaluate our executive compensation program, and generally recommends to the full Board and/or approves the principal components of compensation (base salary, performance bonus awards, and equity awards) for our executive officers on an annual basis; however, decisions may occur at other times for new hires, promotions, or other special circumstances as our HCM &amp; Compensation Committee and/or Board determines appropriate. Historically, all final compensation and equity award decisions regarding NEOs and other executive officers (except for the CEO and Executive Chair) were determined by the members of the full Board, based upon the recommendations of the HCM &amp; Compensation Committee, and the equity awards and compensation of the CEO and Executive Chair were determined by the independent members of the full Board, based upon recommendations of the HCM &amp; Compensation Committee. Following the amendment of our HCM &amp; Compensation Committee Charter in March 2023, the HCM &amp; Compensation Committee is authorized to approve the equity awards and executive compensation of our CEO and other executive officers. The related actions of the HCM &amp; Compensation Committee described in this Compensation Discussion &amp; Analysis therefore generally refer to deliberations and recommendations approved by the full Board prior to March 2023 and to approvals by the committee itself thereafter.</w:t>
      </w:r>
    </w:p>
    <w:p>
      <w:pPr>
        <w:spacing w:after="0" w:line="1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Role of Management. </w:t>
      </w:r>
      <w:r>
        <w:rPr>
          <w:rFonts w:ascii="Times New Roman" w:cs="Times New Roman" w:eastAsia="Times New Roman" w:hAnsi="Times New Roman"/>
          <w:sz w:val="18"/>
          <w:szCs w:val="18"/>
          <w:color w:val="auto"/>
        </w:rPr>
        <w:t>Members of our management team attend regular meetings where executive compensation, Company and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competitive compensation levels and practices are discussed and evaluated; however, they are not present for, nor do they participate in, discussions about their own pay. The CEO makes recommendations pertaining to the pay of other executives (NEOs other than himself and non-NEOs) to the HCM &amp; Compensation Committee providing transparency and oversight. The CEO is not present for the deliberations of, and does not vote on, his own compensation. Independent directors make all final determinations regarding CEO compensation.</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Role of the Independent Consultant. </w:t>
      </w:r>
      <w:r>
        <w:rPr>
          <w:rFonts w:ascii="Times New Roman" w:cs="Times New Roman" w:eastAsia="Times New Roman" w:hAnsi="Times New Roman"/>
          <w:sz w:val="18"/>
          <w:szCs w:val="18"/>
          <w:color w:val="auto"/>
        </w:rPr>
        <w:t>The HCM &amp; Compensation Committee engages an independent compensation consultant to provide expertise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competitive pay practices, program design, and an objective assessment of any inherent risks of any programs. Pursuant to authority granted to it under its charter, the HCM &amp; Compensation Committee has hired Pearl Meyer &amp; Partners, LLC (“Pearl Meyer”) as its independent consultant. Pearl Meyer reports directly to the HCM &amp; Compensation Committee and does not provide 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97" w:right="459" w:bottom="1440" w:gutter="0" w:footer="0" w:header="0"/>
        </w:sectPr>
      </w:pPr>
    </w:p>
    <w:bookmarkStart w:id="32" w:name="page33"/>
    <w:bookmarkEnd w:id="32"/>
    <w:p>
      <w:pPr>
        <w:ind w:left="4"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additional services to management or the Board. The HCM &amp; Compensation Committee has analyzed whether the work of Pearl Meyer as the compensation consultant raised any conflict of interest, considering relevant factors in accordance with SEC guidelines. Based on its analysis, our HCM &amp; Compensation Committee determined that the work of Pearl Meyer and the individual compensation advisors has conformed to the independence factors and guidance provided by the Dodd-Frank Wall Street Reform and Consumer Protection Act of 2010, the SEC and the Nasdaq listing standards.</w:t>
      </w:r>
    </w:p>
    <w:p>
      <w:pPr>
        <w:spacing w:after="0" w:line="181"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Role of Peer Group Companies. </w:t>
      </w:r>
      <w:r>
        <w:rPr>
          <w:rFonts w:ascii="Times New Roman" w:cs="Times New Roman" w:eastAsia="Times New Roman" w:hAnsi="Times New Roman"/>
          <w:sz w:val="18"/>
          <w:szCs w:val="18"/>
          <w:color w:val="auto"/>
        </w:rPr>
        <w:t>The HCM &amp; Compensation Committee strives to set a competitive level of total compensation for each NEO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executive officers in similar positions at peer companies. For purposes of establishing 2022 compensation practices and pay levels, in conjunction with the recommendations of Pearl Meyer, the HCM &amp; Compensation Committee considered publicly available data for a group of peer companies (the “2022 Compensation Peer Group”) as well as industry specific survey data, where appropriate, that was more reflective of the size and scope of our Company at the time of our IPO. Peer data is one factor reviewed to determine pay decisions for each NEO. Selection criteria at that time for the 2022 Compensation Peer Group included:</w:t>
      </w:r>
    </w:p>
    <w:p>
      <w:pPr>
        <w:spacing w:after="0" w:line="86"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 </w:t>
      </w:r>
      <w:r>
        <w:rPr>
          <w:rFonts w:ascii="Times New Roman" w:cs="Times New Roman" w:eastAsia="Times New Roman" w:hAnsi="Times New Roman"/>
          <w:sz w:val="18"/>
          <w:szCs w:val="18"/>
          <w:color w:val="auto"/>
        </w:rPr>
        <w:t>Companies within the health care technology, application software, and interactive media and services industry groups.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Size: </w:t>
      </w:r>
      <w:r>
        <w:rPr>
          <w:rFonts w:ascii="Times New Roman" w:cs="Times New Roman" w:eastAsia="Times New Roman" w:hAnsi="Times New Roman"/>
          <w:sz w:val="18"/>
          <w:szCs w:val="18"/>
          <w:color w:val="auto"/>
        </w:rPr>
        <w:t>Companies with revenues ranging from approximately $108 million – $476 million (as of March 1, 2021).</w:t>
      </w:r>
    </w:p>
    <w:p>
      <w:pPr>
        <w:spacing w:after="0" w:line="130" w:lineRule="exact"/>
        <w:rPr>
          <w:rFonts w:ascii="Times New Roman" w:cs="Times New Roman" w:eastAsia="Times New Roman" w:hAnsi="Times New Roman"/>
          <w:sz w:val="18"/>
          <w:szCs w:val="18"/>
          <w:color w:val="auto"/>
        </w:rPr>
      </w:pPr>
    </w:p>
    <w:p>
      <w:pPr>
        <w:ind w:left="424" w:right="160" w:hanging="424"/>
        <w:spacing w:after="0" w:line="317" w:lineRule="auto"/>
        <w:tabs>
          <w:tab w:leader="none" w:pos="42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Business Characteristics: </w:t>
      </w:r>
      <w:r>
        <w:rPr>
          <w:rFonts w:ascii="Times New Roman" w:cs="Times New Roman" w:eastAsia="Times New Roman" w:hAnsi="Times New Roman"/>
          <w:sz w:val="17"/>
          <w:szCs w:val="17"/>
          <w:color w:val="auto"/>
        </w:rPr>
        <w:t>Publicly traded companies with a similar focus on healthcare, SaaS technology, and analytics/intelligence solutions.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factors assessed included timing of initial public offering, market capitalization, free cash flow margin, and revenue growth rate.</w:t>
      </w:r>
    </w:p>
    <w:p>
      <w:pPr>
        <w:spacing w:after="0" w:line="13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At the time of our IPO, our projected annual revenue was approximately $220 million. The companies ultimately selected for inclusion in the 2022 Compensation Peer Group had trailing twelve-month revenues ranging from $108 million to $476 million, with a median revenue of $230 million as of March 1, 2021. The members of the 2022 Compensation Peer Group are set forth in the table below:</w:t>
      </w:r>
    </w:p>
    <w:p>
      <w:pPr>
        <w:spacing w:after="0" w:line="221" w:lineRule="exact"/>
        <w:rPr>
          <w:sz w:val="20"/>
          <w:szCs w:val="20"/>
          <w:color w:val="auto"/>
        </w:rPr>
      </w:pPr>
    </w:p>
    <w:tbl>
      <w:tblPr>
        <w:tblLayout w:type="fixed"/>
        <w:tblInd w:w="2204" w:type="dxa"/>
        <w:tblCellMar>
          <w:top w:w="0" w:type="dxa"/>
          <w:left w:w="0" w:type="dxa"/>
          <w:bottom w:w="0" w:type="dxa"/>
          <w:right w:w="0" w:type="dxa"/>
        </w:tblCellMar>
      </w:tblPr>
      <w:tr>
        <w:trPr>
          <w:trHeight w:val="216"/>
        </w:trPr>
        <w:tc>
          <w:tcPr>
            <w:tcW w:w="29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Accolade, Inc.</w:t>
            </w:r>
          </w:p>
        </w:tc>
        <w:tc>
          <w:tcPr>
            <w:tcW w:w="3720" w:type="dxa"/>
            <w:vAlign w:val="bottom"/>
            <w:shd w:val="clear" w:color="auto" w:fill="D1FCFC"/>
          </w:tcPr>
          <w:p>
            <w:pPr>
              <w:ind w:left="680"/>
              <w:spacing w:after="0"/>
              <w:rPr>
                <w:sz w:val="20"/>
                <w:szCs w:val="20"/>
                <w:color w:val="auto"/>
              </w:rPr>
            </w:pPr>
            <w:r>
              <w:rPr>
                <w:rFonts w:ascii="Times New Roman" w:cs="Times New Roman" w:eastAsia="Times New Roman" w:hAnsi="Times New Roman"/>
                <w:sz w:val="18"/>
                <w:szCs w:val="18"/>
                <w:color w:val="auto"/>
              </w:rPr>
              <w:t>PROS Holdings, Inc.</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American Well Corporation</w:t>
            </w:r>
          </w:p>
        </w:tc>
        <w:tc>
          <w:tcPr>
            <w:tcW w:w="3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Schrodinger, Inc.</w:t>
            </w:r>
          </w:p>
        </w:tc>
      </w:tr>
      <w:tr>
        <w:trPr>
          <w:trHeight w:val="216"/>
        </w:trPr>
        <w:tc>
          <w:tcPr>
            <w:tcW w:w="29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Anaplan, Inc.</w:t>
            </w:r>
          </w:p>
        </w:tc>
        <w:tc>
          <w:tcPr>
            <w:tcW w:w="3720" w:type="dxa"/>
            <w:vAlign w:val="bottom"/>
            <w:shd w:val="clear" w:color="auto" w:fill="D1FCFC"/>
          </w:tcPr>
          <w:p>
            <w:pPr>
              <w:ind w:left="680"/>
              <w:spacing w:after="0"/>
              <w:rPr>
                <w:sz w:val="20"/>
                <w:szCs w:val="20"/>
                <w:color w:val="auto"/>
              </w:rPr>
            </w:pPr>
            <w:r>
              <w:rPr>
                <w:rFonts w:ascii="Times New Roman" w:cs="Times New Roman" w:eastAsia="Times New Roman" w:hAnsi="Times New Roman"/>
                <w:sz w:val="18"/>
                <w:szCs w:val="18"/>
                <w:color w:val="auto"/>
              </w:rPr>
              <w:t>Momentive Global Inc.</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Certara, Inc.</w:t>
            </w:r>
          </w:p>
        </w:tc>
        <w:tc>
          <w:tcPr>
            <w:tcW w:w="3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Tabula Rasa Healthcare, Inc.</w:t>
            </w:r>
          </w:p>
        </w:tc>
      </w:tr>
      <w:tr>
        <w:trPr>
          <w:trHeight w:val="216"/>
        </w:trPr>
        <w:tc>
          <w:tcPr>
            <w:tcW w:w="29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Duck Creek Technologies, Inc.</w:t>
            </w:r>
          </w:p>
        </w:tc>
        <w:tc>
          <w:tcPr>
            <w:tcW w:w="3720" w:type="dxa"/>
            <w:vAlign w:val="bottom"/>
            <w:shd w:val="clear" w:color="auto" w:fill="D1FCFC"/>
          </w:tcPr>
          <w:p>
            <w:pPr>
              <w:ind w:left="680"/>
              <w:spacing w:after="0"/>
              <w:rPr>
                <w:sz w:val="20"/>
                <w:szCs w:val="20"/>
                <w:color w:val="auto"/>
              </w:rPr>
            </w:pPr>
            <w:r>
              <w:rPr>
                <w:rFonts w:ascii="Times New Roman" w:cs="Times New Roman" w:eastAsia="Times New Roman" w:hAnsi="Times New Roman"/>
                <w:sz w:val="18"/>
                <w:szCs w:val="18"/>
                <w:color w:val="auto"/>
              </w:rPr>
              <w:t>TechTarget, Inc.</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Health Catalyst, Inc.</w:t>
            </w:r>
          </w:p>
        </w:tc>
        <w:tc>
          <w:tcPr>
            <w:tcW w:w="3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Upland Software, Inc.</w:t>
            </w:r>
          </w:p>
        </w:tc>
      </w:tr>
      <w:tr>
        <w:trPr>
          <w:trHeight w:val="216"/>
        </w:trPr>
        <w:tc>
          <w:tcPr>
            <w:tcW w:w="29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nCino, Inc.</w:t>
            </w:r>
          </w:p>
        </w:tc>
        <w:tc>
          <w:tcPr>
            <w:tcW w:w="3720" w:type="dxa"/>
            <w:vAlign w:val="bottom"/>
            <w:shd w:val="clear" w:color="auto" w:fill="D1FCFC"/>
          </w:tcPr>
          <w:p>
            <w:pPr>
              <w:ind w:left="680"/>
              <w:spacing w:after="0"/>
              <w:rPr>
                <w:sz w:val="20"/>
                <w:szCs w:val="20"/>
                <w:color w:val="auto"/>
              </w:rPr>
            </w:pPr>
            <w:r>
              <w:rPr>
                <w:rFonts w:ascii="Times New Roman" w:cs="Times New Roman" w:eastAsia="Times New Roman" w:hAnsi="Times New Roman"/>
                <w:sz w:val="18"/>
                <w:szCs w:val="18"/>
                <w:color w:val="auto"/>
              </w:rPr>
              <w:t>ZoomInfo Technologies, Inc.</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ON24, Inc.</w:t>
            </w:r>
          </w:p>
        </w:tc>
        <w:tc>
          <w:tcPr>
            <w:tcW w:w="3720" w:type="dxa"/>
            <w:vAlign w:val="bottom"/>
          </w:tcPr>
          <w:p>
            <w:pPr>
              <w:spacing w:after="0"/>
              <w:rPr>
                <w:sz w:val="20"/>
                <w:szCs w:val="20"/>
                <w:color w:val="auto"/>
              </w:rPr>
            </w:pPr>
          </w:p>
        </w:tc>
      </w:tr>
    </w:tbl>
    <w:p>
      <w:pPr>
        <w:spacing w:after="0" w:line="179"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In May 2022, the HCM &amp; Compensation Committee, with the assistance of Pearl Meyer, refreshed the Company’s peer group (the “Updated 2022 Compensation Peer Group”) to reflect its continuous evolution as a growing, public company. As part of this review and update, the peer group was modified to better reflect the Company’s current size and growth rate. Selection criteria was similar to what was used for the 2022 Compensation Peer Group; however, revenue size, market capitalization, and market capitalization as a multiple of revenue are all better aligned. Given the timing of the selection of the Updated 2022 Compensation Peer Group, the only NEO compensation decision during 2022 for which the HCM &amp; Compensation Committee used the Updated 2022 Compensation Peer Group as a reference point was Mr. Maack’s compensation package</w:t>
      </w:r>
    </w:p>
    <w:p>
      <w:pPr>
        <w:spacing w:after="0" w:line="12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04"/>
          </w:cols>
          <w:pgMar w:left="436" w:top="297"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provided in connection with his November 3, 2022 hiring. The members of the Updated 2022 Compensation Peer Group are listed below:</w:t>
      </w:r>
    </w:p>
    <w:p>
      <w:pPr>
        <w:spacing w:after="0" w:line="270"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30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Amplitude, Inc.</w:t>
            </w:r>
          </w:p>
        </w:tc>
        <w:tc>
          <w:tcPr>
            <w:tcW w:w="3540" w:type="dxa"/>
            <w:vAlign w:val="bottom"/>
            <w:shd w:val="clear" w:color="auto" w:fill="D1FCFC"/>
          </w:tcPr>
          <w:p>
            <w:pPr>
              <w:ind w:left="500"/>
              <w:spacing w:after="0"/>
              <w:rPr>
                <w:sz w:val="20"/>
                <w:szCs w:val="20"/>
                <w:color w:val="auto"/>
              </w:rPr>
            </w:pPr>
            <w:r>
              <w:rPr>
                <w:rFonts w:ascii="Times New Roman" w:cs="Times New Roman" w:eastAsia="Times New Roman" w:hAnsi="Times New Roman"/>
                <w:sz w:val="18"/>
                <w:szCs w:val="18"/>
                <w:color w:val="auto"/>
              </w:rPr>
              <w:t>Matterport, Inc.</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Braze, Inc.</w:t>
            </w:r>
          </w:p>
        </w:tc>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nCino, Inc.</w:t>
            </w:r>
          </w:p>
        </w:tc>
      </w:tr>
      <w:tr>
        <w:trPr>
          <w:trHeight w:val="216"/>
        </w:trPr>
        <w:tc>
          <w:tcPr>
            <w:tcW w:w="30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Certara, Inc.</w:t>
            </w:r>
          </w:p>
        </w:tc>
        <w:tc>
          <w:tcPr>
            <w:tcW w:w="3540" w:type="dxa"/>
            <w:vAlign w:val="bottom"/>
            <w:shd w:val="clear" w:color="auto" w:fill="D1FCFC"/>
          </w:tcPr>
          <w:p>
            <w:pPr>
              <w:ind w:left="500"/>
              <w:spacing w:after="0"/>
              <w:rPr>
                <w:sz w:val="20"/>
                <w:szCs w:val="20"/>
                <w:color w:val="auto"/>
              </w:rPr>
            </w:pPr>
            <w:r>
              <w:rPr>
                <w:rFonts w:ascii="Times New Roman" w:cs="Times New Roman" w:eastAsia="Times New Roman" w:hAnsi="Times New Roman"/>
                <w:sz w:val="18"/>
                <w:szCs w:val="18"/>
                <w:color w:val="auto"/>
              </w:rPr>
              <w:t>Olo Inc.</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Clearwater Analytics Holdings, Inc.</w:t>
            </w:r>
          </w:p>
        </w:tc>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OptimizeRx Corporation</w:t>
            </w:r>
          </w:p>
        </w:tc>
      </w:tr>
      <w:tr>
        <w:trPr>
          <w:trHeight w:val="216"/>
        </w:trPr>
        <w:tc>
          <w:tcPr>
            <w:tcW w:w="30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CS Disco, Inc.</w:t>
            </w:r>
          </w:p>
        </w:tc>
        <w:tc>
          <w:tcPr>
            <w:tcW w:w="3540" w:type="dxa"/>
            <w:vAlign w:val="bottom"/>
            <w:shd w:val="clear" w:color="auto" w:fill="D1FCFC"/>
          </w:tcPr>
          <w:p>
            <w:pPr>
              <w:ind w:left="500"/>
              <w:spacing w:after="0"/>
              <w:rPr>
                <w:sz w:val="20"/>
                <w:szCs w:val="20"/>
                <w:color w:val="auto"/>
              </w:rPr>
            </w:pPr>
            <w:r>
              <w:rPr>
                <w:rFonts w:ascii="Times New Roman" w:cs="Times New Roman" w:eastAsia="Times New Roman" w:hAnsi="Times New Roman"/>
                <w:sz w:val="18"/>
                <w:szCs w:val="18"/>
                <w:color w:val="auto"/>
              </w:rPr>
              <w:t>Phreesia, Inc.</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DoubleVerify Holdings, Inc.</w:t>
            </w:r>
          </w:p>
        </w:tc>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Sprout Social, Inc.</w:t>
            </w:r>
          </w:p>
        </w:tc>
      </w:tr>
      <w:tr>
        <w:trPr>
          <w:trHeight w:val="216"/>
        </w:trPr>
        <w:tc>
          <w:tcPr>
            <w:tcW w:w="30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Doximity, Inc.</w:t>
            </w:r>
          </w:p>
        </w:tc>
        <w:tc>
          <w:tcPr>
            <w:tcW w:w="3540" w:type="dxa"/>
            <w:vAlign w:val="bottom"/>
            <w:shd w:val="clear" w:color="auto" w:fill="D1FCFC"/>
          </w:tcPr>
          <w:p>
            <w:pPr>
              <w:ind w:left="500"/>
              <w:spacing w:after="0"/>
              <w:rPr>
                <w:sz w:val="20"/>
                <w:szCs w:val="20"/>
                <w:color w:val="auto"/>
              </w:rPr>
            </w:pPr>
            <w:r>
              <w:rPr>
                <w:rFonts w:ascii="Times New Roman" w:cs="Times New Roman" w:eastAsia="Times New Roman" w:hAnsi="Times New Roman"/>
                <w:sz w:val="18"/>
                <w:szCs w:val="18"/>
                <w:color w:val="auto"/>
              </w:rPr>
              <w:t>Veeva Systems Inc.</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Duck Creek Technologies, Inc.</w:t>
            </w:r>
          </w:p>
        </w:tc>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ZoomInfo Technologies Inc.</w:t>
            </w:r>
          </w:p>
        </w:tc>
      </w:tr>
      <w:tr>
        <w:trPr>
          <w:trHeight w:val="216"/>
        </w:trPr>
        <w:tc>
          <w:tcPr>
            <w:tcW w:w="30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Health Catalyst, Inc.</w:t>
            </w:r>
          </w:p>
        </w:tc>
        <w:tc>
          <w:tcPr>
            <w:tcW w:w="3540" w:type="dxa"/>
            <w:vAlign w:val="bottom"/>
            <w:shd w:val="clear" w:color="auto" w:fill="D1FCFC"/>
          </w:tcPr>
          <w:p>
            <w:pPr>
              <w:spacing w:after="0"/>
              <w:rPr>
                <w:sz w:val="18"/>
                <w:szCs w:val="18"/>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2023, the HCM &amp; Compensation Committee, with the assistance of Pearl Meyer, further revised the Company’s peer group (the “2023 Compensation Peer Group”). As part of this review and update, the peer group was modified as follows to better reflect growth rate and sector relevance. Selection criteria were similar to what was used for the Updated 2022 Compensation Peer Group. The members of the 2023 Compensation Peer Group were identical to the Updated 2022 Compensation Peer Group, except that Duck Creek Technologies, Inc. was removed from the list given lack of alignment on business fit and financial profile.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is important to note that this market data is not the sole determinant in setting pay levels for the NEOs. Actual pay levels can be above or below the targeted levels depending on factors such as experience, individual or company performance, tenure, employee potential, unique skills, criticality of the position to the Company, and other factors. In general, the HCM &amp; Compensation Committee desires to balance general internal and external equity and reserve the right to use discretion to deviate when necessary to recruit employees and/or retain the right talent.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EXECUTIVE COMPENSATION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Base salary represents annual fixed compensation and is a standard element of compensation necessary to attract and retain executive leadership talent. In making base salary decisions, the HCM &amp; Compensation Committee considers the CEO’s recommendations, as well as each NEO’s position and level of responsibility within the Company. The HCM &amp; Compensation Committee considers factors such as competitive market data as well as individual performance, experience, tenure, internal equity, and employee potential, but does not assign a weight to any particular criterion when setting base salaries. Salary levels are reviewed annually as part of our performance review process as well as upon a promotion or other material change in job responsibility. Merit-based increases to salaries of the NEOs are based on the HCM &amp; Compensation Committee’s assessment of each individual’s performance, taking into account the recommendations of the CEO (for NEOs other than the CEO).</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early 2022, the HCM &amp; Compensation Committee reviewed the base salaries of our then-serving NEOs and determined not to make any adjustments due to the recency of base salary adjustments made prior to the Company’s IPO.</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their transitions to the roles of Executive Chairman and CEO, respectively, the HCM &amp; Compensation Committee determined not to adjust Mr. Krantz or Mr. Musslewhite’s base salaries because Mr. Musslewhite’s base salary was already comparable to that of the CEO position, and Mr. Krantz was expected to continue to be highly involved with Definitive Healthcare in his role of Executive Chairman. We set Mr. Maack’s base salary in connection with his commencement of employment as President effective November 3, 2022. Mr. Maack’s base salary was based on the amount of compensation that the HCM &amp; Compensation Committee felt would be appropriate in relation to market data and our other executive officer and NEO compensation.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97" w:right="47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2021 and 2022 base salaries of our named executive officers are reflected in the table below:</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00" w:type="dxa"/>
            <w:vAlign w:val="bottom"/>
            <w:vMerge w:val="restart"/>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 Base</w:t>
            </w:r>
          </w:p>
        </w:tc>
        <w:tc>
          <w:tcPr>
            <w:tcW w:w="7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16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 Adjustment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2460" w:type="dxa"/>
            <w:vAlign w:val="bottom"/>
            <w:gridSpan w:val="2"/>
          </w:tcPr>
          <w:p>
            <w:pPr>
              <w:jc w:val="center"/>
              <w:ind w:left="1613"/>
              <w:spacing w:after="0" w:line="160" w:lineRule="exact"/>
              <w:rPr>
                <w:sz w:val="20"/>
                <w:szCs w:val="20"/>
                <w:color w:val="auto"/>
              </w:rPr>
            </w:pPr>
            <w:r>
              <w:rPr>
                <w:rFonts w:ascii="Times New Roman" w:cs="Times New Roman" w:eastAsia="Times New Roman" w:hAnsi="Times New Roman"/>
                <w:sz w:val="14"/>
                <w:szCs w:val="14"/>
                <w:b w:val="1"/>
                <w:bCs w:val="1"/>
                <w:color w:val="auto"/>
              </w:rPr>
              <w:t>Salary Rate</w:t>
            </w:r>
          </w:p>
        </w:tc>
        <w:tc>
          <w:tcPr>
            <w:tcW w:w="14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Salary Rate</w:t>
            </w: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Robert Musslewhite</w:t>
            </w:r>
            <w:r>
              <w:rPr>
                <w:rFonts w:ascii="Times New Roman" w:cs="Times New Roman" w:eastAsia="Times New Roman" w:hAnsi="Times New Roman"/>
                <w:sz w:val="23"/>
                <w:szCs w:val="23"/>
                <w:color w:val="auto"/>
                <w:vertAlign w:val="superscript"/>
              </w:rPr>
              <w:t>(1)</w:t>
            </w:r>
          </w:p>
        </w:tc>
        <w:tc>
          <w:tcPr>
            <w:tcW w:w="1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$ 429,000</w:t>
            </w:r>
          </w:p>
        </w:tc>
        <w:tc>
          <w:tcPr>
            <w:tcW w:w="7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$ 429,000</w:t>
            </w:r>
          </w:p>
        </w:tc>
        <w:tc>
          <w:tcPr>
            <w:tcW w:w="7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Jason Krantz</w:t>
            </w:r>
            <w:r>
              <w:rPr>
                <w:rFonts w:ascii="Times New Roman" w:cs="Times New Roman" w:eastAsia="Times New Roman" w:hAnsi="Times New Roman"/>
                <w:sz w:val="25"/>
                <w:szCs w:val="25"/>
                <w:color w:val="auto"/>
                <w:vertAlign w:val="superscript"/>
              </w:rPr>
              <w:t>(2)</w:t>
            </w:r>
          </w:p>
        </w:tc>
        <w:tc>
          <w:tcPr>
            <w:tcW w:w="2460" w:type="dxa"/>
            <w:vAlign w:val="bottom"/>
            <w:gridSpan w:val="2"/>
          </w:tcPr>
          <w:p>
            <w:pPr>
              <w:jc w:val="center"/>
              <w:ind w:left="1613"/>
              <w:spacing w:after="0"/>
              <w:rPr>
                <w:sz w:val="20"/>
                <w:szCs w:val="20"/>
                <w:color w:val="auto"/>
              </w:rPr>
            </w:pPr>
            <w:r>
              <w:rPr>
                <w:rFonts w:ascii="Times New Roman" w:cs="Times New Roman" w:eastAsia="Times New Roman" w:hAnsi="Times New Roman"/>
                <w:sz w:val="18"/>
                <w:szCs w:val="18"/>
                <w:color w:val="auto"/>
                <w:w w:val="99"/>
              </w:rPr>
              <w:t>$ 428,655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$ 428,655</w:t>
            </w:r>
          </w:p>
        </w:tc>
        <w:tc>
          <w:tcPr>
            <w:tcW w:w="7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Jonathan Maack</w:t>
            </w:r>
            <w:r>
              <w:rPr>
                <w:rFonts w:ascii="Times New Roman" w:cs="Times New Roman" w:eastAsia="Times New Roman" w:hAnsi="Times New Roman"/>
                <w:sz w:val="25"/>
                <w:szCs w:val="25"/>
                <w:color w:val="auto"/>
                <w:vertAlign w:val="superscript"/>
              </w:rPr>
              <w:t>(3)</w:t>
            </w:r>
          </w:p>
        </w:tc>
        <w:tc>
          <w:tcPr>
            <w:tcW w:w="172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7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Richard Booth</w:t>
            </w:r>
            <w:r>
              <w:rPr>
                <w:rFonts w:ascii="Times New Roman" w:cs="Times New Roman" w:eastAsia="Times New Roman" w:hAnsi="Times New Roman"/>
                <w:sz w:val="25"/>
                <w:szCs w:val="25"/>
                <w:color w:val="auto"/>
                <w:vertAlign w:val="superscript"/>
              </w:rPr>
              <w:t>(4)</w:t>
            </w:r>
          </w:p>
        </w:tc>
        <w:tc>
          <w:tcPr>
            <w:tcW w:w="2460" w:type="dxa"/>
            <w:vAlign w:val="bottom"/>
            <w:gridSpan w:val="2"/>
          </w:tcPr>
          <w:p>
            <w:pPr>
              <w:jc w:val="center"/>
              <w:ind w:left="1613"/>
              <w:spacing w:after="0"/>
              <w:rPr>
                <w:sz w:val="20"/>
                <w:szCs w:val="20"/>
                <w:color w:val="auto"/>
              </w:rPr>
            </w:pPr>
            <w:r>
              <w:rPr>
                <w:rFonts w:ascii="Times New Roman" w:cs="Times New Roman" w:eastAsia="Times New Roman" w:hAnsi="Times New Roman"/>
                <w:sz w:val="18"/>
                <w:szCs w:val="18"/>
                <w:color w:val="auto"/>
                <w:w w:val="99"/>
              </w:rPr>
              <w:t>$ 350,000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$ 350,000</w:t>
            </w:r>
          </w:p>
        </w:tc>
        <w:tc>
          <w:tcPr>
            <w:tcW w:w="7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Kate Shamsuddin Jensen</w:t>
            </w:r>
            <w:r>
              <w:rPr>
                <w:rFonts w:ascii="Times New Roman" w:cs="Times New Roman" w:eastAsia="Times New Roman" w:hAnsi="Times New Roman"/>
                <w:sz w:val="25"/>
                <w:szCs w:val="25"/>
                <w:color w:val="auto"/>
                <w:vertAlign w:val="superscript"/>
              </w:rPr>
              <w:t>(5)</w:t>
            </w:r>
          </w:p>
        </w:tc>
        <w:tc>
          <w:tcPr>
            <w:tcW w:w="2460" w:type="dxa"/>
            <w:vAlign w:val="bottom"/>
            <w:gridSpan w:val="2"/>
            <w:shd w:val="clear" w:color="auto" w:fill="CCEEFF"/>
          </w:tcPr>
          <w:p>
            <w:pPr>
              <w:jc w:val="center"/>
              <w:ind w:left="1613"/>
              <w:spacing w:after="0"/>
              <w:rPr>
                <w:sz w:val="20"/>
                <w:szCs w:val="20"/>
                <w:color w:val="auto"/>
              </w:rPr>
            </w:pPr>
            <w:r>
              <w:rPr>
                <w:rFonts w:ascii="Times New Roman" w:cs="Times New Roman" w:eastAsia="Times New Roman" w:hAnsi="Times New Roman"/>
                <w:sz w:val="18"/>
                <w:szCs w:val="18"/>
                <w:color w:val="auto"/>
                <w:w w:val="99"/>
              </w:rPr>
              <w:t>$ 300,000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$ 300,000</w:t>
            </w:r>
          </w:p>
        </w:tc>
        <w:tc>
          <w:tcPr>
            <w:tcW w:w="7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Joseph Mirisola</w:t>
            </w:r>
            <w:r>
              <w:rPr>
                <w:rFonts w:ascii="Times New Roman" w:cs="Times New Roman" w:eastAsia="Times New Roman" w:hAnsi="Times New Roman"/>
                <w:sz w:val="25"/>
                <w:szCs w:val="25"/>
                <w:color w:val="auto"/>
                <w:vertAlign w:val="superscript"/>
              </w:rPr>
              <w:t>(6)</w:t>
            </w:r>
          </w:p>
        </w:tc>
        <w:tc>
          <w:tcPr>
            <w:tcW w:w="2460" w:type="dxa"/>
            <w:vAlign w:val="bottom"/>
            <w:gridSpan w:val="2"/>
          </w:tcPr>
          <w:p>
            <w:pPr>
              <w:jc w:val="center"/>
              <w:ind w:left="1613"/>
              <w:spacing w:after="0"/>
              <w:rPr>
                <w:sz w:val="20"/>
                <w:szCs w:val="20"/>
                <w:color w:val="auto"/>
              </w:rPr>
            </w:pPr>
            <w:r>
              <w:rPr>
                <w:rFonts w:ascii="Times New Roman" w:cs="Times New Roman" w:eastAsia="Times New Roman" w:hAnsi="Times New Roman"/>
                <w:sz w:val="18"/>
                <w:szCs w:val="18"/>
                <w:color w:val="auto"/>
                <w:w w:val="99"/>
              </w:rPr>
              <w:t>$ 300,000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$ 300,000</w:t>
            </w:r>
          </w:p>
        </w:tc>
        <w:tc>
          <w:tcPr>
            <w:tcW w:w="7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Samuels</w:t>
            </w:r>
            <w:r>
              <w:rPr>
                <w:rFonts w:ascii="Times New Roman" w:cs="Times New Roman" w:eastAsia="Times New Roman" w:hAnsi="Times New Roman"/>
                <w:sz w:val="25"/>
                <w:szCs w:val="25"/>
                <w:color w:val="auto"/>
                <w:vertAlign w:val="superscript"/>
              </w:rPr>
              <w:t>(7)</w:t>
            </w:r>
          </w:p>
        </w:tc>
        <w:tc>
          <w:tcPr>
            <w:tcW w:w="2460" w:type="dxa"/>
            <w:vAlign w:val="bottom"/>
            <w:gridSpan w:val="2"/>
            <w:shd w:val="clear" w:color="auto" w:fill="CCEEFF"/>
          </w:tcPr>
          <w:p>
            <w:pPr>
              <w:jc w:val="center"/>
              <w:ind w:left="1613"/>
              <w:spacing w:after="0"/>
              <w:rPr>
                <w:sz w:val="20"/>
                <w:szCs w:val="20"/>
                <w:color w:val="auto"/>
              </w:rPr>
            </w:pPr>
            <w:r>
              <w:rPr>
                <w:rFonts w:ascii="Times New Roman" w:cs="Times New Roman" w:eastAsia="Times New Roman" w:hAnsi="Times New Roman"/>
                <w:sz w:val="18"/>
                <w:szCs w:val="18"/>
                <w:color w:val="auto"/>
                <w:w w:val="99"/>
              </w:rPr>
              <w:t>$ 350,000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$ 350,000</w:t>
            </w:r>
          </w:p>
        </w:tc>
        <w:tc>
          <w:tcPr>
            <w:tcW w:w="7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520" w:hanging="424"/>
        <w:spacing w:after="0" w:line="261"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Musslewhite’s 2021 base salary was effective on October 7, 2021, the date of his appointment as President of the Company. The Board appointed Mr. Musslewhite as the Company’s CEO, effective August 1, 2022, succeeding Jason Krantz.</w:t>
      </w:r>
    </w:p>
    <w:p>
      <w:pPr>
        <w:ind w:left="424" w:right="480" w:hanging="424"/>
        <w:spacing w:after="0" w:line="250"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Krantz transitioned out of the Chief Executive Officer role effective July 31, 2022. Effective August 1, 2022, Mr. Krantz was appointed Executive Chairman.</w:t>
      </w: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Maack’s 2022 base salary rate was effective on November 3, 2022, his employment start date.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Booth’s 2021 base salary rate was effective on March 15, 2021, his employment start date.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Shamsuddin’s base salary was increased from $257,250 on September 1, 2021.</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Mirisola’s base salary was increased from $280,500 on September 1, 2021.</w:t>
      </w:r>
    </w:p>
    <w:p>
      <w:pPr>
        <w:spacing w:after="0" w:line="9" w:lineRule="exact"/>
        <w:rPr>
          <w:rFonts w:ascii="Times New Roman" w:cs="Times New Roman" w:eastAsia="Times New Roman" w:hAnsi="Times New Roman"/>
          <w:sz w:val="18"/>
          <w:szCs w:val="18"/>
          <w:color w:val="auto"/>
        </w:rPr>
      </w:pPr>
    </w:p>
    <w:p>
      <w:pPr>
        <w:ind w:left="424" w:right="220" w:hanging="424"/>
        <w:spacing w:after="0" w:line="260"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Samuels joined the Company effective February 1, 2021, transitioned to part-time effective November 12, 2022, and transitioned out of the Chief Legal Officer role effective November 16, 2022.</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Annual Incentives</w:t>
      </w:r>
    </w:p>
    <w:p>
      <w:pPr>
        <w:spacing w:after="0" w:line="12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In fiscal 2022, we provided annual cash incentive opportunities to our NEOs under our Bonus Program. We use our Bonus Program to provide annual performance-based cash incentive awards to motivate and reward eligible employees, including the NEOs, for the Company’s achievement of financial objectives, as established by the Board each year.</w:t>
      </w:r>
    </w:p>
    <w:p>
      <w:pPr>
        <w:spacing w:after="0" w:line="174"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Target Award Opportunity. </w:t>
      </w:r>
      <w:r>
        <w:rPr>
          <w:rFonts w:ascii="Times New Roman" w:cs="Times New Roman" w:eastAsia="Times New Roman" w:hAnsi="Times New Roman"/>
          <w:sz w:val="18"/>
          <w:szCs w:val="18"/>
          <w:color w:val="auto"/>
        </w:rPr>
        <w:t>Actual payouts depend on the achievement of pre-determined financial and individual performance objectives,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target and stretch annual bonus opportunities are each expressed as a percentage of base salary and were established based on each NEO’s level of responsibility and their ability to impact overall results. The HCM &amp; Compensation Committee also considers market data in setting target award amounts. Award opportunities for 2022 were as follows:</w:t>
      </w:r>
    </w:p>
    <w:p>
      <w:pPr>
        <w:spacing w:after="0" w:line="19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58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Stretch</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6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Base (% of</w:t>
            </w:r>
          </w:p>
        </w:tc>
        <w:tc>
          <w:tcPr>
            <w:tcW w:w="15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58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vMerge w:val="continue"/>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5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60" w:type="dxa"/>
            <w:vAlign w:val="bottom"/>
            <w:gridSpan w:val="2"/>
            <w:vMerge w:val="continue"/>
          </w:tcPr>
          <w:p>
            <w:pPr>
              <w:spacing w:after="0"/>
              <w:rPr>
                <w:sz w:val="13"/>
                <w:szCs w:val="13"/>
                <w:color w:val="auto"/>
              </w:rPr>
            </w:pPr>
          </w:p>
        </w:tc>
        <w:tc>
          <w:tcPr>
            <w:tcW w:w="1560" w:type="dxa"/>
            <w:vAlign w:val="bottom"/>
            <w:gridSpan w:val="2"/>
          </w:tcPr>
          <w:p>
            <w:pPr>
              <w:jc w:val="right"/>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58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58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7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Target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Musslewhite</w:t>
            </w:r>
          </w:p>
        </w:tc>
        <w:tc>
          <w:tcPr>
            <w:tcW w:w="1560" w:type="dxa"/>
            <w:vAlign w:val="bottom"/>
            <w:gridSpan w:val="2"/>
            <w:shd w:val="clear" w:color="auto" w:fill="CCEEFF"/>
          </w:tcPr>
          <w:p>
            <w:pPr>
              <w:jc w:val="right"/>
              <w:ind w:right="620"/>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1580" w:type="dxa"/>
            <w:vAlign w:val="bottom"/>
            <w:gridSpan w:val="2"/>
            <w:shd w:val="clear" w:color="auto" w:fill="CCEEFF"/>
          </w:tcPr>
          <w:p>
            <w:pPr>
              <w:jc w:val="right"/>
              <w:ind w:right="640"/>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580" w:type="dxa"/>
            <w:vAlign w:val="bottom"/>
            <w:gridSpan w:val="2"/>
            <w:shd w:val="clear" w:color="auto" w:fill="CCEEFF"/>
          </w:tcPr>
          <w:p>
            <w:pPr>
              <w:jc w:val="right"/>
              <w:ind w:right="640"/>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$257,400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Krantz</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52%</w:t>
            </w: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60%</w:t>
            </w: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$257,193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Jonathan Maack</w:t>
            </w:r>
            <w:r>
              <w:rPr>
                <w:rFonts w:ascii="Times New Roman" w:cs="Times New Roman" w:eastAsia="Times New Roman" w:hAnsi="Times New Roman"/>
                <w:sz w:val="25"/>
                <w:szCs w:val="25"/>
                <w:color w:val="auto"/>
                <w:vertAlign w:val="superscript"/>
              </w:rPr>
              <w:t>(1)</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54%</w:t>
            </w:r>
          </w:p>
        </w:tc>
        <w:tc>
          <w:tcPr>
            <w:tcW w:w="15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62%</w:t>
            </w:r>
          </w:p>
        </w:tc>
        <w:tc>
          <w:tcPr>
            <w:tcW w:w="15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50%</w:t>
            </w: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57.5%</w:t>
            </w: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65%</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$201,250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33.3%</w:t>
            </w:r>
          </w:p>
        </w:tc>
        <w:tc>
          <w:tcPr>
            <w:tcW w:w="15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41.7%</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41.7%</w:t>
            </w: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66.7%</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Samuels</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50%</w:t>
            </w:r>
          </w:p>
        </w:tc>
        <w:tc>
          <w:tcPr>
            <w:tcW w:w="15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57.5%</w:t>
            </w:r>
          </w:p>
        </w:tc>
        <w:tc>
          <w:tcPr>
            <w:tcW w:w="15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65%</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$201,250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8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Maack did not participate in our Bonus Program for 2022. Pursuant to the terms of his employment agreement, Mr. Maack was entitled to a guaranteed bonus for 2022, equal to 70% of his base salary, prorated based on his employment start date.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4"/>
          </w:cols>
          <w:pgMar w:left="436" w:top="297" w:right="499" w:bottom="1440" w:gutter="0" w:footer="0" w:header="0"/>
        </w:sectPr>
      </w:pPr>
    </w:p>
    <w:bookmarkStart w:id="35" w:name="page36"/>
    <w:bookmarkEnd w:id="35"/>
    <w:p>
      <w:pPr>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Performance Measures &amp; Weightings. </w:t>
      </w:r>
      <w:r>
        <w:rPr>
          <w:rFonts w:ascii="Times New Roman" w:cs="Times New Roman" w:eastAsia="Times New Roman" w:hAnsi="Times New Roman"/>
          <w:sz w:val="18"/>
          <w:szCs w:val="18"/>
          <w:color w:val="auto"/>
        </w:rPr>
        <w:t>For Messrs. Musslewhite and Krantz, annual incentive award opportunities for 2022 were based entirely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financial performance. For the other NEOs, 75% of the annual incentive award opportunity for 2022 was based on the Company’s financial performance and 25% was based on the performance of those individuals against their respective goals, objectives, key performance indicators (“KPIs”), and the Company’s model behaviors. Those NEOs whose annual incentive award opportunity was based on both Company financial performance and individual performance would only have received a payout under the Bonus Program to the extent that Company performance satisfied at least the base performance goal, even if the individual performance goals had been achieved.</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Company Financial Performance. </w:t>
      </w:r>
      <w:r>
        <w:rPr>
          <w:rFonts w:ascii="Times New Roman" w:cs="Times New Roman" w:eastAsia="Times New Roman" w:hAnsi="Times New Roman"/>
          <w:sz w:val="18"/>
          <w:szCs w:val="18"/>
          <w:color w:val="auto"/>
        </w:rPr>
        <w:t>For fiscal 2022, Company financial performance under the Bonus Program was measured against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 ARR is defined as annualized recurring revenue as of the end of calendar 2022. The performance objectives were established and approved by the HCM &amp; Compensation Committee at the beginning of fiscal 2022 and updated on March 9, 2022 to reflect the impact of the acquisition of Analytical Wizards, Inc. The Board selected ARR as the Company financial performance measure under the Bonus Program because it believed that ARR reflected a commonly recognized measure of financial and operating performance within our industry and is a key driver of sustained value creation for our stockholders.</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performance objective is achieved at target, award payouts are equal to target bonus opportunity. If performance exceeds or falls short of target, then payouts are adjusted according to the level of achievement, as such level of achievement is approved by the HCM &amp; Compensation Committee. The chart below shows the 2022 ARR goals. For 2022, there was no interpolation between payout levels. In other words, actual achievement below base would have resulted in no payment, achievement between base and target would have been calculated based upon base, achievement between target and stretch would have been calculated based upon target and any achievement above stretch would have been calculated based upon stretch.</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3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Company Financial</w:t>
            </w:r>
          </w:p>
        </w:tc>
        <w:tc>
          <w:tcPr>
            <w:tcW w:w="0" w:type="dxa"/>
            <w:vAlign w:val="bottom"/>
          </w:tcPr>
          <w:p>
            <w:pPr>
              <w:spacing w:after="0"/>
              <w:rPr>
                <w:sz w:val="1"/>
                <w:szCs w:val="1"/>
                <w:color w:val="auto"/>
              </w:rPr>
            </w:pPr>
          </w:p>
        </w:tc>
      </w:tr>
      <w:tr>
        <w:trPr>
          <w:trHeight w:val="173"/>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532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Targets</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5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ARR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0" w:type="dxa"/>
            <w:vAlign w:val="bottom"/>
            <w:tcBorders>
              <w:top w:val="single" w:sz="8" w:color="D1FCFC"/>
            </w:tcBorders>
            <w:shd w:val="clear" w:color="auto" w:fill="D1FC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Stretch</w:t>
            </w:r>
          </w:p>
        </w:tc>
        <w:tc>
          <w:tcPr>
            <w:tcW w:w="5320" w:type="dxa"/>
            <w:vAlign w:val="bottom"/>
            <w:tcBorders>
              <w:top w:val="single" w:sz="8" w:color="D1FCFC"/>
            </w:tcBorders>
            <w:shd w:val="clear" w:color="auto" w:fill="D1FCFC"/>
          </w:tcPr>
          <w:p>
            <w:pPr>
              <w:spacing w:after="0"/>
              <w:rPr>
                <w:sz w:val="17"/>
                <w:szCs w:val="17"/>
                <w:color w:val="auto"/>
              </w:rPr>
            </w:pPr>
          </w:p>
        </w:tc>
        <w:tc>
          <w:tcPr>
            <w:tcW w:w="280" w:type="dxa"/>
            <w:vAlign w:val="bottom"/>
            <w:tcBorders>
              <w:top w:val="single" w:sz="8" w:color="auto"/>
            </w:tcBorders>
            <w:shd w:val="clear" w:color="auto" w:fill="D1FCFC"/>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D1FCFC"/>
          </w:tcPr>
          <w:p>
            <w:pPr>
              <w:ind w:left="440"/>
              <w:spacing w:after="0" w:line="203" w:lineRule="exact"/>
              <w:rPr>
                <w:sz w:val="20"/>
                <w:szCs w:val="20"/>
                <w:color w:val="auto"/>
              </w:rPr>
            </w:pPr>
            <w:r>
              <w:rPr>
                <w:rFonts w:ascii="Times New Roman" w:cs="Times New Roman" w:eastAsia="Times New Roman" w:hAnsi="Times New Roman"/>
                <w:sz w:val="18"/>
                <w:szCs w:val="18"/>
                <w:color w:val="auto"/>
                <w:w w:val="95"/>
              </w:rPr>
              <w:t>273.4M</w:t>
            </w:r>
          </w:p>
        </w:tc>
        <w:tc>
          <w:tcPr>
            <w:tcW w:w="6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5600" w:type="dxa"/>
            <w:vAlign w:val="bottom"/>
            <w:gridSpan w:val="2"/>
          </w:tcPr>
          <w:p>
            <w:pPr>
              <w:ind w:left="5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265.8M</w:t>
            </w:r>
          </w:p>
        </w:tc>
        <w:tc>
          <w:tcPr>
            <w:tcW w:w="0" w:type="dxa"/>
            <w:vAlign w:val="bottom"/>
          </w:tcPr>
          <w:p>
            <w:pPr>
              <w:spacing w:after="0"/>
              <w:rPr>
                <w:sz w:val="1"/>
                <w:szCs w:val="1"/>
                <w:color w:val="auto"/>
              </w:rPr>
            </w:pPr>
          </w:p>
        </w:tc>
      </w:tr>
      <w:tr>
        <w:trPr>
          <w:trHeight w:val="216"/>
        </w:trPr>
        <w:tc>
          <w:tcPr>
            <w:tcW w:w="8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b w:val="1"/>
                <w:bCs w:val="1"/>
                <w:color w:val="auto"/>
              </w:rPr>
              <w:t>Base</w:t>
            </w:r>
          </w:p>
        </w:tc>
        <w:tc>
          <w:tcPr>
            <w:tcW w:w="5600" w:type="dxa"/>
            <w:vAlign w:val="bottom"/>
            <w:gridSpan w:val="2"/>
            <w:shd w:val="clear" w:color="auto" w:fill="D1FCFC"/>
          </w:tcPr>
          <w:p>
            <w:pPr>
              <w:ind w:left="5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1FCFC"/>
          </w:tcPr>
          <w:p>
            <w:pPr>
              <w:ind w:left="440"/>
              <w:spacing w:after="0"/>
              <w:rPr>
                <w:sz w:val="20"/>
                <w:szCs w:val="20"/>
                <w:color w:val="auto"/>
              </w:rPr>
            </w:pPr>
            <w:r>
              <w:rPr>
                <w:rFonts w:ascii="Times New Roman" w:cs="Times New Roman" w:eastAsia="Times New Roman" w:hAnsi="Times New Roman"/>
                <w:sz w:val="18"/>
                <w:szCs w:val="18"/>
                <w:color w:val="auto"/>
              </w:rPr>
              <w:t>258.2M</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Individual Performance. </w:t>
      </w:r>
      <w:r>
        <w:rPr>
          <w:rFonts w:ascii="Times New Roman" w:cs="Times New Roman" w:eastAsia="Times New Roman" w:hAnsi="Times New Roman"/>
          <w:sz w:val="18"/>
          <w:szCs w:val="18"/>
          <w:color w:val="auto"/>
        </w:rPr>
        <w:t>As noted above, the 2022 Bonus Program opportunity for each of our NEOs other than Messrs. Musslewhite and Krantz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25% on the individual performance against their respective goals, objectives, KPIs, and the Company’s model behaviors. To assess individual performance, the HCM &amp; Compensation Committee reviewed the qualitative goals tied to key strategic initiatives, as well as each NEO’s respective areas of responsibility. None of the goals for 2022 were individually weighted. Based on actual performance, the individual performance component of the 2022 annual bonus was eligible for a payout ranging from 0% to 25% of the individual NEO’s bonus target.</w:t>
      </w:r>
    </w:p>
    <w:p>
      <w:pPr>
        <w:spacing w:after="0" w:line="91" w:lineRule="exact"/>
        <w:rPr>
          <w:sz w:val="20"/>
          <w:szCs w:val="20"/>
          <w:color w:val="auto"/>
        </w:rPr>
      </w:pPr>
    </w:p>
    <w:p>
      <w:pPr>
        <w:ind w:left="960" w:right="96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Booth, individual goals were tied to increased productivity in G&amp;A operations, cost savings strategies and purchasing improvements, investor relations performance, and efficient use of systems and shared services.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Shamsuddin, individual goals were tied to product strategy, product innovation, and data expansion.</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Mirisola, individual goals were tied to new business sales, upsell revenue, customer retention, sales talent and development, and commercial integration efforts.</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Samuels, individual goals were tied to corporate governance matters, litigation management, coordination of board activities, and securities and other regulatory filings.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95" w:right="459" w:bottom="1440" w:gutter="0" w:footer="0" w:header="0"/>
        </w:sectPr>
      </w:pPr>
    </w:p>
    <w:bookmarkStart w:id="36" w:name="page37"/>
    <w:bookmarkEnd w:id="36"/>
    <w:p>
      <w:pPr>
        <w:ind w:left="4" w:right="22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Actual 2022 Performance and Bonus Payouts. </w:t>
      </w:r>
      <w:r>
        <w:rPr>
          <w:rFonts w:ascii="Times New Roman" w:cs="Times New Roman" w:eastAsia="Times New Roman" w:hAnsi="Times New Roman"/>
          <w:sz w:val="18"/>
          <w:szCs w:val="18"/>
          <w:color w:val="auto"/>
        </w:rPr>
        <w:t>In January 2023, the HCM &amp; Compensation Committee determined that the Company’s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against the ARR target was below base level at $239.8 million. In evaluating the individual performance components, the HCM &amp; Compensation Committee considered attainment of the individual goals and further considered each NEO’s contribution to the Company’s overall performance, noting that such successes were due in large part to the individual efforts of the NEOs. Based on the foregoing evaluation, the HCM &amp; Compensation Committee determined to ascribe a range of 15% to 22.5% attainment to the individual performance component of the 2022 Bonus Program based on the individual’s results. However, given that achievement of ARR fell below the base level against rigorous objectives, no amounts were earned for 2022 pursuant to the Bonus Program with respect to either Company or individual performance.</w:t>
      </w:r>
    </w:p>
    <w:p>
      <w:pPr>
        <w:spacing w:after="0" w:line="18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Although base performance levels under the Bonus Program were not met for 2022, after careful consideration of various performance indicators, the Company’s strong performance in 2022 on many dimensions, and input from Pearl Meyer, the HCM &amp; Compensation Committee and Board determined that a partial payout of the amounts that would have been payable under the Bonus Program was appropriate to align our NEOs’ compensation with the strong absolute financial performance under unfavorable macroeconomic and industry conditions, and the achievement of the Company’s strategic initiatives and non-sales priorities in 2022. Actual payout level for each NEO (excluding Mr. Maack) was below target. The HCM &amp; Compensation Committee believes that these payouts are consistent with our compensation philosophy and will help to drive long-term value creation for our shareholders.</w:t>
      </w:r>
    </w:p>
    <w:p>
      <w:pPr>
        <w:spacing w:after="0" w:line="189"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table below sets forth, for each NEO, the original target bonus amounts, and the actual bonus payouts recommended by the HCM &amp; Compensation Committee and approved by the Board for the NEOs in February 2023.</w:t>
      </w:r>
    </w:p>
    <w:p>
      <w:pPr>
        <w:spacing w:after="0" w:line="17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Original Target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600" w:type="dxa"/>
            <w:vAlign w:val="bottom"/>
            <w:vMerge w:val="restart"/>
          </w:tcPr>
          <w:p>
            <w:pPr>
              <w:spacing w:after="0"/>
              <w:rPr>
                <w:sz w:val="12"/>
                <w:szCs w:val="12"/>
                <w:color w:val="auto"/>
              </w:rPr>
            </w:pPr>
          </w:p>
        </w:tc>
        <w:tc>
          <w:tcPr>
            <w:tcW w:w="13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Under Bonus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Program</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Musslewhite</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257,400</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223,080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Krantz</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257,193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222,901</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Jonathan Maack</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46,027</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201,250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183,422</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80,938</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Samuels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201,250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174,016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00" w:hanging="424"/>
        <w:spacing w:after="0" w:line="261"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pursuant to the terms of his employment agreement, Mr. Maack was entitled to a guaranteed bonus for 2022, equal to 70% of his base salary, prorated based on his employment start date.</w:t>
      </w:r>
    </w:p>
    <w:p>
      <w:pPr>
        <w:ind w:left="424" w:right="540" w:hanging="424"/>
        <w:spacing w:after="0" w:line="255"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Samuels ceased serving as our Chief Legal Officer in November 2022. Pursuant to his separation agreement with the Company, he was entitled to receive a cash bonus for 2022 pursuant to substantially the same terms applicable to 2022 bonuses paid to other members of the Company’s executive team. His payout was prorated based on his last day of full-time employment of November 11, 2022.</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p>
      <w:pPr>
        <w:spacing w:after="0" w:line="121"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In connection with our IPO, we adopted the Definitive Healthcare Corp. 2021 Equity Incentive Plan (the “2021 Plan”), the purpose of which is to align the interests of eligible participants with our stockholders by providing incentive compensation tied to the Company’s performance. Individual long-term equity incentive grants historically have been determined by the HCM &amp; Compensation Committee and Board based on a number of factors, including current corporate and individual performance, outstanding equity holdings and their retention value and total ownership, historical value of our stock, internal equity among executives, and market data provided by our independent compensation consultant.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95" w:right="459" w:bottom="1440" w:gutter="0" w:footer="0" w:header="0"/>
        </w:sectPr>
      </w:pPr>
    </w:p>
    <w:bookmarkStart w:id="37" w:name="page38"/>
    <w:bookmarkEnd w:id="37"/>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NEOs were issued RSUs and PSUs at the time of the Company’s IPO in the third quarter of 2021. Accordingly, the HCM &amp; Compensation Committee determined not to award any equity grants to the NEOs in 2022, other than the one-time RSU and PSU grants awarded to Mr. Musslewhite in recognition of his promotion to CEO and the one-time RSU grant awarded to Mr. Maack in connection with his new hire arrangement, each of which is described below. In future years, annual time- and performance-vesting equity awards will be considered as part of the standard compensation package for NEOs.</w:t>
      </w:r>
    </w:p>
    <w:p>
      <w:pPr>
        <w:spacing w:after="0" w:line="18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One-Time Promotional RSU and PSU Award. </w:t>
      </w:r>
      <w:r>
        <w:rPr>
          <w:rFonts w:ascii="Times New Roman" w:cs="Times New Roman" w:eastAsia="Times New Roman" w:hAnsi="Times New Roman"/>
          <w:sz w:val="18"/>
          <w:szCs w:val="18"/>
          <w:color w:val="auto"/>
        </w:rPr>
        <w:t>To recognize Mr. Musslewhite’s promotion to CEO and in consideration of peer group benchmarks,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 background, collective years of experience, and value to the Company as an internal promotion (as compared to an external hire), the Board approved a one-time equity award using a mix of RSUs and PSUs, as follows:</w:t>
      </w:r>
    </w:p>
    <w:p>
      <w:pPr>
        <w:spacing w:after="0" w:line="81" w:lineRule="exact"/>
        <w:rPr>
          <w:sz w:val="20"/>
          <w:szCs w:val="20"/>
          <w:color w:val="auto"/>
        </w:rPr>
      </w:pPr>
    </w:p>
    <w:p>
      <w:pPr>
        <w:ind w:left="960" w:right="18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333,322 RSUs that will vest 30% on May 4, 2023, followed by quarterly vesting of 7% per quarter until fully vested over the subsequent 30 months.</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83,333 RSUs that will vest 25% on the May 4, 2023, followed by quarterly vesting of 6.25% per quarter until fully vested over the subsequent three years.</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PSUs (at target) that will be eligible to cliff vest at the end of a three-year performance period (1/1/2022 – 12/31/2024) based upon the Company’s total shareholder return (“TSR”) versus the Nasdaq Composite index of SaaS and Health Care Information Technology companies, which we refer to as “relative TSR”. PSUs will pay out as follows:</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Level (Percentile Positioning)</w:t>
            </w:r>
          </w:p>
        </w:tc>
        <w:tc>
          <w:tcPr>
            <w:tcW w:w="3520" w:type="dxa"/>
            <w:vAlign w:val="bottom"/>
          </w:tcPr>
          <w:p>
            <w:pPr>
              <w:spacing w:after="0"/>
              <w:rPr>
                <w:sz w:val="13"/>
                <w:szCs w:val="13"/>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65"/>
        </w:trPr>
        <w:tc>
          <w:tcPr>
            <w:tcW w:w="2660" w:type="dxa"/>
            <w:vAlign w:val="bottom"/>
            <w:tcBorders>
              <w:bottom w:val="single" w:sz="8" w:color="auto"/>
            </w:tcBorders>
            <w:vMerge w:val="continue"/>
          </w:tcPr>
          <w:p>
            <w:pPr>
              <w:spacing w:after="0"/>
              <w:rPr>
                <w:sz w:val="13"/>
                <w:szCs w:val="13"/>
                <w:color w:val="auto"/>
              </w:rPr>
            </w:pPr>
          </w:p>
        </w:tc>
        <w:tc>
          <w:tcPr>
            <w:tcW w:w="3520" w:type="dxa"/>
            <w:vAlign w:val="bottom"/>
          </w:tcPr>
          <w:p>
            <w:pPr>
              <w:spacing w:after="0"/>
              <w:rPr>
                <w:sz w:val="13"/>
                <w:szCs w:val="13"/>
                <w:color w:val="auto"/>
              </w:rPr>
            </w:pPr>
          </w:p>
        </w:tc>
        <w:tc>
          <w:tcPr>
            <w:tcW w:w="13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(as a % of Target)</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D1FCFC"/>
          </w:tcPr>
          <w:p>
            <w:pPr>
              <w:spacing w:after="0" w:line="223" w:lineRule="exact"/>
              <w:rPr>
                <w:sz w:val="20"/>
                <w:szCs w:val="20"/>
                <w:color w:val="auto"/>
              </w:rPr>
            </w:pPr>
            <w:r>
              <w:rPr>
                <w:rFonts w:ascii="Times New Roman" w:cs="Times New Roman" w:eastAsia="Times New Roman" w:hAnsi="Times New Roman"/>
                <w:sz w:val="17"/>
                <w:szCs w:val="17"/>
                <w:color w:val="auto"/>
              </w:rPr>
              <w:t>Superior: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3520" w:type="dxa"/>
            <w:vAlign w:val="bottom"/>
            <w:vMerge w:val="restart"/>
            <w:shd w:val="clear" w:color="auto" w:fill="D1FC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D1FC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vMerge w:val="continue"/>
            <w:shd w:val="clear" w:color="auto" w:fill="D1FCFC"/>
          </w:tcPr>
          <w:p>
            <w:pPr>
              <w:spacing w:after="0"/>
              <w:rPr>
                <w:sz w:val="17"/>
                <w:szCs w:val="17"/>
                <w:color w:val="auto"/>
              </w:rPr>
            </w:pPr>
          </w:p>
        </w:tc>
        <w:tc>
          <w:tcPr>
            <w:tcW w:w="3520" w:type="dxa"/>
            <w:vAlign w:val="bottom"/>
            <w:vMerge w:val="continue"/>
            <w:shd w:val="clear" w:color="auto" w:fill="D1FCFC"/>
          </w:tcPr>
          <w:p>
            <w:pPr>
              <w:spacing w:after="0"/>
              <w:rPr>
                <w:sz w:val="17"/>
                <w:szCs w:val="17"/>
                <w:color w:val="auto"/>
              </w:rPr>
            </w:pPr>
          </w:p>
        </w:tc>
        <w:tc>
          <w:tcPr>
            <w:tcW w:w="1300" w:type="dxa"/>
            <w:vAlign w:val="bottom"/>
            <w:gridSpan w:val="2"/>
            <w:shd w:val="clear" w:color="auto" w:fill="D1FCFC"/>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Exceptional: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4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660" w:type="dxa"/>
            <w:vAlign w:val="bottom"/>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Target: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4820" w:type="dxa"/>
            <w:vAlign w:val="bottom"/>
            <w:gridSpan w:val="3"/>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Threshold: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4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66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4820" w:type="dxa"/>
            <w:vAlign w:val="bottom"/>
            <w:gridSpan w:val="3"/>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right="40"/>
        <w:spacing w:after="0" w:line="289" w:lineRule="auto"/>
        <w:rPr>
          <w:sz w:val="20"/>
          <w:szCs w:val="20"/>
          <w:color w:val="auto"/>
        </w:rPr>
      </w:pPr>
      <w:r>
        <w:rPr>
          <w:rFonts w:ascii="Times New Roman" w:cs="Times New Roman" w:eastAsia="Times New Roman" w:hAnsi="Times New Roman"/>
          <w:sz w:val="17"/>
          <w:szCs w:val="17"/>
          <w:color w:val="auto"/>
        </w:rPr>
        <w:t>Payout will be capped at target if the Company’s absolute TSR is negative at the end of the performance period, irrespective of the relative performance outcomes. Stock price will be measured using a 20-day average for starting and ending prices to smooth market fluctuations. TSR will be calculated by reinvesting dividends issued throughout the performance period at the closing price on the ex-dividend date.</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New-Hire RSU Grant. </w:t>
      </w:r>
      <w:r>
        <w:rPr>
          <w:rFonts w:ascii="Times New Roman" w:cs="Times New Roman" w:eastAsia="Times New Roman" w:hAnsi="Times New Roman"/>
          <w:sz w:val="18"/>
          <w:szCs w:val="18"/>
          <w:color w:val="auto"/>
        </w:rPr>
        <w:t>In connection with his appointment to the role of President, Mr. Maack received a grant of 546,303 RSUs, which will vest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November 3, 2023, followed by quarterly vesting of 6.25% per quarter until fully vested over the subsequent three years. The HCM &amp; Compensation Committee determined that this new-hire grant was appropriate in order to compete with offers for equity compensation from Mr. Maack’s prior employer.</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Determination of 2021 PSU Performance</w:t>
      </w:r>
      <w:r>
        <w:rPr>
          <w:rFonts w:ascii="Times New Roman" w:cs="Times New Roman" w:eastAsia="Times New Roman" w:hAnsi="Times New Roman"/>
          <w:sz w:val="18"/>
          <w:szCs w:val="18"/>
          <w:color w:val="auto"/>
        </w:rPr>
        <w:t>. As noted above, in connection with our IPO in the fourth quarter of 2021, certain of our NEOs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of PSUs. The 2021 PSUs were subject to vesting to the extent that performance goals based on Net Dollar Retention and Enterprise Customer Growth Rates were achieved during the 2022 calendar year. The HCM &amp; Compensation Committee selected these performance measures because they represented important drivers of long-term shareholder value. Enterprise Customers represent the majority of our ARR and are a key focus of our go-to-market programs, and NDR is an indicator of the growth in use of our platform by our existing customers.</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 the extent that the performance goals were achieved during the performance period, the PSUs that were determined to be eligible to vest based on performance would vest one-third on each of January 1, 2023,</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97" w:right="459" w:bottom="1440" w:gutter="0" w:footer="0" w:header="0"/>
        </w:sectPr>
      </w:pPr>
    </w:p>
    <w:bookmarkStart w:id="38" w:name="page39"/>
    <w:bookmarkEnd w:id="38"/>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January 1, 2024, and January 1, 2025, subject to the NEO’s continued service through each applicable vesting date. The performance goals applicable to the 2021 PSUs, the respective weightings, and the actual results are set forth in the table below.</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2021 PSU Performance Goals</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Net Dollar</w:t>
            </w:r>
          </w:p>
        </w:tc>
        <w:tc>
          <w:tcPr>
            <w:tcW w:w="3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gridSpan w:val="3"/>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Retention</w:t>
            </w:r>
            <w:r>
              <w:rPr>
                <w:rFonts w:ascii="Times New Roman" w:cs="Times New Roman" w:eastAsia="Times New Roman" w:hAnsi="Times New Roman"/>
                <w:sz w:val="10"/>
                <w:szCs w:val="10"/>
                <w:b w:val="1"/>
                <w:bCs w:val="1"/>
                <w:color w:val="auto"/>
              </w:rPr>
              <w:t>(1)</w:t>
            </w:r>
          </w:p>
        </w:tc>
        <w:tc>
          <w:tcPr>
            <w:tcW w:w="1520" w:type="dxa"/>
            <w:vAlign w:val="bottom"/>
            <w:gridSpan w:val="3"/>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auto"/>
              </w:rPr>
              <w:t>Growth Rate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4120" w:type="dxa"/>
            <w:vAlign w:val="bottom"/>
            <w:vMerge w:val="restart"/>
          </w:tcPr>
          <w:p>
            <w:pPr>
              <w:spacing w:after="0"/>
              <w:rPr>
                <w:sz w:val="12"/>
                <w:szCs w:val="12"/>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70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41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440" w:type="dxa"/>
            <w:vAlign w:val="bottom"/>
            <w:gridSpan w:val="2"/>
          </w:tcPr>
          <w:p>
            <w:pPr>
              <w:jc w:val="center"/>
              <w:ind w:left="617"/>
              <w:spacing w:after="0" w:line="160" w:lineRule="exact"/>
              <w:rPr>
                <w:sz w:val="20"/>
                <w:szCs w:val="20"/>
                <w:color w:val="auto"/>
              </w:rPr>
            </w:pPr>
            <w:r>
              <w:rPr>
                <w:rFonts w:ascii="Times New Roman" w:cs="Times New Roman" w:eastAsia="Times New Roman" w:hAnsi="Times New Roman"/>
                <w:sz w:val="14"/>
                <w:szCs w:val="14"/>
                <w:b w:val="1"/>
                <w:bCs w:val="1"/>
                <w:color w:val="auto"/>
              </w:rPr>
              <w:t>67%)</w:t>
            </w:r>
          </w:p>
        </w:tc>
        <w:tc>
          <w:tcPr>
            <w:tcW w:w="520" w:type="dxa"/>
            <w:vAlign w:val="bottom"/>
          </w:tcPr>
          <w:p>
            <w:pPr>
              <w:spacing w:after="0"/>
              <w:rPr>
                <w:sz w:val="13"/>
                <w:szCs w:val="13"/>
                <w:color w:val="auto"/>
              </w:rPr>
            </w:pPr>
          </w:p>
        </w:tc>
        <w:tc>
          <w:tcPr>
            <w:tcW w:w="1280" w:type="dxa"/>
            <w:vAlign w:val="bottom"/>
            <w:gridSpan w:val="2"/>
          </w:tcPr>
          <w:p>
            <w:pPr>
              <w:jc w:val="center"/>
              <w:ind w:left="257"/>
              <w:spacing w:after="0" w:line="160" w:lineRule="exact"/>
              <w:rPr>
                <w:sz w:val="20"/>
                <w:szCs w:val="20"/>
                <w:color w:val="auto"/>
              </w:rPr>
            </w:pPr>
            <w:r>
              <w:rPr>
                <w:rFonts w:ascii="Times New Roman" w:cs="Times New Roman" w:eastAsia="Times New Roman" w:hAnsi="Times New Roman"/>
                <w:sz w:val="14"/>
                <w:szCs w:val="14"/>
                <w:b w:val="1"/>
                <w:bCs w:val="1"/>
                <w:color w:val="auto"/>
              </w:rPr>
              <w:t>33%)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shd w:val="clear" w:color="auto" w:fill="D1FCFC"/>
          </w:tcPr>
          <w:p>
            <w:pPr>
              <w:spacing w:after="0"/>
              <w:rPr>
                <w:sz w:val="20"/>
                <w:szCs w:val="20"/>
                <w:color w:val="auto"/>
              </w:rPr>
            </w:pPr>
            <w:r>
              <w:rPr>
                <w:rFonts w:ascii="Times New Roman" w:cs="Times New Roman" w:eastAsia="Times New Roman" w:hAnsi="Times New Roman"/>
                <w:sz w:val="18"/>
                <w:szCs w:val="18"/>
                <w:b w:val="1"/>
                <w:bCs w:val="1"/>
                <w:color w:val="auto"/>
              </w:rPr>
              <w:t>Stretch</w:t>
            </w: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D1FC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D1FCFC"/>
          </w:tcPr>
          <w:p>
            <w:pPr>
              <w:spacing w:after="0" w:line="20" w:lineRule="exact"/>
              <w:rPr>
                <w:sz w:val="1"/>
                <w:szCs w:val="1"/>
                <w:color w:val="auto"/>
              </w:rPr>
            </w:pPr>
          </w:p>
        </w:tc>
        <w:tc>
          <w:tcPr>
            <w:tcW w:w="360" w:type="dxa"/>
            <w:vAlign w:val="bottom"/>
            <w:vMerge w:val="restart"/>
            <w:shd w:val="clear" w:color="auto" w:fill="D1FC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D1FC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shd w:val="clear" w:color="auto" w:fill="D1FCFC"/>
          </w:tcPr>
          <w:p>
            <w:pPr>
              <w:spacing w:after="0"/>
              <w:rPr>
                <w:sz w:val="17"/>
                <w:szCs w:val="17"/>
                <w:color w:val="auto"/>
              </w:rPr>
            </w:pPr>
          </w:p>
        </w:tc>
        <w:tc>
          <w:tcPr>
            <w:tcW w:w="840" w:type="dxa"/>
            <w:vAlign w:val="bottom"/>
            <w:shd w:val="clear" w:color="auto" w:fill="D1FCFC"/>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200%</w:t>
            </w:r>
          </w:p>
        </w:tc>
        <w:tc>
          <w:tcPr>
            <w:tcW w:w="700" w:type="dxa"/>
            <w:vAlign w:val="bottom"/>
            <w:vMerge w:val="continue"/>
            <w:shd w:val="clear" w:color="auto" w:fill="D1FCFC"/>
          </w:tcPr>
          <w:p>
            <w:pPr>
              <w:spacing w:after="0"/>
              <w:rPr>
                <w:sz w:val="17"/>
                <w:szCs w:val="17"/>
                <w:color w:val="auto"/>
              </w:rPr>
            </w:pPr>
          </w:p>
        </w:tc>
        <w:tc>
          <w:tcPr>
            <w:tcW w:w="1260" w:type="dxa"/>
            <w:vAlign w:val="bottom"/>
            <w:gridSpan w:val="2"/>
            <w:shd w:val="clear" w:color="auto" w:fill="D1FCFC"/>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112.6%</w:t>
            </w:r>
          </w:p>
        </w:tc>
        <w:tc>
          <w:tcPr>
            <w:tcW w:w="360" w:type="dxa"/>
            <w:vAlign w:val="bottom"/>
            <w:vMerge w:val="continue"/>
            <w:shd w:val="clear" w:color="auto" w:fill="D1FCFC"/>
          </w:tcPr>
          <w:p>
            <w:pPr>
              <w:spacing w:after="0"/>
              <w:rPr>
                <w:sz w:val="17"/>
                <w:szCs w:val="17"/>
                <w:color w:val="auto"/>
              </w:rPr>
            </w:pPr>
          </w:p>
        </w:tc>
        <w:tc>
          <w:tcPr>
            <w:tcW w:w="1160" w:type="dxa"/>
            <w:vAlign w:val="bottom"/>
            <w:gridSpan w:val="2"/>
            <w:shd w:val="clear" w:color="auto" w:fill="D1FCFC"/>
          </w:tcPr>
          <w:p>
            <w:pPr>
              <w:ind w:left="740"/>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111.6%</w:t>
            </w:r>
          </w:p>
        </w:tc>
        <w:tc>
          <w:tcPr>
            <w:tcW w:w="15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b w:val="1"/>
                <w:bCs w:val="1"/>
                <w:color w:val="auto"/>
              </w:rPr>
              <w:t>Base</w:t>
            </w:r>
          </w:p>
        </w:tc>
        <w:tc>
          <w:tcPr>
            <w:tcW w:w="840" w:type="dxa"/>
            <w:vAlign w:val="bottom"/>
            <w:shd w:val="clear" w:color="auto" w:fill="D1FC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1960" w:type="dxa"/>
            <w:vAlign w:val="bottom"/>
            <w:gridSpan w:val="3"/>
            <w:shd w:val="clear" w:color="auto" w:fill="D1FCFC"/>
          </w:tcPr>
          <w:p>
            <w:pPr>
              <w:jc w:val="right"/>
              <w:ind w:right="380"/>
              <w:spacing w:after="0"/>
              <w:rPr>
                <w:sz w:val="20"/>
                <w:szCs w:val="20"/>
                <w:color w:val="auto"/>
              </w:rPr>
            </w:pPr>
            <w:r>
              <w:rPr>
                <w:rFonts w:ascii="Times New Roman" w:cs="Times New Roman" w:eastAsia="Times New Roman" w:hAnsi="Times New Roman"/>
                <w:sz w:val="18"/>
                <w:szCs w:val="18"/>
                <w:color w:val="auto"/>
              </w:rPr>
              <w:t>110.6%</w:t>
            </w:r>
          </w:p>
        </w:tc>
        <w:tc>
          <w:tcPr>
            <w:tcW w:w="1520" w:type="dxa"/>
            <w:vAlign w:val="bottom"/>
            <w:gridSpan w:val="3"/>
            <w:shd w:val="clear" w:color="auto" w:fill="D1FCFC"/>
          </w:tcPr>
          <w:p>
            <w:pPr>
              <w:ind w:left="1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5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Actual Results</w:t>
            </w:r>
            <w:r>
              <w:rPr>
                <w:rFonts w:ascii="Times New Roman" w:cs="Times New Roman" w:eastAsia="Times New Roman" w:hAnsi="Times New Roman"/>
                <w:sz w:val="26"/>
                <w:szCs w:val="26"/>
                <w:b w:val="1"/>
                <w:bCs w:val="1"/>
                <w:color w:val="auto"/>
                <w:vertAlign w:val="superscript"/>
              </w:rPr>
              <w:t>(3)</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w w:val="98"/>
              </w:rPr>
              <w:t>Attainment</w:t>
            </w:r>
          </w:p>
        </w:tc>
        <w:tc>
          <w:tcPr>
            <w:tcW w:w="1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102.9%</w:t>
            </w:r>
          </w:p>
        </w:tc>
        <w:tc>
          <w:tcPr>
            <w:tcW w:w="152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24" w:right="80" w:hanging="424"/>
        <w:spacing w:after="0" w:line="256"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Dollar Retention (NDR): </w:t>
      </w:r>
      <w:r>
        <w:rPr>
          <w:rFonts w:ascii="Times New Roman" w:cs="Times New Roman" w:eastAsia="Times New Roman" w:hAnsi="Times New Roman"/>
          <w:sz w:val="18"/>
          <w:szCs w:val="18"/>
          <w:color w:val="auto"/>
        </w:rPr>
        <w:t>NDR is based on previous year’s clients who are retained with ARR over $17,500. It is defined as the percentage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3"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Enterprise Customers: </w:t>
      </w:r>
      <w:r>
        <w:rPr>
          <w:rFonts w:ascii="Times New Roman" w:cs="Times New Roman" w:eastAsia="Times New Roman" w:hAnsi="Times New Roman"/>
          <w:sz w:val="18"/>
          <w:szCs w:val="18"/>
          <w:color w:val="auto"/>
        </w:rPr>
        <w:t>New Enterprise Customers is defined as new bookings with ARR over $100,000. It is calculated as the percentage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changed of new enterprise clients over the course of the year. This would include both organic growth and new clients acquired through M&amp;A, though inorganic growth is capped and can only account for a maximum of 40% of the total number of New Enterprise Customers.</w:t>
      </w:r>
    </w:p>
    <w:p>
      <w:pPr>
        <w:spacing w:after="0" w:line="1" w:lineRule="exact"/>
        <w:rPr>
          <w:rFonts w:ascii="Times New Roman" w:cs="Times New Roman" w:eastAsia="Times New Roman" w:hAnsi="Times New Roman"/>
          <w:sz w:val="18"/>
          <w:szCs w:val="18"/>
          <w:color w:val="auto"/>
        </w:rPr>
      </w:pPr>
    </w:p>
    <w:p>
      <w:pPr>
        <w:ind w:left="424" w:right="160" w:hanging="424"/>
        <w:spacing w:after="0" w:line="26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percent of target achieved is calculated based on straight-line interpolation between incremental goal levels established between base and target and target and stretch.</w:t>
      </w:r>
    </w:p>
    <w:p>
      <w:pPr>
        <w:spacing w:after="0" w:line="18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Because the HCM &amp; Compensation Committee determined that performance against each of the performance goals for the 2021 PSUs fell below base, none of the 2021 PSUs were determined eligible to vest, as shown in the table below:</w:t>
      </w:r>
    </w:p>
    <w:p>
      <w:pPr>
        <w:spacing w:after="0" w:line="17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58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Target PSUs</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 PSUs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6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Eligible to</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76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5"/>
                <w:szCs w:val="15"/>
                <w:color w:val="auto"/>
              </w:rPr>
            </w:pPr>
          </w:p>
        </w:tc>
        <w:tc>
          <w:tcPr>
            <w:tcW w:w="8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w:t>
            </w:r>
          </w:p>
        </w:tc>
        <w:tc>
          <w:tcPr>
            <w:tcW w:w="0" w:type="dxa"/>
            <w:vAlign w:val="bottom"/>
          </w:tcPr>
          <w:p>
            <w:pPr>
              <w:spacing w:after="0"/>
              <w:rPr>
                <w:sz w:val="1"/>
                <w:szCs w:val="1"/>
                <w:color w:val="auto"/>
              </w:rPr>
            </w:pPr>
          </w:p>
        </w:tc>
      </w:tr>
      <w:tr>
        <w:trPr>
          <w:trHeight w:val="203"/>
        </w:trPr>
        <w:tc>
          <w:tcPr>
            <w:tcW w:w="5960" w:type="dxa"/>
            <w:vAlign w:val="bottom"/>
            <w:tcBorders>
              <w:top w:val="single" w:sz="8" w:color="D1FCFC"/>
            </w:tcBorders>
            <w:gridSpan w:val="2"/>
            <w:shd w:val="clear" w:color="auto" w:fill="D1FCFC"/>
          </w:tcPr>
          <w:p>
            <w:pPr>
              <w:spacing w:after="0" w:line="203" w:lineRule="exact"/>
              <w:rPr>
                <w:sz w:val="20"/>
                <w:szCs w:val="20"/>
                <w:color w:val="auto"/>
              </w:rPr>
            </w:pPr>
            <w:r>
              <w:rPr>
                <w:rFonts w:ascii="Times New Roman" w:cs="Times New Roman" w:eastAsia="Times New Roman" w:hAnsi="Times New Roman"/>
                <w:sz w:val="16"/>
                <w:szCs w:val="16"/>
                <w:color w:val="auto"/>
              </w:rPr>
              <w:t>Robert Musslewhite</w:t>
            </w:r>
            <w:r>
              <w:rPr>
                <w:rFonts w:ascii="Times New Roman" w:cs="Times New Roman" w:eastAsia="Times New Roman" w:hAnsi="Times New Roman"/>
                <w:sz w:val="23"/>
                <w:szCs w:val="23"/>
                <w:color w:val="auto"/>
                <w:vertAlign w:val="superscript"/>
              </w:rPr>
              <w:t>(1)</w:t>
            </w:r>
          </w:p>
        </w:tc>
        <w:tc>
          <w:tcPr>
            <w:tcW w:w="760" w:type="dxa"/>
            <w:vAlign w:val="bottom"/>
            <w:tcBorders>
              <w:top w:val="single" w:sz="8" w:color="auto"/>
            </w:tcBorders>
            <w:shd w:val="clear" w:color="auto" w:fill="D1FCFC"/>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D1FCFC"/>
            </w:tcBorders>
            <w:shd w:val="clear" w:color="auto" w:fill="D1FCFC"/>
          </w:tcPr>
          <w:p>
            <w:pPr>
              <w:spacing w:after="0"/>
              <w:rPr>
                <w:sz w:val="17"/>
                <w:szCs w:val="17"/>
                <w:color w:val="auto"/>
              </w:rPr>
            </w:pPr>
          </w:p>
        </w:tc>
        <w:tc>
          <w:tcPr>
            <w:tcW w:w="780" w:type="dxa"/>
            <w:vAlign w:val="bottom"/>
            <w:tcBorders>
              <w:top w:val="single" w:sz="8" w:color="auto"/>
            </w:tcBorders>
            <w:shd w:val="clear" w:color="auto" w:fill="D1FCFC"/>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Krantz</w:t>
            </w:r>
          </w:p>
        </w:tc>
        <w:tc>
          <w:tcPr>
            <w:tcW w:w="15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48,148</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Jonathan Maack</w:t>
            </w:r>
            <w:r>
              <w:rPr>
                <w:rFonts w:ascii="Times New Roman" w:cs="Times New Roman" w:eastAsia="Times New Roman" w:hAnsi="Times New Roman"/>
                <w:sz w:val="25"/>
                <w:szCs w:val="25"/>
                <w:color w:val="auto"/>
                <w:vertAlign w:val="superscript"/>
              </w:rPr>
              <w:t>(1)</w:t>
            </w:r>
          </w:p>
        </w:tc>
        <w:tc>
          <w:tcPr>
            <w:tcW w:w="1580" w:type="dxa"/>
            <w:vAlign w:val="bottom"/>
            <w:gridSpan w:val="2"/>
            <w:shd w:val="clear" w:color="auto" w:fill="D1FC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D1FC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5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18,056</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580" w:type="dxa"/>
            <w:vAlign w:val="bottom"/>
            <w:gridSpan w:val="2"/>
            <w:shd w:val="clear" w:color="auto" w:fill="D1FCFC"/>
          </w:tcPr>
          <w:p>
            <w:pPr>
              <w:jc w:val="right"/>
              <w:ind w:right="820"/>
              <w:spacing w:after="0"/>
              <w:rPr>
                <w:sz w:val="20"/>
                <w:szCs w:val="20"/>
                <w:color w:val="auto"/>
              </w:rPr>
            </w:pPr>
            <w:r>
              <w:rPr>
                <w:rFonts w:ascii="Times New Roman" w:cs="Times New Roman" w:eastAsia="Times New Roman" w:hAnsi="Times New Roman"/>
                <w:sz w:val="18"/>
                <w:szCs w:val="18"/>
                <w:color w:val="auto"/>
              </w:rPr>
              <w:t>18,981</w:t>
            </w:r>
          </w:p>
        </w:tc>
        <w:tc>
          <w:tcPr>
            <w:tcW w:w="820" w:type="dxa"/>
            <w:vAlign w:val="bottom"/>
            <w:gridSpan w:val="2"/>
            <w:shd w:val="clear" w:color="auto" w:fill="D1FC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15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18,981</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David Samuels</w:t>
            </w:r>
          </w:p>
        </w:tc>
        <w:tc>
          <w:tcPr>
            <w:tcW w:w="1580" w:type="dxa"/>
            <w:vAlign w:val="bottom"/>
            <w:gridSpan w:val="2"/>
            <w:shd w:val="clear" w:color="auto" w:fill="D1FCFC"/>
          </w:tcPr>
          <w:p>
            <w:pPr>
              <w:jc w:val="right"/>
              <w:ind w:right="820"/>
              <w:spacing w:after="0"/>
              <w:rPr>
                <w:sz w:val="20"/>
                <w:szCs w:val="20"/>
                <w:color w:val="auto"/>
              </w:rPr>
            </w:pPr>
            <w:r>
              <w:rPr>
                <w:rFonts w:ascii="Times New Roman" w:cs="Times New Roman" w:eastAsia="Times New Roman" w:hAnsi="Times New Roman"/>
                <w:sz w:val="18"/>
                <w:szCs w:val="18"/>
                <w:color w:val="auto"/>
              </w:rPr>
              <w:t>8,333</w:t>
            </w:r>
          </w:p>
        </w:tc>
        <w:tc>
          <w:tcPr>
            <w:tcW w:w="820" w:type="dxa"/>
            <w:vAlign w:val="bottom"/>
            <w:gridSpan w:val="2"/>
            <w:shd w:val="clear" w:color="auto" w:fill="D1FC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60" w:hanging="424"/>
        <w:spacing w:after="0" w:line="282"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Musslewhite and Mr. Maack did not receive 2021 PSU awards because they were not employed by the Company at the time that the awards were granted.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FEATURES OF OUR COMPENSATION PROGRAM</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Employment Agreements and Offer Letters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or offer letters with each of our named executive officers upon their joining the Company. Each of these agreements established the named executive officer’s starting base salary, initial target annual bonus opportunity, and initial equity grant. These individuals’ base salaries, annual bonus opportunities and any equity awards are reviewed annually by the HCM &amp; Compensation Committee; the amounts effective for fiscal year 2022 are described above in this CD&amp;A. The agreements are summarized below under “—Employment Agreements.” We intend to periodically review the level of benefits in these agreements.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97"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Severance and Change in Control Benefits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provide our named executive officers with certain severance and change in control protections in their employment agreements and/or offer letters in order to attract and retain an appropriate caliber of talent for such positions. These protections are summarized below under the heading “Employment Agreements” in the narrative to the Potential Payments upon Termination or Change-in-Control Table below. Regardless of the manner in which a named executive officer’s service terminates, the named executive officer is entitled to receive amounts earned during his or her term of service, including salary and unused vacation pay.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the recommendation of our HCM &amp; Compensation Committee, our Board adopted minimum stock ownership guidelines (the “Director Holding Guidelines”) applicable to non-employee directors in May 2022. In March 2023, at the recommendation of our HCM &amp; Compensation Committee, the Board adopted similar guidelines to apply to our executive officers, including our NEOs and our Executive Chairman (the “Executive Holding Guidelines”). The Executive Holding Guidelines provide that such persons are required to achieve, and maintain, ownership of our common stock valued at the following multiple of their annual base salary, as applicable:</w:t>
      </w:r>
    </w:p>
    <w:p>
      <w:pPr>
        <w:spacing w:after="0" w:line="89" w:lineRule="exact"/>
        <w:rPr>
          <w:sz w:val="20"/>
          <w:szCs w:val="20"/>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6x base salary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Chairman: 3x CEO’s base salary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Officers: 3x base salary</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Each such executive officer is expected to meet the applicable guideline level within five years after the later of adoption of the Executive Holding Guidelines or the person becoming subject to such guidelines and to maintain such levels for so long as they remain subject to the Executive Holding Guidelines. Executive officers who have not yet satisfied their applicable guideline level are required to retain 25% of the shares of our common stock that they receive as the result of the exercise, vesting or payment of any equity awards granted to them until in compliance. Shares counting toward meeting the requisite guideline levels include outstanding shares of our Class A common stock, vested and unvested LLC Units (as defined below), and vested and unvested time-based RSUs.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 description of the Director Holding Guidelines applicable to our non-employee directors see “Director Compensation – Director Stock Ownership Guidelines.”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 and Perquisites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of our NEOs are eligible to participate in our employee benefit plans, including medical, dental, vision, and life insurance plans, in each case on the same basis as all of our other employees. We pay premiums for medical coverage on behalf of our NEOs. We also pay the premiums for the life, disability, accidental death, and dismemberment insurance for all employees, including our NEOs. We generally do not provide perquisites or personal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NEOS are eligible to participate in a tax-qualified defined contribution plan, the Definitive Healthcare LLC 401(k) Profit Sharing Plan (the “401(k) Plan”), which provides U.S.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(the “Code”). We may make matching and discretionary profit-sharing contributions for the plan year ending December 31, based on employee deferrals for the plan year. For 2022, we provided matching contributions equal to 100% of the participants’ salary deferrals up to 3% of their compensation and 50% of their salary deferrals on the following 2% of compensation. We did not make any discretionary profit-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93" w:right="459" w:bottom="1440" w:gutter="0" w:footer="0" w:header="0"/>
        </w:sectPr>
      </w:pPr>
    </w:p>
    <w:bookmarkStart w:id="40" w:name="page41"/>
    <w:bookmarkEnd w:id="40"/>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sharing contributions to the 401(k) Plan for the 2022 plan year.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general matter, the HCM &amp; Compensation Committee reviews and consider the various tax and accounting implications of compensation programs we utilize.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Section 162(m)</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Section 162(m) of the Code (“Section 162(m)”), compensation paid to each of the Company’s “covered employees” that exceeds $1 million per taxable year is generally non-deductible. Although the HCM &amp; Compensation Committee will consider tax implications as one factor in determining executive compensation, the HCM &amp;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HCM &amp;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Section 409A</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NEOs, so that they are either exempt from, or satisfy the requirements of, Section 409A.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Section 280G</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280G of the Code (“Section 280G”) disallows a tax deduction with respect to excess parachute payments to certain executives of companies which undergo a change of control. In addition, Section 4999 of the Code imposes a 20% excise tax on the individual with respect to the excess parachute payment. Parachute payments are compensation linked to or triggered by a change of control and may include, but are not limited to, bonus payments, severance payments, certain fringe benefits, and payments and acceleration of vesting from long-term incentive plans including stock options, restricted stock, and other equity-based compensation. Excess parachute payments are parachute payments that exceed a threshold determined under Section 280G based on the executive’s prior compensation. In approving the compensation arrangements for our named executive officers, the HCM &amp; Compensation Committee considers all elements of the cost to the Company of providing such compensation, including the potential impact of Section 280G. However, the HCM &amp; Compensation Committee may, in its judgment, authorize compensation arrangements that could give rise to loss of deductibility under Section 280G and the imposition of excise taxes under Section 4999 when it believes that such arrangements are appropriate to attract and retain executive talent.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follow the Financial Accounting Standards Board’s Accounting Standards Codification Topic 718 (“ASC Topic 718”) for our stock-based compensation awards. ASC Topic 718 requires companies to calculate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97" w:right="459" w:bottom="1440" w:gutter="0" w:footer="0" w:header="0"/>
        </w:sectPr>
      </w:pPr>
    </w:p>
    <w:bookmarkStart w:id="41" w:name="page42"/>
    <w:bookmarkEnd w:id="4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grant date “fair value” of their stock-based awards using a variety of assumptions. ASC Topic 718 also requires companies to recognize the compensation cost of their stock-based awards in their income statements over the period that an employee is required to render service in exchange for the award. Grants of restricted stock units under our equity incentive award plans are accounted for under ASC Topic 718. The HCM &amp; Compensation Committee considers the accounting implications of significant compensation decisions, especially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PRACTICES, POLICIES &amp; GUIDELINES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As a public company, if we are required to restate our financial results due to our material noncompliance with any financial reporting requirements under the federal securities laws as a result of misconduct, our CEO and Chief Financial Officer may be legally required to reimburse us for any bonus or other incentive-based or equity-based compensation they receive in accordance with the provisions of section 304 of the Sarbanes-Oxley Act of 2002.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&amp; Pledging Policies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prohibit directors, officers, and employees from trading in options, warrants, puts and calls, or similar instruments on the Company’s securities or short selling such securities. In addition, directors, officers, and employees are prohibited from purchasing any financial instrument or entering into any transaction that is designed to hedge, establish downside price protection, or otherwise offset declines in the market value of the Company’s securities, including puts, calls, prepaid variable forward contracts, equity swaps, collars, exchange funds (excluding broad-based index funds), and other financial instruments that are designed to or have the effect of hedging or offsetting any decrease in the market value of the Company’s securities. Our insider trading policy also prohibits directors, officers, and employees from pledging, hypothecating, or otherwise encumbering the Company’s securities as collateral for indebtedness.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our insider trading policy, no director, officer, or other employee of the Company who is aware of material nonpublic information related to the Company may, directly or indirectly, through family members or other persons or entities, buy or sell Company securities. In addition, if a director, officer, or other employee of the Company learns of material non-public information about a company with which the Company does business, including a customer or supplier, our insider trading policy prohibits trading in, taking advantage of, or sharing information about that company’s securities until the information is made public or is no longer 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HCM &amp; Compensation Committee is responsible for evaluating, recommending, and approving executive officer compensation arrangements, plans, policies, and programs and performs an annual assessment of the risk they impose. In consultation with management, our HCM &amp; Compensation Committee assessed our executive officer compensation arrangements, plans, policies, and programs and concluded that they do not create risks that are reasonably likely to have a material adverse effect on our company. This risk assessment included, among other things, a review of the extent to which the Company’s compensation policies and practices could lead to excessive risk-taking behavior, the manner in which any risks arising out of the Company’s compensation policies and practices are monitored and mitigated and any adjustments that may be necessary to address changes in the Company’s risk profile.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97" w:right="47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REPORT OF THE HUMAN CAPITAL MANAGEMENT AND COMPENSATION COMMITTEE</w:t>
      </w:r>
    </w:p>
    <w:p>
      <w:pPr>
        <w:spacing w:after="0" w:line="22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is not to be deemed to be “soliciting material” or to be “filed” with the SEC, or subject to Regulation 14A of the Exchange Act or to the liabilities of Section 18 of the Exchange Act, nor is such information to be incorporated by reference into any future filing under the Securities Exchange Act of 1933, as amended, or the Exchange Act, except to the extent that we specifically incorporate it by reference into such filing.</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HCM &amp; Compensation Committee operates pursuant to a charter which is reviewed annually by the HCM &amp; Compensation Committee. Additionally, a brief description of the primary responsibilities of the HCM &amp; Compensation Committee is included in this Proxy Statement under “The Board of Directors and Certain Governance Matters—Board Committees and Meetings—HCM &amp; Compensation Committee.” Under the HCM &amp; Compensation Committee charter, the HCM &amp; Compensation Committee’s responsibilities include evaluating, recommending, and approving executive officer compensation arrangements, plans, policies, and programs.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HCM &amp; Compensation Committee has reviewed and discussed the Compensation Discussion and Analysis with the Company’s management and, based on such review and discussion, has recommended to the Board that the Compensation Discussion and Analysis be included in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HCM &amp; Compensation Committee of the Company’s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Larsen,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Haywood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Young</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440" w:top="293" w:right="519" w:bottom="1440" w:gutter="0" w:footer="0" w:header="0"/>
        </w:sectPr>
      </w:pPr>
    </w:p>
    <w:bookmarkStart w:id="43" w:name="page44"/>
    <w:bookmarkEnd w:id="4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TABLES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total compensation awarded to, earned by, or paid to our NEOs in fiscal 2022, 2021, and 2020. We did not issue stock options to our NEOs during any such period.</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0"/>
                <w:szCs w:val="10"/>
                <w:b w:val="1"/>
                <w:bCs w:val="1"/>
                <w:color w:val="auto"/>
              </w:rPr>
              <w:t>(1)</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0"/>
                <w:szCs w:val="10"/>
                <w:b w:val="1"/>
                <w:bCs w:val="1"/>
                <w:color w:val="auto"/>
              </w:rPr>
              <w:t>(2)</w:t>
            </w:r>
          </w:p>
        </w:tc>
        <w:tc>
          <w:tcPr>
            <w:tcW w:w="126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gridSpan w:val="2"/>
            <w:vMerge w:val="continue"/>
          </w:tcPr>
          <w:p>
            <w:pPr>
              <w:spacing w:after="0"/>
              <w:rPr>
                <w:sz w:val="12"/>
                <w:szCs w:val="12"/>
                <w:color w:val="auto"/>
              </w:rPr>
            </w:pP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6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(3)</w:t>
            </w: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(4)</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2640" w:type="dxa"/>
            <w:vAlign w:val="bottom"/>
            <w:tcBorders>
              <w:bottom w:val="single" w:sz="8" w:color="E7ECFC"/>
            </w:tcBorders>
          </w:tcPr>
          <w:p>
            <w:pPr>
              <w:spacing w:after="0"/>
              <w:rPr>
                <w:sz w:val="15"/>
                <w:szCs w:val="15"/>
                <w:color w:val="auto"/>
              </w:rPr>
            </w:pPr>
          </w:p>
        </w:tc>
        <w:tc>
          <w:tcPr>
            <w:tcW w:w="220" w:type="dxa"/>
            <w:vAlign w:val="bottom"/>
            <w:tcBorders>
              <w:bottom w:val="single" w:sz="8" w:color="E7ECFC"/>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E7ECFC"/>
            </w:tcBorders>
            <w:vMerge w:val="continue"/>
          </w:tcPr>
          <w:p>
            <w:pPr>
              <w:spacing w:after="0"/>
              <w:rPr>
                <w:sz w:val="15"/>
                <w:szCs w:val="15"/>
                <w:color w:val="auto"/>
              </w:rPr>
            </w:pPr>
          </w:p>
        </w:tc>
        <w:tc>
          <w:tcPr>
            <w:tcW w:w="5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E7ECFC"/>
            </w:tcBorders>
          </w:tcPr>
          <w:p>
            <w:pPr>
              <w:spacing w:after="0"/>
              <w:rPr>
                <w:sz w:val="15"/>
                <w:szCs w:val="15"/>
                <w:color w:val="auto"/>
              </w:rPr>
            </w:pPr>
          </w:p>
        </w:tc>
        <w:tc>
          <w:tcPr>
            <w:tcW w:w="5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E7ECFC"/>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E7EC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E7EC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Borders>
              <w:bottom w:val="single" w:sz="8" w:color="E7ECFC"/>
            </w:tcBorders>
          </w:tcPr>
          <w:p>
            <w:pPr>
              <w:spacing w:after="0"/>
              <w:rPr>
                <w:sz w:val="15"/>
                <w:szCs w:val="15"/>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E7EC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00" w:type="dxa"/>
            <w:vAlign w:val="bottom"/>
            <w:shd w:val="clear" w:color="auto" w:fill="E7ECFC"/>
          </w:tcPr>
          <w:p>
            <w:pPr>
              <w:spacing w:after="0" w:line="162" w:lineRule="exact"/>
              <w:rPr>
                <w:sz w:val="20"/>
                <w:szCs w:val="20"/>
                <w:color w:val="auto"/>
              </w:rPr>
            </w:pPr>
            <w:r>
              <w:rPr>
                <w:rFonts w:ascii="Times New Roman" w:cs="Times New Roman" w:eastAsia="Times New Roman" w:hAnsi="Times New Roman"/>
                <w:sz w:val="16"/>
                <w:szCs w:val="16"/>
                <w:color w:val="auto"/>
                <w:w w:val="83"/>
              </w:rPr>
              <w:t>Robert Musslewhite</w:t>
            </w:r>
          </w:p>
        </w:tc>
        <w:tc>
          <w:tcPr>
            <w:tcW w:w="2640" w:type="dxa"/>
            <w:vAlign w:val="bottom"/>
            <w:shd w:val="clear" w:color="auto" w:fill="E7ECFC"/>
          </w:tcPr>
          <w:p>
            <w:pPr>
              <w:spacing w:after="0"/>
              <w:rPr>
                <w:sz w:val="14"/>
                <w:szCs w:val="14"/>
                <w:color w:val="auto"/>
              </w:rPr>
            </w:pPr>
          </w:p>
        </w:tc>
        <w:tc>
          <w:tcPr>
            <w:tcW w:w="220" w:type="dxa"/>
            <w:vAlign w:val="bottom"/>
            <w:shd w:val="clear" w:color="auto" w:fill="E7ECFC"/>
          </w:tcPr>
          <w:p>
            <w:pPr>
              <w:spacing w:after="0"/>
              <w:rPr>
                <w:sz w:val="14"/>
                <w:szCs w:val="14"/>
                <w:color w:val="auto"/>
              </w:rPr>
            </w:pPr>
          </w:p>
        </w:tc>
        <w:tc>
          <w:tcPr>
            <w:tcW w:w="620" w:type="dxa"/>
            <w:vAlign w:val="bottom"/>
            <w:gridSpan w:val="2"/>
            <w:vMerge w:val="restart"/>
            <w:shd w:val="clear" w:color="auto" w:fill="E7ECFC"/>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980" w:type="dxa"/>
            <w:vAlign w:val="bottom"/>
            <w:gridSpan w:val="2"/>
            <w:vMerge w:val="restart"/>
            <w:shd w:val="clear" w:color="auto" w:fill="E7ECFC"/>
          </w:tcPr>
          <w:p>
            <w:pPr>
              <w:jc w:val="right"/>
              <w:ind w:right="260"/>
              <w:spacing w:after="0"/>
              <w:rPr>
                <w:sz w:val="20"/>
                <w:szCs w:val="20"/>
                <w:color w:val="auto"/>
              </w:rPr>
            </w:pPr>
            <w:r>
              <w:rPr>
                <w:rFonts w:ascii="Times New Roman" w:cs="Times New Roman" w:eastAsia="Times New Roman" w:hAnsi="Times New Roman"/>
                <w:sz w:val="16"/>
                <w:szCs w:val="16"/>
                <w:color w:val="auto"/>
                <w:w w:val="98"/>
              </w:rPr>
              <w:t>429,000</w:t>
            </w:r>
            <w:r>
              <w:rPr>
                <w:rFonts w:ascii="Times New Roman" w:cs="Times New Roman" w:eastAsia="Times New Roman" w:hAnsi="Times New Roman"/>
                <w:sz w:val="24"/>
                <w:szCs w:val="24"/>
                <w:color w:val="auto"/>
                <w:w w:val="98"/>
                <w:vertAlign w:val="superscript"/>
              </w:rPr>
              <w:t>(1)</w:t>
            </w:r>
          </w:p>
        </w:tc>
        <w:tc>
          <w:tcPr>
            <w:tcW w:w="580" w:type="dxa"/>
            <w:vAlign w:val="bottom"/>
            <w:vMerge w:val="restart"/>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223,080</w:t>
            </w:r>
          </w:p>
        </w:tc>
        <w:tc>
          <w:tcPr>
            <w:tcW w:w="260" w:type="dxa"/>
            <w:vAlign w:val="bottom"/>
            <w:shd w:val="clear" w:color="auto" w:fill="E7ECFC"/>
          </w:tcPr>
          <w:p>
            <w:pPr>
              <w:spacing w:after="0"/>
              <w:rPr>
                <w:sz w:val="14"/>
                <w:szCs w:val="14"/>
                <w:color w:val="auto"/>
              </w:rPr>
            </w:pPr>
          </w:p>
        </w:tc>
        <w:tc>
          <w:tcPr>
            <w:tcW w:w="800" w:type="dxa"/>
            <w:vAlign w:val="bottom"/>
            <w:vMerge w:val="restart"/>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16,830,969</w:t>
            </w:r>
          </w:p>
        </w:tc>
        <w:tc>
          <w:tcPr>
            <w:tcW w:w="460" w:type="dxa"/>
            <w:vAlign w:val="bottom"/>
            <w:shd w:val="clear" w:color="auto" w:fill="E7ECFC"/>
          </w:tcPr>
          <w:p>
            <w:pPr>
              <w:spacing w:after="0"/>
              <w:rPr>
                <w:sz w:val="14"/>
                <w:szCs w:val="14"/>
                <w:color w:val="auto"/>
              </w:rPr>
            </w:pPr>
          </w:p>
        </w:tc>
        <w:tc>
          <w:tcPr>
            <w:tcW w:w="1160" w:type="dxa"/>
            <w:vAlign w:val="bottom"/>
            <w:gridSpan w:val="2"/>
            <w:vMerge w:val="restart"/>
            <w:shd w:val="clear" w:color="auto" w:fill="E7EC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56,995</w:t>
            </w:r>
          </w:p>
        </w:tc>
        <w:tc>
          <w:tcPr>
            <w:tcW w:w="240" w:type="dxa"/>
            <w:vAlign w:val="bottom"/>
            <w:shd w:val="clear" w:color="auto" w:fill="E7ECFC"/>
          </w:tcPr>
          <w:p>
            <w:pPr>
              <w:spacing w:after="0"/>
              <w:rPr>
                <w:sz w:val="14"/>
                <w:szCs w:val="14"/>
                <w:color w:val="auto"/>
              </w:rPr>
            </w:pPr>
          </w:p>
        </w:tc>
        <w:tc>
          <w:tcPr>
            <w:tcW w:w="880" w:type="dxa"/>
            <w:vAlign w:val="bottom"/>
            <w:gridSpan w:val="2"/>
            <w:vMerge w:val="restart"/>
            <w:shd w:val="clear" w:color="auto" w:fill="E7ECFC"/>
          </w:tcPr>
          <w:p>
            <w:pPr>
              <w:jc w:val="right"/>
              <w:ind w:right="60"/>
              <w:spacing w:after="0"/>
              <w:rPr>
                <w:sz w:val="20"/>
                <w:szCs w:val="20"/>
                <w:color w:val="auto"/>
              </w:rPr>
            </w:pPr>
            <w:r>
              <w:rPr>
                <w:rFonts w:ascii="Times New Roman" w:cs="Times New Roman" w:eastAsia="Times New Roman" w:hAnsi="Times New Roman"/>
                <w:sz w:val="16"/>
                <w:szCs w:val="16"/>
                <w:color w:val="auto"/>
              </w:rPr>
              <w:t>17,540,044</w:t>
            </w:r>
          </w:p>
        </w:tc>
        <w:tc>
          <w:tcPr>
            <w:tcW w:w="0" w:type="dxa"/>
            <w:vAlign w:val="bottom"/>
          </w:tcPr>
          <w:p>
            <w:pPr>
              <w:spacing w:after="0"/>
              <w:rPr>
                <w:sz w:val="1"/>
                <w:szCs w:val="1"/>
                <w:color w:val="auto"/>
              </w:rPr>
            </w:pPr>
          </w:p>
        </w:tc>
      </w:tr>
      <w:tr>
        <w:trPr>
          <w:trHeight w:val="122"/>
        </w:trPr>
        <w:tc>
          <w:tcPr>
            <w:tcW w:w="3740" w:type="dxa"/>
            <w:vAlign w:val="bottom"/>
            <w:gridSpan w:val="2"/>
            <w:vMerge w:val="restart"/>
            <w:shd w:val="clear" w:color="auto" w:fill="E7ECFC"/>
          </w:tcPr>
          <w:p>
            <w:pPr>
              <w:ind w:left="160"/>
              <w:spacing w:after="0"/>
              <w:rPr>
                <w:sz w:val="20"/>
                <w:szCs w:val="20"/>
                <w:color w:val="auto"/>
              </w:rPr>
            </w:pPr>
            <w:r>
              <w:rPr>
                <w:rFonts w:ascii="Times New Roman" w:cs="Times New Roman" w:eastAsia="Times New Roman" w:hAnsi="Times New Roman"/>
                <w:sz w:val="16"/>
                <w:szCs w:val="16"/>
                <w:color w:val="auto"/>
              </w:rPr>
              <w:t>Chief Executive Officer, Director and Former</w:t>
            </w:r>
          </w:p>
        </w:tc>
        <w:tc>
          <w:tcPr>
            <w:tcW w:w="220" w:type="dxa"/>
            <w:vAlign w:val="bottom"/>
            <w:shd w:val="clear" w:color="auto" w:fill="E7ECFC"/>
          </w:tcPr>
          <w:p>
            <w:pPr>
              <w:spacing w:after="0"/>
              <w:rPr>
                <w:sz w:val="10"/>
                <w:szCs w:val="10"/>
                <w:color w:val="auto"/>
              </w:rPr>
            </w:pPr>
          </w:p>
        </w:tc>
        <w:tc>
          <w:tcPr>
            <w:tcW w:w="620" w:type="dxa"/>
            <w:vAlign w:val="bottom"/>
            <w:gridSpan w:val="2"/>
            <w:vMerge w:val="continue"/>
            <w:shd w:val="clear" w:color="auto" w:fill="E7ECFC"/>
          </w:tcPr>
          <w:p>
            <w:pPr>
              <w:spacing w:after="0"/>
              <w:rPr>
                <w:sz w:val="10"/>
                <w:szCs w:val="10"/>
                <w:color w:val="auto"/>
              </w:rPr>
            </w:pPr>
          </w:p>
        </w:tc>
        <w:tc>
          <w:tcPr>
            <w:tcW w:w="980" w:type="dxa"/>
            <w:vAlign w:val="bottom"/>
            <w:gridSpan w:val="2"/>
            <w:vMerge w:val="continue"/>
            <w:shd w:val="clear" w:color="auto" w:fill="E7ECFC"/>
          </w:tcPr>
          <w:p>
            <w:pPr>
              <w:spacing w:after="0"/>
              <w:rPr>
                <w:sz w:val="10"/>
                <w:szCs w:val="10"/>
                <w:color w:val="auto"/>
              </w:rPr>
            </w:pPr>
          </w:p>
        </w:tc>
        <w:tc>
          <w:tcPr>
            <w:tcW w:w="580" w:type="dxa"/>
            <w:vAlign w:val="bottom"/>
            <w:vMerge w:val="continue"/>
            <w:shd w:val="clear" w:color="auto" w:fill="E7ECFC"/>
          </w:tcPr>
          <w:p>
            <w:pPr>
              <w:spacing w:after="0"/>
              <w:rPr>
                <w:sz w:val="10"/>
                <w:szCs w:val="10"/>
                <w:color w:val="auto"/>
              </w:rPr>
            </w:pPr>
          </w:p>
        </w:tc>
        <w:tc>
          <w:tcPr>
            <w:tcW w:w="260" w:type="dxa"/>
            <w:vAlign w:val="bottom"/>
            <w:shd w:val="clear" w:color="auto" w:fill="E7ECFC"/>
          </w:tcPr>
          <w:p>
            <w:pPr>
              <w:spacing w:after="0"/>
              <w:rPr>
                <w:sz w:val="10"/>
                <w:szCs w:val="10"/>
                <w:color w:val="auto"/>
              </w:rPr>
            </w:pPr>
          </w:p>
        </w:tc>
        <w:tc>
          <w:tcPr>
            <w:tcW w:w="800" w:type="dxa"/>
            <w:vAlign w:val="bottom"/>
            <w:vMerge w:val="continue"/>
            <w:shd w:val="clear" w:color="auto" w:fill="E7ECFC"/>
          </w:tcPr>
          <w:p>
            <w:pPr>
              <w:spacing w:after="0"/>
              <w:rPr>
                <w:sz w:val="10"/>
                <w:szCs w:val="10"/>
                <w:color w:val="auto"/>
              </w:rPr>
            </w:pPr>
          </w:p>
        </w:tc>
        <w:tc>
          <w:tcPr>
            <w:tcW w:w="460" w:type="dxa"/>
            <w:vAlign w:val="bottom"/>
            <w:shd w:val="clear" w:color="auto" w:fill="E7ECFC"/>
          </w:tcPr>
          <w:p>
            <w:pPr>
              <w:spacing w:after="0"/>
              <w:rPr>
                <w:sz w:val="10"/>
                <w:szCs w:val="10"/>
                <w:color w:val="auto"/>
              </w:rPr>
            </w:pPr>
          </w:p>
        </w:tc>
        <w:tc>
          <w:tcPr>
            <w:tcW w:w="1160" w:type="dxa"/>
            <w:vAlign w:val="bottom"/>
            <w:gridSpan w:val="2"/>
            <w:vMerge w:val="continue"/>
            <w:shd w:val="clear" w:color="auto" w:fill="E7ECFC"/>
          </w:tcPr>
          <w:p>
            <w:pPr>
              <w:spacing w:after="0"/>
              <w:rPr>
                <w:sz w:val="10"/>
                <w:szCs w:val="10"/>
                <w:color w:val="auto"/>
              </w:rPr>
            </w:pPr>
          </w:p>
        </w:tc>
        <w:tc>
          <w:tcPr>
            <w:tcW w:w="1080" w:type="dxa"/>
            <w:vAlign w:val="bottom"/>
            <w:vMerge w:val="continue"/>
            <w:shd w:val="clear" w:color="auto" w:fill="E7ECFC"/>
          </w:tcPr>
          <w:p>
            <w:pPr>
              <w:spacing w:after="0"/>
              <w:rPr>
                <w:sz w:val="10"/>
                <w:szCs w:val="10"/>
                <w:color w:val="auto"/>
              </w:rPr>
            </w:pPr>
          </w:p>
        </w:tc>
        <w:tc>
          <w:tcPr>
            <w:tcW w:w="240" w:type="dxa"/>
            <w:vAlign w:val="bottom"/>
            <w:shd w:val="clear" w:color="auto" w:fill="E7ECFC"/>
          </w:tcPr>
          <w:p>
            <w:pPr>
              <w:spacing w:after="0"/>
              <w:rPr>
                <w:sz w:val="10"/>
                <w:szCs w:val="10"/>
                <w:color w:val="auto"/>
              </w:rPr>
            </w:pPr>
          </w:p>
        </w:tc>
        <w:tc>
          <w:tcPr>
            <w:tcW w:w="880" w:type="dxa"/>
            <w:vAlign w:val="bottom"/>
            <w:gridSpan w:val="2"/>
            <w:vMerge w:val="continue"/>
            <w:shd w:val="clear" w:color="auto" w:fill="E7ECFC"/>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740" w:type="dxa"/>
            <w:vAlign w:val="bottom"/>
            <w:gridSpan w:val="2"/>
            <w:vMerge w:val="continue"/>
            <w:shd w:val="clear" w:color="auto" w:fill="E7ECFC"/>
          </w:tcPr>
          <w:p>
            <w:pPr>
              <w:spacing w:after="0"/>
              <w:rPr>
                <w:sz w:val="6"/>
                <w:szCs w:val="6"/>
                <w:color w:val="auto"/>
              </w:rPr>
            </w:pPr>
          </w:p>
        </w:tc>
        <w:tc>
          <w:tcPr>
            <w:tcW w:w="220" w:type="dxa"/>
            <w:vAlign w:val="bottom"/>
            <w:shd w:val="clear" w:color="auto" w:fill="E7ECFC"/>
          </w:tcPr>
          <w:p>
            <w:pPr>
              <w:spacing w:after="0"/>
              <w:rPr>
                <w:sz w:val="6"/>
                <w:szCs w:val="6"/>
                <w:color w:val="auto"/>
              </w:rPr>
            </w:pPr>
          </w:p>
        </w:tc>
        <w:tc>
          <w:tcPr>
            <w:tcW w:w="360" w:type="dxa"/>
            <w:vAlign w:val="bottom"/>
            <w:shd w:val="clear" w:color="auto" w:fill="E7ECFC"/>
          </w:tcPr>
          <w:p>
            <w:pPr>
              <w:spacing w:after="0"/>
              <w:rPr>
                <w:sz w:val="6"/>
                <w:szCs w:val="6"/>
                <w:color w:val="auto"/>
              </w:rPr>
            </w:pPr>
          </w:p>
        </w:tc>
        <w:tc>
          <w:tcPr>
            <w:tcW w:w="260" w:type="dxa"/>
            <w:vAlign w:val="bottom"/>
            <w:shd w:val="clear" w:color="auto" w:fill="E7ECFC"/>
          </w:tcPr>
          <w:p>
            <w:pPr>
              <w:spacing w:after="0"/>
              <w:rPr>
                <w:sz w:val="6"/>
                <w:szCs w:val="6"/>
                <w:color w:val="auto"/>
              </w:rPr>
            </w:pPr>
          </w:p>
        </w:tc>
        <w:tc>
          <w:tcPr>
            <w:tcW w:w="580" w:type="dxa"/>
            <w:vAlign w:val="bottom"/>
            <w:shd w:val="clear" w:color="auto" w:fill="E7ECFC"/>
          </w:tcPr>
          <w:p>
            <w:pPr>
              <w:spacing w:after="0"/>
              <w:rPr>
                <w:sz w:val="6"/>
                <w:szCs w:val="6"/>
                <w:color w:val="auto"/>
              </w:rPr>
            </w:pPr>
          </w:p>
        </w:tc>
        <w:tc>
          <w:tcPr>
            <w:tcW w:w="400" w:type="dxa"/>
            <w:vAlign w:val="bottom"/>
            <w:shd w:val="clear" w:color="auto" w:fill="E7ECFC"/>
          </w:tcPr>
          <w:p>
            <w:pPr>
              <w:spacing w:after="0"/>
              <w:rPr>
                <w:sz w:val="6"/>
                <w:szCs w:val="6"/>
                <w:color w:val="auto"/>
              </w:rPr>
            </w:pPr>
          </w:p>
        </w:tc>
        <w:tc>
          <w:tcPr>
            <w:tcW w:w="580" w:type="dxa"/>
            <w:vAlign w:val="bottom"/>
            <w:shd w:val="clear" w:color="auto" w:fill="E7ECFC"/>
          </w:tcPr>
          <w:p>
            <w:pPr>
              <w:spacing w:after="0"/>
              <w:rPr>
                <w:sz w:val="6"/>
                <w:szCs w:val="6"/>
                <w:color w:val="auto"/>
              </w:rPr>
            </w:pPr>
          </w:p>
        </w:tc>
        <w:tc>
          <w:tcPr>
            <w:tcW w:w="260" w:type="dxa"/>
            <w:vAlign w:val="bottom"/>
            <w:shd w:val="clear" w:color="auto" w:fill="E7ECFC"/>
          </w:tcPr>
          <w:p>
            <w:pPr>
              <w:spacing w:after="0"/>
              <w:rPr>
                <w:sz w:val="6"/>
                <w:szCs w:val="6"/>
                <w:color w:val="auto"/>
              </w:rPr>
            </w:pPr>
          </w:p>
        </w:tc>
        <w:tc>
          <w:tcPr>
            <w:tcW w:w="800" w:type="dxa"/>
            <w:vAlign w:val="bottom"/>
            <w:shd w:val="clear" w:color="auto" w:fill="E7ECFC"/>
          </w:tcPr>
          <w:p>
            <w:pPr>
              <w:spacing w:after="0"/>
              <w:rPr>
                <w:sz w:val="6"/>
                <w:szCs w:val="6"/>
                <w:color w:val="auto"/>
              </w:rPr>
            </w:pPr>
          </w:p>
        </w:tc>
        <w:tc>
          <w:tcPr>
            <w:tcW w:w="460" w:type="dxa"/>
            <w:vAlign w:val="bottom"/>
            <w:shd w:val="clear" w:color="auto" w:fill="E7ECFC"/>
          </w:tcPr>
          <w:p>
            <w:pPr>
              <w:spacing w:after="0"/>
              <w:rPr>
                <w:sz w:val="6"/>
                <w:szCs w:val="6"/>
                <w:color w:val="auto"/>
              </w:rPr>
            </w:pPr>
          </w:p>
        </w:tc>
        <w:tc>
          <w:tcPr>
            <w:tcW w:w="900" w:type="dxa"/>
            <w:vAlign w:val="bottom"/>
            <w:shd w:val="clear" w:color="auto" w:fill="E7ECFC"/>
          </w:tcPr>
          <w:p>
            <w:pPr>
              <w:spacing w:after="0"/>
              <w:rPr>
                <w:sz w:val="6"/>
                <w:szCs w:val="6"/>
                <w:color w:val="auto"/>
              </w:rPr>
            </w:pPr>
          </w:p>
        </w:tc>
        <w:tc>
          <w:tcPr>
            <w:tcW w:w="260" w:type="dxa"/>
            <w:vAlign w:val="bottom"/>
            <w:shd w:val="clear" w:color="auto" w:fill="E7ECFC"/>
          </w:tcPr>
          <w:p>
            <w:pPr>
              <w:spacing w:after="0"/>
              <w:rPr>
                <w:sz w:val="6"/>
                <w:szCs w:val="6"/>
                <w:color w:val="auto"/>
              </w:rPr>
            </w:pPr>
          </w:p>
        </w:tc>
        <w:tc>
          <w:tcPr>
            <w:tcW w:w="1080" w:type="dxa"/>
            <w:vAlign w:val="bottom"/>
            <w:shd w:val="clear" w:color="auto" w:fill="E7ECFC"/>
          </w:tcPr>
          <w:p>
            <w:pPr>
              <w:spacing w:after="0"/>
              <w:rPr>
                <w:sz w:val="6"/>
                <w:szCs w:val="6"/>
                <w:color w:val="auto"/>
              </w:rPr>
            </w:pPr>
          </w:p>
        </w:tc>
        <w:tc>
          <w:tcPr>
            <w:tcW w:w="240" w:type="dxa"/>
            <w:vAlign w:val="bottom"/>
            <w:shd w:val="clear" w:color="auto" w:fill="E7ECFC"/>
          </w:tcPr>
          <w:p>
            <w:pPr>
              <w:spacing w:after="0"/>
              <w:rPr>
                <w:sz w:val="6"/>
                <w:szCs w:val="6"/>
                <w:color w:val="auto"/>
              </w:rPr>
            </w:pPr>
          </w:p>
        </w:tc>
        <w:tc>
          <w:tcPr>
            <w:tcW w:w="820" w:type="dxa"/>
            <w:vAlign w:val="bottom"/>
            <w:shd w:val="clear" w:color="auto" w:fill="E7ECFC"/>
          </w:tcPr>
          <w:p>
            <w:pPr>
              <w:spacing w:after="0"/>
              <w:rPr>
                <w:sz w:val="6"/>
                <w:szCs w:val="6"/>
                <w:color w:val="auto"/>
              </w:rPr>
            </w:pPr>
          </w:p>
        </w:tc>
        <w:tc>
          <w:tcPr>
            <w:tcW w:w="60" w:type="dxa"/>
            <w:vAlign w:val="bottom"/>
            <w:shd w:val="clear" w:color="auto" w:fill="E7ECFC"/>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40" w:type="dxa"/>
            <w:vAlign w:val="bottom"/>
            <w:gridSpan w:val="2"/>
            <w:shd w:val="clear" w:color="auto" w:fill="E7ECFC"/>
          </w:tcPr>
          <w:p>
            <w:pPr>
              <w:ind w:left="160"/>
              <w:spacing w:after="0" w:line="217" w:lineRule="exact"/>
              <w:rPr>
                <w:sz w:val="20"/>
                <w:szCs w:val="20"/>
                <w:color w:val="auto"/>
              </w:rPr>
            </w:pPr>
            <w:r>
              <w:rPr>
                <w:rFonts w:ascii="Times New Roman" w:cs="Times New Roman" w:eastAsia="Times New Roman" w:hAnsi="Times New Roman"/>
                <w:sz w:val="16"/>
                <w:szCs w:val="16"/>
                <w:color w:val="auto"/>
              </w:rPr>
              <w:t>President</w:t>
            </w:r>
            <w:r>
              <w:rPr>
                <w:rFonts w:ascii="Times New Roman" w:cs="Times New Roman" w:eastAsia="Times New Roman" w:hAnsi="Times New Roman"/>
                <w:sz w:val="24"/>
                <w:szCs w:val="24"/>
                <w:color w:val="auto"/>
                <w:vertAlign w:val="superscript"/>
              </w:rPr>
              <w:t>(5)</w:t>
            </w:r>
          </w:p>
        </w:tc>
        <w:tc>
          <w:tcPr>
            <w:tcW w:w="220" w:type="dxa"/>
            <w:vAlign w:val="bottom"/>
            <w:shd w:val="clear" w:color="auto" w:fill="E7ECFC"/>
          </w:tcPr>
          <w:p>
            <w:pPr>
              <w:spacing w:after="0"/>
              <w:rPr>
                <w:sz w:val="18"/>
                <w:szCs w:val="18"/>
                <w:color w:val="auto"/>
              </w:rPr>
            </w:pPr>
          </w:p>
        </w:tc>
        <w:tc>
          <w:tcPr>
            <w:tcW w:w="620" w:type="dxa"/>
            <w:vAlign w:val="bottom"/>
            <w:gridSpan w:val="2"/>
            <w:shd w:val="clear" w:color="auto" w:fill="E7ECFC"/>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9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6"/>
                <w:szCs w:val="16"/>
                <w:color w:val="auto"/>
              </w:rPr>
              <w:t>183,642</w:t>
            </w:r>
          </w:p>
        </w:tc>
        <w:tc>
          <w:tcPr>
            <w:tcW w:w="5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70,332</w:t>
            </w:r>
          </w:p>
        </w:tc>
        <w:tc>
          <w:tcPr>
            <w:tcW w:w="260" w:type="dxa"/>
            <w:vAlign w:val="bottom"/>
            <w:shd w:val="clear" w:color="auto" w:fill="E7ECFC"/>
          </w:tcPr>
          <w:p>
            <w:pPr>
              <w:spacing w:after="0"/>
              <w:rPr>
                <w:sz w:val="18"/>
                <w:szCs w:val="18"/>
                <w:color w:val="auto"/>
              </w:rPr>
            </w:pPr>
          </w:p>
        </w:tc>
        <w:tc>
          <w:tcPr>
            <w:tcW w:w="80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28,597,250</w:t>
            </w:r>
          </w:p>
        </w:tc>
        <w:tc>
          <w:tcPr>
            <w:tcW w:w="460" w:type="dxa"/>
            <w:vAlign w:val="bottom"/>
            <w:shd w:val="clear" w:color="auto" w:fill="E7ECFC"/>
          </w:tcPr>
          <w:p>
            <w:pPr>
              <w:spacing w:after="0"/>
              <w:rPr>
                <w:sz w:val="18"/>
                <w:szCs w:val="18"/>
                <w:color w:val="auto"/>
              </w:rPr>
            </w:pPr>
          </w:p>
        </w:tc>
        <w:tc>
          <w:tcPr>
            <w:tcW w:w="1160" w:type="dxa"/>
            <w:vAlign w:val="bottom"/>
            <w:gridSpan w:val="2"/>
            <w:shd w:val="clear" w:color="auto" w:fill="E7EC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240" w:type="dxa"/>
            <w:vAlign w:val="bottom"/>
            <w:shd w:val="clear" w:color="auto" w:fill="E7ECFC"/>
          </w:tcPr>
          <w:p>
            <w:pPr>
              <w:spacing w:after="0"/>
              <w:rPr>
                <w:sz w:val="18"/>
                <w:szCs w:val="18"/>
                <w:color w:val="auto"/>
              </w:rPr>
            </w:pPr>
          </w:p>
        </w:tc>
        <w:tc>
          <w:tcPr>
            <w:tcW w:w="880" w:type="dxa"/>
            <w:vAlign w:val="bottom"/>
            <w:gridSpan w:val="2"/>
            <w:shd w:val="clear" w:color="auto" w:fill="E7ECFC"/>
          </w:tcPr>
          <w:p>
            <w:pPr>
              <w:jc w:val="right"/>
              <w:ind w:right="60"/>
              <w:spacing w:after="0"/>
              <w:rPr>
                <w:sz w:val="20"/>
                <w:szCs w:val="20"/>
                <w:color w:val="auto"/>
              </w:rPr>
            </w:pPr>
            <w:r>
              <w:rPr>
                <w:rFonts w:ascii="Times New Roman" w:cs="Times New Roman" w:eastAsia="Times New Roman" w:hAnsi="Times New Roman"/>
                <w:sz w:val="16"/>
                <w:szCs w:val="16"/>
                <w:color w:val="auto"/>
              </w:rPr>
              <w:t>28,857,903</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Jason Krantz</w:t>
            </w:r>
          </w:p>
        </w:tc>
        <w:tc>
          <w:tcPr>
            <w:tcW w:w="2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428,655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222,901</w:t>
            </w:r>
          </w:p>
        </w:tc>
        <w:tc>
          <w:tcPr>
            <w:tcW w:w="26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169,369</w:t>
            </w:r>
          </w:p>
        </w:tc>
        <w:tc>
          <w:tcPr>
            <w:tcW w:w="2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820,925</w:t>
            </w:r>
          </w:p>
        </w:tc>
        <w:tc>
          <w:tcPr>
            <w:tcW w:w="0" w:type="dxa"/>
            <w:vAlign w:val="bottom"/>
          </w:tcPr>
          <w:p>
            <w:pPr>
              <w:spacing w:after="0"/>
              <w:rPr>
                <w:sz w:val="1"/>
                <w:szCs w:val="1"/>
                <w:color w:val="auto"/>
              </w:rPr>
            </w:pPr>
          </w:p>
        </w:tc>
      </w:tr>
      <w:tr>
        <w:trPr>
          <w:trHeight w:val="202"/>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Executive Chairman, Director and Former Chief</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431,403</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5,200,011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291,485</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30,131</w:t>
            </w: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5,953,030</w:t>
            </w:r>
          </w:p>
        </w:tc>
        <w:tc>
          <w:tcPr>
            <w:tcW w:w="0" w:type="dxa"/>
            <w:vAlign w:val="bottom"/>
          </w:tcPr>
          <w:p>
            <w:pPr>
              <w:spacing w:after="0"/>
              <w:rPr>
                <w:sz w:val="1"/>
                <w:szCs w:val="1"/>
                <w:color w:val="auto"/>
              </w:rPr>
            </w:pPr>
          </w:p>
        </w:tc>
      </w:tr>
      <w:tr>
        <w:trPr>
          <w:trHeight w:val="217"/>
        </w:trPr>
        <w:tc>
          <w:tcPr>
            <w:tcW w:w="3740" w:type="dxa"/>
            <w:vAlign w:val="bottom"/>
            <w:gridSpan w:val="2"/>
          </w:tcPr>
          <w:p>
            <w:pPr>
              <w:ind w:left="160"/>
              <w:spacing w:after="0" w:line="217" w:lineRule="exact"/>
              <w:rPr>
                <w:sz w:val="20"/>
                <w:szCs w:val="20"/>
                <w:color w:val="auto"/>
              </w:rPr>
            </w:pPr>
            <w:r>
              <w:rPr>
                <w:rFonts w:ascii="Times New Roman" w:cs="Times New Roman" w:eastAsia="Times New Roman" w:hAnsi="Times New Roman"/>
                <w:sz w:val="16"/>
                <w:szCs w:val="16"/>
                <w:color w:val="auto"/>
              </w:rPr>
              <w:t>Executive Officer</w:t>
            </w:r>
            <w:r>
              <w:rPr>
                <w:rFonts w:ascii="Times New Roman" w:cs="Times New Roman" w:eastAsia="Times New Roman" w:hAnsi="Times New Roman"/>
                <w:sz w:val="24"/>
                <w:szCs w:val="24"/>
                <w:color w:val="auto"/>
                <w:vertAlign w:val="superscript"/>
              </w:rPr>
              <w:t>(7)</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2020</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420,250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310,770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29,677</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785,697</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E7ECFC"/>
          </w:tcPr>
          <w:p>
            <w:pPr>
              <w:spacing w:after="0" w:line="202" w:lineRule="exact"/>
              <w:rPr>
                <w:sz w:val="20"/>
                <w:szCs w:val="20"/>
                <w:color w:val="auto"/>
              </w:rPr>
            </w:pPr>
            <w:r>
              <w:rPr>
                <w:rFonts w:ascii="Times New Roman" w:cs="Times New Roman" w:eastAsia="Times New Roman" w:hAnsi="Times New Roman"/>
                <w:sz w:val="16"/>
                <w:szCs w:val="16"/>
                <w:color w:val="auto"/>
              </w:rPr>
              <w:t xml:space="preserve">Jonathan Maack, President </w:t>
            </w:r>
            <w:r>
              <w:rPr>
                <w:rFonts w:ascii="Times New Roman" w:cs="Times New Roman" w:eastAsia="Times New Roman" w:hAnsi="Times New Roman"/>
                <w:sz w:val="23"/>
                <w:szCs w:val="23"/>
                <w:color w:val="auto"/>
                <w:vertAlign w:val="superscript"/>
              </w:rPr>
              <w:t>(6)</w:t>
            </w:r>
          </w:p>
        </w:tc>
        <w:tc>
          <w:tcPr>
            <w:tcW w:w="840" w:type="dxa"/>
            <w:vAlign w:val="bottom"/>
            <w:gridSpan w:val="3"/>
            <w:shd w:val="clear" w:color="auto" w:fill="E7ECFC"/>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9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6"/>
                <w:szCs w:val="16"/>
                <w:color w:val="auto"/>
              </w:rPr>
              <w:t>61,538</w:t>
            </w:r>
          </w:p>
        </w:tc>
        <w:tc>
          <w:tcPr>
            <w:tcW w:w="5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46,027</w:t>
            </w:r>
          </w:p>
        </w:tc>
        <w:tc>
          <w:tcPr>
            <w:tcW w:w="260" w:type="dxa"/>
            <w:vAlign w:val="bottom"/>
            <w:shd w:val="clear" w:color="auto" w:fill="E7ECFC"/>
          </w:tcPr>
          <w:p>
            <w:pPr>
              <w:spacing w:after="0"/>
              <w:rPr>
                <w:sz w:val="17"/>
                <w:szCs w:val="17"/>
                <w:color w:val="auto"/>
              </w:rPr>
            </w:pPr>
          </w:p>
        </w:tc>
        <w:tc>
          <w:tcPr>
            <w:tcW w:w="80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7,555,370</w:t>
            </w:r>
          </w:p>
        </w:tc>
        <w:tc>
          <w:tcPr>
            <w:tcW w:w="460" w:type="dxa"/>
            <w:vAlign w:val="bottom"/>
            <w:shd w:val="clear" w:color="auto" w:fill="E7ECFC"/>
          </w:tcPr>
          <w:p>
            <w:pPr>
              <w:spacing w:after="0"/>
              <w:rPr>
                <w:sz w:val="17"/>
                <w:szCs w:val="17"/>
                <w:color w:val="auto"/>
              </w:rPr>
            </w:pPr>
          </w:p>
        </w:tc>
        <w:tc>
          <w:tcPr>
            <w:tcW w:w="1160" w:type="dxa"/>
            <w:vAlign w:val="bottom"/>
            <w:gridSpan w:val="2"/>
            <w:shd w:val="clear" w:color="auto" w:fill="E7EC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342,524</w:t>
            </w:r>
          </w:p>
        </w:tc>
        <w:tc>
          <w:tcPr>
            <w:tcW w:w="240" w:type="dxa"/>
            <w:vAlign w:val="bottom"/>
            <w:shd w:val="clear" w:color="auto" w:fill="E7ECFC"/>
          </w:tcPr>
          <w:p>
            <w:pPr>
              <w:spacing w:after="0"/>
              <w:rPr>
                <w:sz w:val="17"/>
                <w:szCs w:val="17"/>
                <w:color w:val="auto"/>
              </w:rPr>
            </w:pPr>
          </w:p>
        </w:tc>
        <w:tc>
          <w:tcPr>
            <w:tcW w:w="880" w:type="dxa"/>
            <w:vAlign w:val="bottom"/>
            <w:gridSpan w:val="2"/>
            <w:shd w:val="clear" w:color="auto" w:fill="E7ECFC"/>
          </w:tcPr>
          <w:p>
            <w:pPr>
              <w:jc w:val="right"/>
              <w:ind w:right="60"/>
              <w:spacing w:after="0"/>
              <w:rPr>
                <w:sz w:val="20"/>
                <w:szCs w:val="20"/>
                <w:color w:val="auto"/>
              </w:rPr>
            </w:pPr>
            <w:r>
              <w:rPr>
                <w:rFonts w:ascii="Times New Roman" w:cs="Times New Roman" w:eastAsia="Times New Roman" w:hAnsi="Times New Roman"/>
                <w:sz w:val="16"/>
                <w:szCs w:val="16"/>
                <w:color w:val="auto"/>
              </w:rPr>
              <w:t>8,005,459</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Booth</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350,000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183,422</w:t>
            </w:r>
          </w:p>
        </w:tc>
        <w:tc>
          <w:tcPr>
            <w:tcW w:w="26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2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562,441</w:t>
            </w:r>
          </w:p>
        </w:tc>
        <w:tc>
          <w:tcPr>
            <w:tcW w:w="0" w:type="dxa"/>
            <w:vAlign w:val="bottom"/>
          </w:tcPr>
          <w:p>
            <w:pPr>
              <w:spacing w:after="0"/>
              <w:rPr>
                <w:sz w:val="1"/>
                <w:szCs w:val="1"/>
                <w:color w:val="auto"/>
              </w:rPr>
            </w:pPr>
          </w:p>
        </w:tc>
      </w:tr>
      <w:tr>
        <w:trPr>
          <w:trHeight w:val="213"/>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Financial Officer</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279,327</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2,941,179</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28,791</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3,345,187</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E7ECFC"/>
          </w:tcPr>
          <w:p>
            <w:pPr>
              <w:spacing w:after="0"/>
              <w:rPr>
                <w:sz w:val="20"/>
                <w:szCs w:val="20"/>
                <w:color w:val="auto"/>
              </w:rPr>
            </w:pPr>
            <w:r>
              <w:rPr>
                <w:rFonts w:ascii="Times New Roman" w:cs="Times New Roman" w:eastAsia="Times New Roman" w:hAnsi="Times New Roman"/>
                <w:sz w:val="16"/>
                <w:szCs w:val="16"/>
                <w:color w:val="auto"/>
              </w:rPr>
              <w:t>Kate Shamsuddin Jensen</w:t>
            </w:r>
          </w:p>
        </w:tc>
        <w:tc>
          <w:tcPr>
            <w:tcW w:w="220" w:type="dxa"/>
            <w:vAlign w:val="bottom"/>
            <w:shd w:val="clear" w:color="auto" w:fill="E7ECFC"/>
          </w:tcPr>
          <w:p>
            <w:pPr>
              <w:spacing w:after="0"/>
              <w:rPr>
                <w:sz w:val="16"/>
                <w:szCs w:val="16"/>
                <w:color w:val="auto"/>
              </w:rPr>
            </w:pPr>
          </w:p>
        </w:tc>
        <w:tc>
          <w:tcPr>
            <w:tcW w:w="36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580" w:type="dxa"/>
            <w:vAlign w:val="bottom"/>
            <w:shd w:val="clear" w:color="auto" w:fill="E7ECFC"/>
          </w:tcPr>
          <w:p>
            <w:pPr>
              <w:spacing w:after="0"/>
              <w:rPr>
                <w:sz w:val="16"/>
                <w:szCs w:val="16"/>
                <w:color w:val="auto"/>
              </w:rPr>
            </w:pPr>
          </w:p>
        </w:tc>
        <w:tc>
          <w:tcPr>
            <w:tcW w:w="400" w:type="dxa"/>
            <w:vAlign w:val="bottom"/>
            <w:shd w:val="clear" w:color="auto" w:fill="E7ECFC"/>
          </w:tcPr>
          <w:p>
            <w:pPr>
              <w:spacing w:after="0"/>
              <w:rPr>
                <w:sz w:val="16"/>
                <w:szCs w:val="16"/>
                <w:color w:val="auto"/>
              </w:rPr>
            </w:pPr>
          </w:p>
        </w:tc>
        <w:tc>
          <w:tcPr>
            <w:tcW w:w="58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800" w:type="dxa"/>
            <w:vAlign w:val="bottom"/>
            <w:shd w:val="clear" w:color="auto" w:fill="E7ECFC"/>
          </w:tcPr>
          <w:p>
            <w:pPr>
              <w:spacing w:after="0"/>
              <w:rPr>
                <w:sz w:val="16"/>
                <w:szCs w:val="16"/>
                <w:color w:val="auto"/>
              </w:rPr>
            </w:pPr>
          </w:p>
        </w:tc>
        <w:tc>
          <w:tcPr>
            <w:tcW w:w="460" w:type="dxa"/>
            <w:vAlign w:val="bottom"/>
            <w:shd w:val="clear" w:color="auto" w:fill="E7ECFC"/>
          </w:tcPr>
          <w:p>
            <w:pPr>
              <w:spacing w:after="0"/>
              <w:rPr>
                <w:sz w:val="16"/>
                <w:szCs w:val="16"/>
                <w:color w:val="auto"/>
              </w:rPr>
            </w:pPr>
          </w:p>
        </w:tc>
        <w:tc>
          <w:tcPr>
            <w:tcW w:w="90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1080" w:type="dxa"/>
            <w:vAlign w:val="bottom"/>
            <w:shd w:val="clear" w:color="auto" w:fill="E7ECFC"/>
          </w:tcPr>
          <w:p>
            <w:pPr>
              <w:spacing w:after="0"/>
              <w:rPr>
                <w:sz w:val="16"/>
                <w:szCs w:val="16"/>
                <w:color w:val="auto"/>
              </w:rPr>
            </w:pPr>
          </w:p>
        </w:tc>
        <w:tc>
          <w:tcPr>
            <w:tcW w:w="240" w:type="dxa"/>
            <w:vAlign w:val="bottom"/>
            <w:shd w:val="clear" w:color="auto" w:fill="E7ECFC"/>
          </w:tcPr>
          <w:p>
            <w:pPr>
              <w:spacing w:after="0"/>
              <w:rPr>
                <w:sz w:val="16"/>
                <w:szCs w:val="16"/>
                <w:color w:val="auto"/>
              </w:rPr>
            </w:pPr>
          </w:p>
        </w:tc>
        <w:tc>
          <w:tcPr>
            <w:tcW w:w="820" w:type="dxa"/>
            <w:vAlign w:val="bottom"/>
            <w:shd w:val="clear" w:color="auto" w:fill="E7ECFC"/>
          </w:tcPr>
          <w:p>
            <w:pPr>
              <w:spacing w:after="0"/>
              <w:rPr>
                <w:sz w:val="16"/>
                <w:szCs w:val="16"/>
                <w:color w:val="auto"/>
              </w:rPr>
            </w:pPr>
          </w:p>
        </w:tc>
        <w:tc>
          <w:tcPr>
            <w:tcW w:w="60" w:type="dxa"/>
            <w:vAlign w:val="bottom"/>
            <w:shd w:val="clear" w:color="auto" w:fill="E7EC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E7ECFC"/>
          </w:tcPr>
          <w:p>
            <w:pPr>
              <w:ind w:left="160"/>
              <w:spacing w:after="0"/>
              <w:rPr>
                <w:sz w:val="20"/>
                <w:szCs w:val="20"/>
                <w:color w:val="auto"/>
              </w:rPr>
            </w:pPr>
            <w:r>
              <w:rPr>
                <w:rFonts w:ascii="Times New Roman" w:cs="Times New Roman" w:eastAsia="Times New Roman" w:hAnsi="Times New Roman"/>
                <w:sz w:val="16"/>
                <w:szCs w:val="16"/>
                <w:color w:val="auto"/>
              </w:rPr>
              <w:t>Chief Product Officer</w:t>
            </w:r>
          </w:p>
        </w:tc>
        <w:tc>
          <w:tcPr>
            <w:tcW w:w="840" w:type="dxa"/>
            <w:vAlign w:val="bottom"/>
            <w:gridSpan w:val="3"/>
            <w:shd w:val="clear" w:color="auto" w:fill="E7ECFC"/>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9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6"/>
                <w:szCs w:val="16"/>
                <w:color w:val="auto"/>
              </w:rPr>
              <w:t>300,000</w:t>
            </w:r>
          </w:p>
        </w:tc>
        <w:tc>
          <w:tcPr>
            <w:tcW w:w="5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80,938</w:t>
            </w:r>
          </w:p>
        </w:tc>
        <w:tc>
          <w:tcPr>
            <w:tcW w:w="260" w:type="dxa"/>
            <w:vAlign w:val="bottom"/>
            <w:shd w:val="clear" w:color="auto" w:fill="E7ECFC"/>
          </w:tcPr>
          <w:p>
            <w:pPr>
              <w:spacing w:after="0"/>
              <w:rPr>
                <w:sz w:val="18"/>
                <w:szCs w:val="18"/>
                <w:color w:val="auto"/>
              </w:rPr>
            </w:pPr>
          </w:p>
        </w:tc>
        <w:tc>
          <w:tcPr>
            <w:tcW w:w="1260" w:type="dxa"/>
            <w:vAlign w:val="bottom"/>
            <w:gridSpan w:val="2"/>
            <w:shd w:val="clear" w:color="auto" w:fill="E7ECFC"/>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E7EC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12,321</w:t>
            </w:r>
          </w:p>
        </w:tc>
        <w:tc>
          <w:tcPr>
            <w:tcW w:w="240" w:type="dxa"/>
            <w:vAlign w:val="bottom"/>
            <w:shd w:val="clear" w:color="auto" w:fill="E7ECFC"/>
          </w:tcPr>
          <w:p>
            <w:pPr>
              <w:spacing w:after="0"/>
              <w:rPr>
                <w:sz w:val="18"/>
                <w:szCs w:val="18"/>
                <w:color w:val="auto"/>
              </w:rPr>
            </w:pPr>
          </w:p>
        </w:tc>
        <w:tc>
          <w:tcPr>
            <w:tcW w:w="880" w:type="dxa"/>
            <w:vAlign w:val="bottom"/>
            <w:gridSpan w:val="2"/>
            <w:shd w:val="clear" w:color="auto" w:fill="E7ECFC"/>
          </w:tcPr>
          <w:p>
            <w:pPr>
              <w:jc w:val="right"/>
              <w:ind w:right="60"/>
              <w:spacing w:after="0"/>
              <w:rPr>
                <w:sz w:val="20"/>
                <w:szCs w:val="20"/>
                <w:color w:val="auto"/>
              </w:rPr>
            </w:pPr>
            <w:r>
              <w:rPr>
                <w:rFonts w:ascii="Times New Roman" w:cs="Times New Roman" w:eastAsia="Times New Roman" w:hAnsi="Times New Roman"/>
                <w:sz w:val="16"/>
                <w:szCs w:val="16"/>
                <w:color w:val="auto"/>
              </w:rPr>
              <w:t>393,259</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Joseph Mirisola</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6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12,200</w:t>
            </w:r>
          </w:p>
        </w:tc>
        <w:tc>
          <w:tcPr>
            <w:tcW w:w="2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402,200</w:t>
            </w:r>
          </w:p>
        </w:tc>
        <w:tc>
          <w:tcPr>
            <w:tcW w:w="0" w:type="dxa"/>
            <w:vAlign w:val="bottom"/>
          </w:tcPr>
          <w:p>
            <w:pPr>
              <w:spacing w:after="0"/>
              <w:rPr>
                <w:sz w:val="1"/>
                <w:szCs w:val="1"/>
                <w:color w:val="auto"/>
              </w:rPr>
            </w:pPr>
          </w:p>
        </w:tc>
      </w:tr>
      <w:tr>
        <w:trPr>
          <w:trHeight w:val="203"/>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Revenue Officer</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288,898</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2,050,002</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11,870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2,550,770</w:t>
            </w:r>
          </w:p>
        </w:tc>
        <w:tc>
          <w:tcPr>
            <w:tcW w:w="0" w:type="dxa"/>
            <w:vAlign w:val="bottom"/>
          </w:tcPr>
          <w:p>
            <w:pPr>
              <w:spacing w:after="0"/>
              <w:rPr>
                <w:sz w:val="1"/>
                <w:szCs w:val="1"/>
                <w:color w:val="auto"/>
              </w:rPr>
            </w:pPr>
          </w:p>
        </w:tc>
      </w:tr>
      <w:tr>
        <w:trPr>
          <w:trHeight w:val="213"/>
        </w:trPr>
        <w:tc>
          <w:tcPr>
            <w:tcW w:w="1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2020</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275,000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11,670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511,670</w:t>
            </w:r>
          </w:p>
        </w:tc>
        <w:tc>
          <w:tcPr>
            <w:tcW w:w="0" w:type="dxa"/>
            <w:vAlign w:val="bottom"/>
          </w:tcPr>
          <w:p>
            <w:pPr>
              <w:spacing w:after="0"/>
              <w:rPr>
                <w:sz w:val="1"/>
                <w:szCs w:val="1"/>
                <w:color w:val="auto"/>
              </w:rPr>
            </w:pPr>
          </w:p>
        </w:tc>
      </w:tr>
      <w:tr>
        <w:trPr>
          <w:trHeight w:val="191"/>
        </w:trPr>
        <w:tc>
          <w:tcPr>
            <w:tcW w:w="3740" w:type="dxa"/>
            <w:vAlign w:val="bottom"/>
            <w:gridSpan w:val="2"/>
            <w:shd w:val="clear" w:color="auto" w:fill="E7ECFC"/>
          </w:tcPr>
          <w:p>
            <w:pPr>
              <w:spacing w:after="0"/>
              <w:rPr>
                <w:sz w:val="20"/>
                <w:szCs w:val="20"/>
                <w:color w:val="auto"/>
              </w:rPr>
            </w:pPr>
            <w:r>
              <w:rPr>
                <w:rFonts w:ascii="Times New Roman" w:cs="Times New Roman" w:eastAsia="Times New Roman" w:hAnsi="Times New Roman"/>
                <w:sz w:val="16"/>
                <w:szCs w:val="16"/>
                <w:color w:val="auto"/>
              </w:rPr>
              <w:t>David Samuels</w:t>
            </w:r>
          </w:p>
        </w:tc>
        <w:tc>
          <w:tcPr>
            <w:tcW w:w="220" w:type="dxa"/>
            <w:vAlign w:val="bottom"/>
            <w:shd w:val="clear" w:color="auto" w:fill="E7ECFC"/>
          </w:tcPr>
          <w:p>
            <w:pPr>
              <w:spacing w:after="0"/>
              <w:rPr>
                <w:sz w:val="16"/>
                <w:szCs w:val="16"/>
                <w:color w:val="auto"/>
              </w:rPr>
            </w:pPr>
          </w:p>
        </w:tc>
        <w:tc>
          <w:tcPr>
            <w:tcW w:w="36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580" w:type="dxa"/>
            <w:vAlign w:val="bottom"/>
            <w:shd w:val="clear" w:color="auto" w:fill="E7ECFC"/>
          </w:tcPr>
          <w:p>
            <w:pPr>
              <w:spacing w:after="0"/>
              <w:rPr>
                <w:sz w:val="16"/>
                <w:szCs w:val="16"/>
                <w:color w:val="auto"/>
              </w:rPr>
            </w:pPr>
          </w:p>
        </w:tc>
        <w:tc>
          <w:tcPr>
            <w:tcW w:w="400" w:type="dxa"/>
            <w:vAlign w:val="bottom"/>
            <w:shd w:val="clear" w:color="auto" w:fill="E7ECFC"/>
          </w:tcPr>
          <w:p>
            <w:pPr>
              <w:spacing w:after="0"/>
              <w:rPr>
                <w:sz w:val="16"/>
                <w:szCs w:val="16"/>
                <w:color w:val="auto"/>
              </w:rPr>
            </w:pPr>
          </w:p>
        </w:tc>
        <w:tc>
          <w:tcPr>
            <w:tcW w:w="58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800" w:type="dxa"/>
            <w:vAlign w:val="bottom"/>
            <w:shd w:val="clear" w:color="auto" w:fill="E7ECFC"/>
          </w:tcPr>
          <w:p>
            <w:pPr>
              <w:spacing w:after="0"/>
              <w:rPr>
                <w:sz w:val="16"/>
                <w:szCs w:val="16"/>
                <w:color w:val="auto"/>
              </w:rPr>
            </w:pPr>
          </w:p>
        </w:tc>
        <w:tc>
          <w:tcPr>
            <w:tcW w:w="460" w:type="dxa"/>
            <w:vAlign w:val="bottom"/>
            <w:shd w:val="clear" w:color="auto" w:fill="E7ECFC"/>
          </w:tcPr>
          <w:p>
            <w:pPr>
              <w:spacing w:after="0"/>
              <w:rPr>
                <w:sz w:val="16"/>
                <w:szCs w:val="16"/>
                <w:color w:val="auto"/>
              </w:rPr>
            </w:pPr>
          </w:p>
        </w:tc>
        <w:tc>
          <w:tcPr>
            <w:tcW w:w="90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1080" w:type="dxa"/>
            <w:vAlign w:val="bottom"/>
            <w:shd w:val="clear" w:color="auto" w:fill="E7ECFC"/>
          </w:tcPr>
          <w:p>
            <w:pPr>
              <w:spacing w:after="0"/>
              <w:rPr>
                <w:sz w:val="16"/>
                <w:szCs w:val="16"/>
                <w:color w:val="auto"/>
              </w:rPr>
            </w:pPr>
          </w:p>
        </w:tc>
        <w:tc>
          <w:tcPr>
            <w:tcW w:w="240" w:type="dxa"/>
            <w:vAlign w:val="bottom"/>
            <w:shd w:val="clear" w:color="auto" w:fill="E7ECFC"/>
          </w:tcPr>
          <w:p>
            <w:pPr>
              <w:spacing w:after="0"/>
              <w:rPr>
                <w:sz w:val="16"/>
                <w:szCs w:val="16"/>
                <w:color w:val="auto"/>
              </w:rPr>
            </w:pPr>
          </w:p>
        </w:tc>
        <w:tc>
          <w:tcPr>
            <w:tcW w:w="820" w:type="dxa"/>
            <w:vAlign w:val="bottom"/>
            <w:shd w:val="clear" w:color="auto" w:fill="E7ECFC"/>
          </w:tcPr>
          <w:p>
            <w:pPr>
              <w:spacing w:after="0"/>
              <w:rPr>
                <w:sz w:val="16"/>
                <w:szCs w:val="16"/>
                <w:color w:val="auto"/>
              </w:rPr>
            </w:pPr>
          </w:p>
        </w:tc>
        <w:tc>
          <w:tcPr>
            <w:tcW w:w="60" w:type="dxa"/>
            <w:vAlign w:val="bottom"/>
            <w:shd w:val="clear" w:color="auto" w:fill="E7EC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40" w:type="dxa"/>
            <w:vAlign w:val="bottom"/>
            <w:gridSpan w:val="2"/>
            <w:shd w:val="clear" w:color="auto" w:fill="E7ECFC"/>
          </w:tcPr>
          <w:p>
            <w:pPr>
              <w:ind w:left="160"/>
              <w:spacing w:after="0" w:line="217" w:lineRule="exact"/>
              <w:rPr>
                <w:sz w:val="20"/>
                <w:szCs w:val="20"/>
                <w:color w:val="auto"/>
              </w:rPr>
            </w:pPr>
            <w:r>
              <w:rPr>
                <w:rFonts w:ascii="Times New Roman" w:cs="Times New Roman" w:eastAsia="Times New Roman" w:hAnsi="Times New Roman"/>
                <w:sz w:val="16"/>
                <w:szCs w:val="16"/>
                <w:color w:val="auto"/>
              </w:rPr>
              <w:t>Former Chief Legal Officer</w:t>
            </w:r>
            <w:r>
              <w:rPr>
                <w:rFonts w:ascii="Times New Roman" w:cs="Times New Roman" w:eastAsia="Times New Roman" w:hAnsi="Times New Roman"/>
                <w:sz w:val="24"/>
                <w:szCs w:val="24"/>
                <w:color w:val="auto"/>
                <w:vertAlign w:val="superscript"/>
              </w:rPr>
              <w:t>(8)</w:t>
            </w:r>
          </w:p>
        </w:tc>
        <w:tc>
          <w:tcPr>
            <w:tcW w:w="840" w:type="dxa"/>
            <w:vAlign w:val="bottom"/>
            <w:gridSpan w:val="3"/>
            <w:shd w:val="clear" w:color="auto" w:fill="E7ECFC"/>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980" w:type="dxa"/>
            <w:vAlign w:val="bottom"/>
            <w:gridSpan w:val="2"/>
            <w:shd w:val="clear" w:color="auto" w:fill="E7ECFC"/>
          </w:tcPr>
          <w:p>
            <w:pPr>
              <w:jc w:val="right"/>
              <w:ind w:right="260"/>
              <w:spacing w:after="0" w:line="217" w:lineRule="exact"/>
              <w:rPr>
                <w:sz w:val="20"/>
                <w:szCs w:val="20"/>
                <w:color w:val="auto"/>
              </w:rPr>
            </w:pPr>
            <w:r>
              <w:rPr>
                <w:rFonts w:ascii="Times New Roman" w:cs="Times New Roman" w:eastAsia="Times New Roman" w:hAnsi="Times New Roman"/>
                <w:sz w:val="16"/>
                <w:szCs w:val="16"/>
                <w:color w:val="auto"/>
                <w:w w:val="98"/>
              </w:rPr>
              <w:t>318,005</w:t>
            </w:r>
            <w:r>
              <w:rPr>
                <w:rFonts w:ascii="Times New Roman" w:cs="Times New Roman" w:eastAsia="Times New Roman" w:hAnsi="Times New Roman"/>
                <w:sz w:val="24"/>
                <w:szCs w:val="24"/>
                <w:color w:val="auto"/>
                <w:w w:val="98"/>
                <w:vertAlign w:val="superscript"/>
              </w:rPr>
              <w:t>(9)</w:t>
            </w:r>
          </w:p>
        </w:tc>
        <w:tc>
          <w:tcPr>
            <w:tcW w:w="840" w:type="dxa"/>
            <w:vAlign w:val="bottom"/>
            <w:gridSpan w:val="2"/>
            <w:shd w:val="clear" w:color="auto" w:fill="E7ECFC"/>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7ECFC"/>
          </w:tcPr>
          <w:p>
            <w:pPr>
              <w:jc w:val="right"/>
              <w:ind w:right="260"/>
              <w:spacing w:after="0" w:line="217" w:lineRule="exact"/>
              <w:rPr>
                <w:sz w:val="20"/>
                <w:szCs w:val="20"/>
                <w:color w:val="auto"/>
              </w:rPr>
            </w:pPr>
            <w:r>
              <w:rPr>
                <w:rFonts w:ascii="Times New Roman" w:cs="Times New Roman" w:eastAsia="Times New Roman" w:hAnsi="Times New Roman"/>
                <w:sz w:val="16"/>
                <w:szCs w:val="16"/>
                <w:color w:val="auto"/>
              </w:rPr>
              <w:t>1,764,913</w:t>
            </w:r>
            <w:r>
              <w:rPr>
                <w:rFonts w:ascii="Times New Roman" w:cs="Times New Roman" w:eastAsia="Times New Roman" w:hAnsi="Times New Roman"/>
                <w:sz w:val="24"/>
                <w:szCs w:val="24"/>
                <w:color w:val="auto"/>
                <w:vertAlign w:val="superscript"/>
              </w:rPr>
              <w:t>(10)</w:t>
            </w:r>
          </w:p>
        </w:tc>
        <w:tc>
          <w:tcPr>
            <w:tcW w:w="1160" w:type="dxa"/>
            <w:vAlign w:val="bottom"/>
            <w:gridSpan w:val="2"/>
            <w:shd w:val="clear" w:color="auto" w:fill="E7EC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488,129</w:t>
            </w:r>
          </w:p>
        </w:tc>
        <w:tc>
          <w:tcPr>
            <w:tcW w:w="240" w:type="dxa"/>
            <w:vAlign w:val="bottom"/>
            <w:shd w:val="clear" w:color="auto" w:fill="E7ECFC"/>
          </w:tcPr>
          <w:p>
            <w:pPr>
              <w:spacing w:after="0"/>
              <w:rPr>
                <w:sz w:val="18"/>
                <w:szCs w:val="18"/>
                <w:color w:val="auto"/>
              </w:rPr>
            </w:pPr>
          </w:p>
        </w:tc>
        <w:tc>
          <w:tcPr>
            <w:tcW w:w="880" w:type="dxa"/>
            <w:vAlign w:val="bottom"/>
            <w:gridSpan w:val="2"/>
            <w:shd w:val="clear" w:color="auto" w:fill="E7ECFC"/>
          </w:tcPr>
          <w:p>
            <w:pPr>
              <w:jc w:val="right"/>
              <w:ind w:right="60"/>
              <w:spacing w:after="0"/>
              <w:rPr>
                <w:sz w:val="20"/>
                <w:szCs w:val="20"/>
                <w:color w:val="auto"/>
              </w:rPr>
            </w:pPr>
            <w:r>
              <w:rPr>
                <w:rFonts w:ascii="Times New Roman" w:cs="Times New Roman" w:eastAsia="Times New Roman" w:hAnsi="Times New Roman"/>
                <w:sz w:val="16"/>
                <w:szCs w:val="16"/>
                <w:color w:val="auto"/>
              </w:rPr>
              <w:t>2,571,047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Musslewhite for 2021, salary includes $17,352 in director fees earned in 2021 and $60,690 in consulting fees earned in 2021.</w:t>
      </w:r>
    </w:p>
    <w:p>
      <w:pPr>
        <w:spacing w:after="0" w:line="26" w:lineRule="exact"/>
        <w:rPr>
          <w:rFonts w:ascii="Times New Roman" w:cs="Times New Roman" w:eastAsia="Times New Roman" w:hAnsi="Times New Roman"/>
          <w:sz w:val="16"/>
          <w:szCs w:val="16"/>
          <w:color w:val="auto"/>
        </w:rPr>
      </w:pPr>
    </w:p>
    <w:p>
      <w:pPr>
        <w:ind w:left="424" w:right="60" w:hanging="424"/>
        <w:spacing w:after="0" w:line="264" w:lineRule="auto"/>
        <w:tabs>
          <w:tab w:leader="none" w:pos="42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NEOs other than Mr. Maack, for 2022, represents cash awards paid in respect of the Company’s overall financial performance and strategic achievements during the fiscal year. For Mr. Maack for 2022, equals a guaranteed cash bonus amount equal to 70% of his base salary, pro-rated based on his service as President from November 3, 2022 through the end of the year, granted in connection with his appointment as President.</w:t>
      </w:r>
    </w:p>
    <w:p>
      <w:pPr>
        <w:ind w:left="424" w:right="120" w:hanging="424"/>
        <w:spacing w:after="0" w:line="264" w:lineRule="auto"/>
        <w:tabs>
          <w:tab w:leader="none" w:pos="42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date fair value of equity awards granted to our NEOs under our 2021 Equity Incentive Plan and 2019 Equity Incentive Plan during the relevant years computed in accordance with ASC Topic 718. The valuation assumptions associated with such awards are discussed in Note 17 to the Company’s consolidated financial statements included in the Company’s Annual Report on Form 10-K for the fiscal year ending December 31, 2022. Since the PSUs granted to Mr. Musslewhite in May 2022 (the “Promotion PSUs”) vest based on relative TSR, they are subject to market conditions and not performance conditions, as defined under ASC Topic 718, and therefore have no maximum grant date fair values that differ from the grant date fair values reported in this column. These amounts do not reflect the actual economic value that will be realized by the named executive officers upon the vesting of the RSUs or PSUs or the sale of any common stock acquired under such RSUs or PSUs. For a description of equity awards granted in 2022, see the “Grant of Plan-Based Awards Table” below.</w:t>
      </w:r>
    </w:p>
    <w:p>
      <w:pPr>
        <w:ind w:left="424" w:right="80" w:hanging="424"/>
        <w:spacing w:after="0" w:line="264" w:lineRule="auto"/>
        <w:tabs>
          <w:tab w:leader="none" w:pos="42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to our NEOs included in the “All Other Compensation” column for 2022 include the following: (i) for Mr. Musslewhite, 401(k) matching contributions, health insurance premiums of $15,014, and $36,632 in reimbursed legal fees, (ii) for Mr. Krantz, 401(k) matching contributions of $12,200, life insurance premiums, health insurance premiums of $22,430, short- and long-term disability insurance premiums, reimbursed legal fees, and $125,000 in filing fees paid by the Company pursuant to the notification requirements of the Hart-Scott-Rodino Antitrust Improvements Act of 1976, (iii) for Mr. Booth, 401(k) matching contributions and health insurance premiums of $21,805, (iv) for Ms. Shamsuddin, 401(k) matching contributions and health insurance premiums, (v) for</w:t>
      </w:r>
    </w:p>
    <w:p>
      <w:pPr>
        <w:ind w:left="42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Mirisola, 401(k) matching contributions of $12,200, (vi) for Mr. Maack, health insurance premiums and, in connection with his appointment as</w:t>
      </w:r>
    </w:p>
    <w:p>
      <w:pPr>
        <w:spacing w:after="0" w:line="1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4"/>
          </w:cols>
          <w:pgMar w:left="436" w:top="293" w:right="439" w:bottom="1440" w:gutter="0" w:footer="0" w:header="0"/>
        </w:sectPr>
      </w:pPr>
    </w:p>
    <w:bookmarkStart w:id="44" w:name="page45"/>
    <w:bookmarkEnd w:id="44"/>
    <w:p>
      <w:pPr>
        <w:ind w:left="424" w:right="40"/>
        <w:spacing w:after="0" w:line="26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President, a lump-sum relocation payment of $330,000 and $12,524 in reimbursed legal fees, and (vii) for Mr. Samuels, 401(k) matching contributions of $12,200, health insurance premiums of $21,805, and an aggregate of $454,124 in cash severance payments, including $262,500 representing 39 weeks of salary, $174,016 representing a bonus payment for 2022, and $17,608 representing 9 months of Company-paid COBRA premiums.</w:t>
      </w:r>
    </w:p>
    <w:p>
      <w:pPr>
        <w:spacing w:after="0" w:line="1"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Musslewhite has served as Chief Executive Officer since August 1, 2022, and previously served as President since October 7, 2021.</w:t>
      </w:r>
    </w:p>
    <w:p>
      <w:pPr>
        <w:spacing w:after="0" w:line="18" w:lineRule="exact"/>
        <w:rPr>
          <w:rFonts w:ascii="Times New Roman" w:cs="Times New Roman" w:eastAsia="Times New Roman" w:hAnsi="Times New Roman"/>
          <w:sz w:val="16"/>
          <w:szCs w:val="16"/>
          <w:color w:val="auto"/>
        </w:rPr>
      </w:pPr>
    </w:p>
    <w:p>
      <w:pPr>
        <w:ind w:left="424" w:hanging="424"/>
        <w:spacing w:after="0"/>
        <w:tabs>
          <w:tab w:leader="none" w:pos="42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Krantz has served as Executive Chairman since August 1, 2022, and previously served as Chief Executive Officer since February 2011.</w:t>
      </w:r>
    </w:p>
    <w:p>
      <w:pPr>
        <w:spacing w:after="0" w:line="18" w:lineRule="exact"/>
        <w:rPr>
          <w:rFonts w:ascii="Times New Roman" w:cs="Times New Roman" w:eastAsia="Times New Roman" w:hAnsi="Times New Roman"/>
          <w:sz w:val="16"/>
          <w:szCs w:val="16"/>
          <w:color w:val="auto"/>
        </w:rPr>
      </w:pPr>
    </w:p>
    <w:p>
      <w:pPr>
        <w:ind w:left="424" w:hanging="424"/>
        <w:spacing w:after="0"/>
        <w:tabs>
          <w:tab w:leader="none" w:pos="42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Maack has served as President since November 2022.</w:t>
      </w:r>
    </w:p>
    <w:p>
      <w:pPr>
        <w:spacing w:after="0" w:line="18" w:lineRule="exact"/>
        <w:rPr>
          <w:rFonts w:ascii="Times New Roman" w:cs="Times New Roman" w:eastAsia="Times New Roman" w:hAnsi="Times New Roman"/>
          <w:sz w:val="16"/>
          <w:szCs w:val="16"/>
          <w:color w:val="auto"/>
        </w:rPr>
      </w:pPr>
    </w:p>
    <w:p>
      <w:pPr>
        <w:ind w:left="424" w:right="640" w:hanging="424"/>
        <w:spacing w:after="0" w:line="264" w:lineRule="auto"/>
        <w:tabs>
          <w:tab w:leader="none" w:pos="42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Samuels transitioned to part-time effective November 12, 2022, transitioned out of the Chief Legal Officer role effective November 15, 2022, and his employment with the Company ended on December 31, 2022.</w:t>
      </w:r>
    </w:p>
    <w:p>
      <w:pPr>
        <w:ind w:left="424" w:hanging="424"/>
        <w:spacing w:after="0"/>
        <w:tabs>
          <w:tab w:leader="none" w:pos="42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base salary earned by Mr. Samuels with respect to his full-time employment through November 11, 2022.</w:t>
      </w:r>
    </w:p>
    <w:p>
      <w:pPr>
        <w:spacing w:after="0" w:line="18" w:lineRule="exact"/>
        <w:rPr>
          <w:rFonts w:ascii="Times New Roman" w:cs="Times New Roman" w:eastAsia="Times New Roman" w:hAnsi="Times New Roman"/>
          <w:sz w:val="16"/>
          <w:szCs w:val="16"/>
          <w:color w:val="auto"/>
        </w:rPr>
      </w:pPr>
    </w:p>
    <w:p>
      <w:pPr>
        <w:ind w:left="424" w:right="260" w:hanging="424"/>
        <w:spacing w:after="0" w:line="288" w:lineRule="auto"/>
        <w:tabs>
          <w:tab w:leader="none" w:pos="42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incremental fair value, as of the modification date in accordance with ASC Topic 718, with respect to the accelerated vesting of certain RSUs and LLC Units (as defined below) in connection with Mr. Samuels’ transition out of the Chief Legal Officer role and the end of his employment with the Company.</w:t>
      </w: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Grant of Plan-Based Awards Table</w:t>
      </w:r>
    </w:p>
    <w:p>
      <w:pPr>
        <w:spacing w:after="0" w:line="24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5"/>
          </w:tcPr>
          <w:p>
            <w:pPr>
              <w:jc w:val="center"/>
              <w:ind w:left="531"/>
              <w:spacing w:after="0"/>
              <w:rPr>
                <w:sz w:val="20"/>
                <w:szCs w:val="20"/>
                <w:color w:val="auto"/>
              </w:rPr>
            </w:pPr>
            <w:r>
              <w:rPr>
                <w:rFonts w:ascii="Times New Roman" w:cs="Times New Roman" w:eastAsia="Times New Roman" w:hAnsi="Times New Roman"/>
                <w:sz w:val="13"/>
                <w:szCs w:val="13"/>
                <w:b w:val="1"/>
                <w:bCs w:val="1"/>
                <w:color w:val="auto"/>
                <w:w w:val="98"/>
              </w:rPr>
              <w:t>Estimated Future</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jc w:val="center"/>
              <w:ind w:left="570"/>
              <w:spacing w:after="0"/>
              <w:rPr>
                <w:sz w:val="20"/>
                <w:szCs w:val="20"/>
                <w:color w:val="auto"/>
              </w:rPr>
            </w:pPr>
            <w:r>
              <w:rPr>
                <w:rFonts w:ascii="Times New Roman" w:cs="Times New Roman" w:eastAsia="Times New Roman" w:hAnsi="Times New Roman"/>
                <w:sz w:val="13"/>
                <w:szCs w:val="13"/>
                <w:b w:val="1"/>
                <w:bCs w:val="1"/>
                <w:color w:val="auto"/>
                <w:w w:val="96"/>
              </w:rPr>
              <w:t>Estimated Future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7"/>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Payouts Under Non-</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Payouts Under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Incentive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4"/>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9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1"/>
                <w:szCs w:val="11"/>
                <w:b w:val="1"/>
                <w:bCs w:val="1"/>
                <w:color w:val="auto"/>
              </w:rPr>
              <w:t>Plan Awards</w:t>
            </w:r>
            <w:r>
              <w:rPr>
                <w:rFonts w:ascii="Times New Roman" w:cs="Times New Roman" w:eastAsia="Times New Roman" w:hAnsi="Times New Roman"/>
                <w:sz w:val="15"/>
                <w:szCs w:val="15"/>
                <w:b w:val="1"/>
                <w:bCs w:val="1"/>
                <w:color w:val="auto"/>
                <w:vertAlign w:val="superscript"/>
              </w:rPr>
              <w:t>(1)</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4"/>
          </w:tcPr>
          <w:p>
            <w:pPr>
              <w:jc w:val="center"/>
              <w:ind w:right="20"/>
              <w:spacing w:after="0" w:line="135" w:lineRule="exact"/>
              <w:rPr>
                <w:sz w:val="20"/>
                <w:szCs w:val="20"/>
                <w:color w:val="auto"/>
              </w:rPr>
            </w:pPr>
            <w:r>
              <w:rPr>
                <w:rFonts w:ascii="Times New Roman" w:cs="Times New Roman" w:eastAsia="Times New Roman" w:hAnsi="Times New Roman"/>
                <w:sz w:val="11"/>
                <w:szCs w:val="11"/>
                <w:b w:val="1"/>
                <w:bCs w:val="1"/>
                <w:color w:val="auto"/>
              </w:rPr>
              <w:t>Plan Awards</w:t>
            </w:r>
            <w:r>
              <w:rPr>
                <w:rFonts w:ascii="Times New Roman" w:cs="Times New Roman" w:eastAsia="Times New Roman" w:hAnsi="Times New Roman"/>
                <w:sz w:val="15"/>
                <w:szCs w:val="15"/>
                <w:b w:val="1"/>
                <w:bCs w:val="1"/>
                <w:color w:val="auto"/>
                <w:vertAlign w:val="superscript"/>
              </w:rPr>
              <w:t>(2)</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9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jc w:val="center"/>
              <w:ind w:right="160"/>
              <w:spacing w:after="0" w:line="11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920" w:type="dxa"/>
            <w:vAlign w:val="bottom"/>
            <w:gridSpan w:val="2"/>
            <w:vMerge w:val="restart"/>
          </w:tcPr>
          <w:p>
            <w:pPr>
              <w:jc w:val="center"/>
              <w:ind w:right="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144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Approval</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40" w:type="dxa"/>
            <w:vAlign w:val="bottom"/>
          </w:tcPr>
          <w:p>
            <w:pPr>
              <w:spacing w:after="0"/>
              <w:rPr>
                <w:sz w:val="11"/>
                <w:szCs w:val="11"/>
                <w:color w:val="auto"/>
              </w:rPr>
            </w:pPr>
          </w:p>
        </w:tc>
        <w:tc>
          <w:tcPr>
            <w:tcW w:w="78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7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40" w:type="dxa"/>
            <w:vAlign w:val="bottom"/>
          </w:tcPr>
          <w:p>
            <w:pPr>
              <w:spacing w:after="0"/>
              <w:rPr>
                <w:sz w:val="11"/>
                <w:szCs w:val="11"/>
                <w:color w:val="auto"/>
              </w:rPr>
            </w:pPr>
          </w:p>
        </w:tc>
        <w:tc>
          <w:tcPr>
            <w:tcW w:w="7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1"/>
                <w:szCs w:val="11"/>
                <w:b w:val="1"/>
                <w:bCs w:val="1"/>
                <w:color w:val="auto"/>
              </w:rPr>
              <w:t>or Units</w:t>
            </w:r>
            <w:r>
              <w:rPr>
                <w:rFonts w:ascii="Times New Roman" w:cs="Times New Roman" w:eastAsia="Times New Roman" w:hAnsi="Times New Roman"/>
                <w:sz w:val="15"/>
                <w:szCs w:val="15"/>
                <w:b w:val="1"/>
                <w:bCs w:val="1"/>
                <w:color w:val="auto"/>
                <w:vertAlign w:val="superscript"/>
              </w:rPr>
              <w:t>(3)</w:t>
            </w:r>
          </w:p>
        </w:tc>
        <w:tc>
          <w:tcPr>
            <w:tcW w:w="9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5"/>
                <w:szCs w:val="15"/>
                <w:b w:val="1"/>
                <w:bCs w:val="1"/>
                <w:color w:val="auto"/>
                <w:vertAlign w:val="superscript"/>
              </w:rPr>
              <w:t>(4)</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Award Type</w:t>
            </w:r>
          </w:p>
        </w:tc>
        <w:tc>
          <w:tcPr>
            <w:tcW w:w="8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8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6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left="72"/>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6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4"/>
                <w:szCs w:val="14"/>
                <w:color w:val="auto"/>
              </w:rPr>
            </w:pPr>
          </w:p>
        </w:tc>
        <w:tc>
          <w:tcPr>
            <w:tcW w:w="720" w:type="dxa"/>
            <w:vAlign w:val="bottom"/>
            <w:gridSpan w:val="2"/>
          </w:tcPr>
          <w:p>
            <w:pPr>
              <w:jc w:val="center"/>
              <w:ind w:left="79"/>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760" w:type="dxa"/>
            <w:vAlign w:val="bottom"/>
            <w:tcBorders>
              <w:top w:val="single" w:sz="8" w:color="E7ECFC"/>
            </w:tcBorders>
            <w:gridSpan w:val="2"/>
            <w:shd w:val="clear" w:color="auto" w:fill="E7ECFC"/>
          </w:tcPr>
          <w:p>
            <w:pPr>
              <w:spacing w:after="0" w:line="113" w:lineRule="exact"/>
              <w:rPr>
                <w:sz w:val="20"/>
                <w:szCs w:val="20"/>
                <w:color w:val="auto"/>
              </w:rPr>
            </w:pPr>
            <w:r>
              <w:rPr>
                <w:rFonts w:ascii="Times New Roman" w:cs="Times New Roman" w:eastAsia="Times New Roman" w:hAnsi="Times New Roman"/>
                <w:sz w:val="13"/>
                <w:szCs w:val="13"/>
                <w:color w:val="auto"/>
              </w:rPr>
              <w:t>Robert Musslewhite</w:t>
            </w:r>
          </w:p>
        </w:tc>
        <w:tc>
          <w:tcPr>
            <w:tcW w:w="40" w:type="dxa"/>
            <w:vAlign w:val="bottom"/>
            <w:tcBorders>
              <w:top w:val="single" w:sz="8" w:color="E7ECFC"/>
            </w:tcBorders>
            <w:shd w:val="clear" w:color="auto" w:fill="E7ECFC"/>
          </w:tcPr>
          <w:p>
            <w:pPr>
              <w:spacing w:after="0"/>
              <w:rPr>
                <w:sz w:val="9"/>
                <w:szCs w:val="9"/>
                <w:color w:val="auto"/>
              </w:rPr>
            </w:pPr>
          </w:p>
        </w:tc>
        <w:tc>
          <w:tcPr>
            <w:tcW w:w="1000" w:type="dxa"/>
            <w:vAlign w:val="bottom"/>
            <w:tcBorders>
              <w:top w:val="single" w:sz="8" w:color="auto"/>
            </w:tcBorders>
            <w:shd w:val="clear" w:color="auto" w:fill="E7ECFC"/>
          </w:tcPr>
          <w:p>
            <w:pPr>
              <w:jc w:val="center"/>
              <w:spacing w:after="0" w:line="113" w:lineRule="exact"/>
              <w:rPr>
                <w:sz w:val="20"/>
                <w:szCs w:val="20"/>
                <w:color w:val="auto"/>
              </w:rPr>
            </w:pPr>
            <w:r>
              <w:rPr>
                <w:rFonts w:ascii="Times New Roman" w:cs="Times New Roman" w:eastAsia="Times New Roman" w:hAnsi="Times New Roman"/>
                <w:sz w:val="13"/>
                <w:szCs w:val="13"/>
                <w:color w:val="auto"/>
              </w:rPr>
              <w:t>PSUs</w:t>
            </w:r>
          </w:p>
        </w:tc>
        <w:tc>
          <w:tcPr>
            <w:tcW w:w="120" w:type="dxa"/>
            <w:vAlign w:val="bottom"/>
            <w:tcBorders>
              <w:top w:val="single" w:sz="8" w:color="E7ECFC"/>
            </w:tcBorders>
            <w:shd w:val="clear" w:color="auto" w:fill="E7ECFC"/>
          </w:tcPr>
          <w:p>
            <w:pPr>
              <w:spacing w:after="0"/>
              <w:rPr>
                <w:sz w:val="9"/>
                <w:szCs w:val="9"/>
                <w:color w:val="auto"/>
              </w:rPr>
            </w:pPr>
          </w:p>
        </w:tc>
        <w:tc>
          <w:tcPr>
            <w:tcW w:w="700" w:type="dxa"/>
            <w:vAlign w:val="bottom"/>
            <w:tcBorders>
              <w:top w:val="single" w:sz="8" w:color="auto"/>
            </w:tcBorders>
            <w:shd w:val="clear" w:color="auto" w:fill="E7ECFC"/>
          </w:tcPr>
          <w:p>
            <w:pPr>
              <w:jc w:val="right"/>
              <w:spacing w:after="0" w:line="113" w:lineRule="exact"/>
              <w:rPr>
                <w:sz w:val="20"/>
                <w:szCs w:val="20"/>
                <w:color w:val="auto"/>
              </w:rPr>
            </w:pPr>
            <w:r>
              <w:rPr>
                <w:rFonts w:ascii="Times New Roman" w:cs="Times New Roman" w:eastAsia="Times New Roman" w:hAnsi="Times New Roman"/>
                <w:sz w:val="13"/>
                <w:szCs w:val="13"/>
                <w:color w:val="auto"/>
              </w:rPr>
              <w:t>5/4/2022</w:t>
            </w:r>
          </w:p>
        </w:tc>
        <w:tc>
          <w:tcPr>
            <w:tcW w:w="140" w:type="dxa"/>
            <w:vAlign w:val="bottom"/>
            <w:tcBorders>
              <w:top w:val="single" w:sz="8" w:color="E7ECFC"/>
            </w:tcBorders>
            <w:shd w:val="clear" w:color="auto" w:fill="E7ECFC"/>
          </w:tcPr>
          <w:p>
            <w:pPr>
              <w:spacing w:after="0"/>
              <w:rPr>
                <w:sz w:val="9"/>
                <w:szCs w:val="9"/>
                <w:color w:val="auto"/>
              </w:rPr>
            </w:pPr>
          </w:p>
        </w:tc>
        <w:tc>
          <w:tcPr>
            <w:tcW w:w="740" w:type="dxa"/>
            <w:vAlign w:val="bottom"/>
            <w:tcBorders>
              <w:top w:val="single" w:sz="8" w:color="auto"/>
            </w:tcBorders>
            <w:shd w:val="clear" w:color="auto" w:fill="E7ECFC"/>
          </w:tcPr>
          <w:p>
            <w:pPr>
              <w:jc w:val="right"/>
              <w:spacing w:after="0" w:line="113" w:lineRule="exact"/>
              <w:rPr>
                <w:sz w:val="20"/>
                <w:szCs w:val="20"/>
                <w:color w:val="auto"/>
              </w:rPr>
            </w:pPr>
            <w:r>
              <w:rPr>
                <w:rFonts w:ascii="Times New Roman" w:cs="Times New Roman" w:eastAsia="Times New Roman" w:hAnsi="Times New Roman"/>
                <w:sz w:val="13"/>
                <w:szCs w:val="13"/>
                <w:color w:val="auto"/>
              </w:rPr>
              <w:t>5/3/2022</w:t>
            </w:r>
          </w:p>
        </w:tc>
        <w:tc>
          <w:tcPr>
            <w:tcW w:w="140" w:type="dxa"/>
            <w:vAlign w:val="bottom"/>
            <w:tcBorders>
              <w:top w:val="single" w:sz="8" w:color="E7ECFC"/>
            </w:tcBorders>
            <w:shd w:val="clear" w:color="auto" w:fill="E7ECFC"/>
          </w:tcPr>
          <w:p>
            <w:pPr>
              <w:spacing w:after="0"/>
              <w:rPr>
                <w:sz w:val="9"/>
                <w:szCs w:val="9"/>
                <w:color w:val="auto"/>
              </w:rPr>
            </w:pPr>
          </w:p>
        </w:tc>
        <w:tc>
          <w:tcPr>
            <w:tcW w:w="640" w:type="dxa"/>
            <w:vAlign w:val="bottom"/>
            <w:tcBorders>
              <w:top w:val="single" w:sz="8" w:color="auto"/>
            </w:tcBorders>
            <w:shd w:val="clear" w:color="auto" w:fill="E7ECFC"/>
          </w:tcPr>
          <w:p>
            <w:pPr>
              <w:jc w:val="right"/>
              <w:ind w:right="11"/>
              <w:spacing w:after="0" w:line="11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E7ECFC"/>
            </w:tcBorders>
            <w:shd w:val="clear" w:color="auto" w:fill="E7ECFC"/>
          </w:tcPr>
          <w:p>
            <w:pPr>
              <w:spacing w:after="0"/>
              <w:rPr>
                <w:sz w:val="9"/>
                <w:szCs w:val="9"/>
                <w:color w:val="auto"/>
              </w:rPr>
            </w:pPr>
          </w:p>
        </w:tc>
        <w:tc>
          <w:tcPr>
            <w:tcW w:w="580" w:type="dxa"/>
            <w:vAlign w:val="bottom"/>
            <w:tcBorders>
              <w:top w:val="single" w:sz="8" w:color="auto"/>
            </w:tcBorders>
            <w:shd w:val="clear" w:color="auto" w:fill="E7ECFC"/>
          </w:tcPr>
          <w:p>
            <w:pPr>
              <w:ind w:left="3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E7ECFC"/>
            </w:tcBorders>
            <w:shd w:val="clear" w:color="auto" w:fill="E7ECFC"/>
          </w:tcPr>
          <w:p>
            <w:pPr>
              <w:spacing w:after="0"/>
              <w:rPr>
                <w:sz w:val="9"/>
                <w:szCs w:val="9"/>
                <w:color w:val="auto"/>
              </w:rPr>
            </w:pPr>
          </w:p>
        </w:tc>
        <w:tc>
          <w:tcPr>
            <w:tcW w:w="40" w:type="dxa"/>
            <w:vAlign w:val="bottom"/>
            <w:tcBorders>
              <w:top w:val="single" w:sz="8" w:color="auto"/>
            </w:tcBorders>
            <w:shd w:val="clear" w:color="auto" w:fill="E7ECFC"/>
          </w:tcPr>
          <w:p>
            <w:pPr>
              <w:spacing w:after="0"/>
              <w:rPr>
                <w:sz w:val="9"/>
                <w:szCs w:val="9"/>
                <w:color w:val="auto"/>
              </w:rPr>
            </w:pPr>
          </w:p>
        </w:tc>
        <w:tc>
          <w:tcPr>
            <w:tcW w:w="600" w:type="dxa"/>
            <w:vAlign w:val="bottom"/>
            <w:tcBorders>
              <w:top w:val="single" w:sz="8" w:color="auto"/>
            </w:tcBorders>
            <w:shd w:val="clear" w:color="auto" w:fill="E7ECFC"/>
          </w:tcPr>
          <w:p>
            <w:pPr>
              <w:ind w:left="380"/>
              <w:spacing w:after="0" w:line="11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E7ECFC"/>
            </w:tcBorders>
            <w:shd w:val="clear" w:color="auto" w:fill="E7ECFC"/>
          </w:tcPr>
          <w:p>
            <w:pPr>
              <w:spacing w:after="0"/>
              <w:rPr>
                <w:sz w:val="9"/>
                <w:szCs w:val="9"/>
                <w:color w:val="auto"/>
              </w:rPr>
            </w:pPr>
          </w:p>
        </w:tc>
        <w:tc>
          <w:tcPr>
            <w:tcW w:w="640" w:type="dxa"/>
            <w:vAlign w:val="bottom"/>
            <w:tcBorders>
              <w:top w:val="single" w:sz="8" w:color="auto"/>
            </w:tcBorders>
            <w:shd w:val="clear" w:color="auto" w:fill="E7ECFC"/>
          </w:tcPr>
          <w:p>
            <w:pPr>
              <w:ind w:left="240"/>
              <w:spacing w:after="0" w:line="113" w:lineRule="exact"/>
              <w:rPr>
                <w:sz w:val="20"/>
                <w:szCs w:val="20"/>
                <w:color w:val="auto"/>
              </w:rPr>
            </w:pPr>
            <w:r>
              <w:rPr>
                <w:rFonts w:ascii="Times New Roman" w:cs="Times New Roman" w:eastAsia="Times New Roman" w:hAnsi="Times New Roman"/>
                <w:sz w:val="13"/>
                <w:szCs w:val="13"/>
                <w:color w:val="auto"/>
              </w:rPr>
              <w:t>62,500</w:t>
            </w:r>
          </w:p>
        </w:tc>
        <w:tc>
          <w:tcPr>
            <w:tcW w:w="20" w:type="dxa"/>
            <w:vAlign w:val="bottom"/>
            <w:tcBorders>
              <w:top w:val="single" w:sz="8" w:color="E7ECFC"/>
            </w:tcBorders>
            <w:shd w:val="clear" w:color="auto" w:fill="E7ECFC"/>
          </w:tcPr>
          <w:p>
            <w:pPr>
              <w:spacing w:after="0"/>
              <w:rPr>
                <w:sz w:val="9"/>
                <w:szCs w:val="9"/>
                <w:color w:val="auto"/>
              </w:rPr>
            </w:pPr>
          </w:p>
        </w:tc>
        <w:tc>
          <w:tcPr>
            <w:tcW w:w="140" w:type="dxa"/>
            <w:vAlign w:val="bottom"/>
            <w:tcBorders>
              <w:top w:val="single" w:sz="8" w:color="E7ECFC"/>
            </w:tcBorders>
            <w:shd w:val="clear" w:color="auto" w:fill="E7ECFC"/>
          </w:tcPr>
          <w:p>
            <w:pPr>
              <w:spacing w:after="0"/>
              <w:rPr>
                <w:sz w:val="9"/>
                <w:szCs w:val="9"/>
                <w:color w:val="auto"/>
              </w:rPr>
            </w:pPr>
          </w:p>
        </w:tc>
        <w:tc>
          <w:tcPr>
            <w:tcW w:w="580" w:type="dxa"/>
            <w:vAlign w:val="bottom"/>
            <w:tcBorders>
              <w:top w:val="single" w:sz="8" w:color="auto"/>
            </w:tcBorders>
            <w:shd w:val="clear" w:color="auto" w:fill="E7ECFC"/>
          </w:tcPr>
          <w:p>
            <w:pPr>
              <w:ind w:left="120"/>
              <w:spacing w:after="0" w:line="113" w:lineRule="exact"/>
              <w:rPr>
                <w:sz w:val="20"/>
                <w:szCs w:val="20"/>
                <w:color w:val="auto"/>
              </w:rPr>
            </w:pPr>
            <w:r>
              <w:rPr>
                <w:rFonts w:ascii="Times New Roman" w:cs="Times New Roman" w:eastAsia="Times New Roman" w:hAnsi="Times New Roman"/>
                <w:sz w:val="13"/>
                <w:szCs w:val="13"/>
                <w:color w:val="auto"/>
              </w:rPr>
              <w:t>125,000</w:t>
            </w:r>
          </w:p>
        </w:tc>
        <w:tc>
          <w:tcPr>
            <w:tcW w:w="160" w:type="dxa"/>
            <w:vAlign w:val="bottom"/>
            <w:tcBorders>
              <w:top w:val="single" w:sz="8" w:color="E7ECFC"/>
            </w:tcBorders>
            <w:shd w:val="clear" w:color="auto" w:fill="E7ECFC"/>
          </w:tcPr>
          <w:p>
            <w:pPr>
              <w:spacing w:after="0"/>
              <w:rPr>
                <w:sz w:val="9"/>
                <w:szCs w:val="9"/>
                <w:color w:val="auto"/>
              </w:rPr>
            </w:pPr>
          </w:p>
        </w:tc>
        <w:tc>
          <w:tcPr>
            <w:tcW w:w="40" w:type="dxa"/>
            <w:vAlign w:val="bottom"/>
            <w:tcBorders>
              <w:top w:val="single" w:sz="8" w:color="auto"/>
            </w:tcBorders>
            <w:shd w:val="clear" w:color="auto" w:fill="E7ECFC"/>
          </w:tcPr>
          <w:p>
            <w:pPr>
              <w:spacing w:after="0"/>
              <w:rPr>
                <w:sz w:val="9"/>
                <w:szCs w:val="9"/>
                <w:color w:val="auto"/>
              </w:rPr>
            </w:pPr>
          </w:p>
        </w:tc>
        <w:tc>
          <w:tcPr>
            <w:tcW w:w="620" w:type="dxa"/>
            <w:vAlign w:val="bottom"/>
            <w:tcBorders>
              <w:top w:val="single" w:sz="8" w:color="auto"/>
            </w:tcBorders>
            <w:shd w:val="clear" w:color="auto" w:fill="E7ECFC"/>
          </w:tcPr>
          <w:p>
            <w:pPr>
              <w:ind w:left="160"/>
              <w:spacing w:after="0" w:line="113" w:lineRule="exact"/>
              <w:rPr>
                <w:sz w:val="20"/>
                <w:szCs w:val="20"/>
                <w:color w:val="auto"/>
              </w:rPr>
            </w:pPr>
            <w:r>
              <w:rPr>
                <w:rFonts w:ascii="Times New Roman" w:cs="Times New Roman" w:eastAsia="Times New Roman" w:hAnsi="Times New Roman"/>
                <w:sz w:val="13"/>
                <w:szCs w:val="13"/>
                <w:color w:val="auto"/>
              </w:rPr>
              <w:t>375,000</w:t>
            </w:r>
          </w:p>
        </w:tc>
        <w:tc>
          <w:tcPr>
            <w:tcW w:w="160" w:type="dxa"/>
            <w:vAlign w:val="bottom"/>
            <w:tcBorders>
              <w:top w:val="single" w:sz="8" w:color="E7ECFC"/>
            </w:tcBorders>
            <w:shd w:val="clear" w:color="auto" w:fill="E7ECFC"/>
          </w:tcPr>
          <w:p>
            <w:pPr>
              <w:spacing w:after="0"/>
              <w:rPr>
                <w:sz w:val="9"/>
                <w:szCs w:val="9"/>
                <w:color w:val="auto"/>
              </w:rPr>
            </w:pPr>
          </w:p>
        </w:tc>
        <w:tc>
          <w:tcPr>
            <w:tcW w:w="660" w:type="dxa"/>
            <w:vAlign w:val="bottom"/>
            <w:tcBorders>
              <w:top w:val="single" w:sz="8" w:color="auto"/>
            </w:tcBorders>
            <w:shd w:val="clear" w:color="auto" w:fill="E7ECFC"/>
          </w:tcPr>
          <w:p>
            <w:pPr>
              <w:jc w:val="right"/>
              <w:ind w:right="13"/>
              <w:spacing w:after="0" w:line="11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E7ECFC"/>
            </w:tcBorders>
            <w:shd w:val="clear" w:color="auto" w:fill="E7ECFC"/>
          </w:tcPr>
          <w:p>
            <w:pPr>
              <w:spacing w:after="0"/>
              <w:rPr>
                <w:sz w:val="9"/>
                <w:szCs w:val="9"/>
                <w:color w:val="auto"/>
              </w:rPr>
            </w:pPr>
          </w:p>
        </w:tc>
        <w:tc>
          <w:tcPr>
            <w:tcW w:w="860" w:type="dxa"/>
            <w:vAlign w:val="bottom"/>
            <w:tcBorders>
              <w:top w:val="single" w:sz="8" w:color="auto"/>
            </w:tcBorders>
            <w:shd w:val="clear" w:color="auto" w:fill="E7ECFC"/>
          </w:tcPr>
          <w:p>
            <w:pPr>
              <w:jc w:val="right"/>
              <w:spacing w:after="0" w:line="113" w:lineRule="exact"/>
              <w:rPr>
                <w:sz w:val="20"/>
                <w:szCs w:val="20"/>
                <w:color w:val="auto"/>
              </w:rPr>
            </w:pPr>
            <w:r>
              <w:rPr>
                <w:rFonts w:ascii="Times New Roman" w:cs="Times New Roman" w:eastAsia="Times New Roman" w:hAnsi="Times New Roman"/>
                <w:sz w:val="13"/>
                <w:szCs w:val="13"/>
                <w:color w:val="auto"/>
              </w:rPr>
              <w:t>6,781,250</w:t>
            </w:r>
          </w:p>
        </w:tc>
        <w:tc>
          <w:tcPr>
            <w:tcW w:w="60" w:type="dxa"/>
            <w:vAlign w:val="bottom"/>
            <w:tcBorders>
              <w:top w:val="single" w:sz="8" w:color="E7ECFC"/>
            </w:tcBorders>
            <w:shd w:val="clear" w:color="auto" w:fill="E7EC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E7ECFC"/>
          </w:tcPr>
          <w:p>
            <w:pPr>
              <w:spacing w:after="0"/>
              <w:rPr>
                <w:sz w:val="12"/>
                <w:szCs w:val="12"/>
                <w:color w:val="auto"/>
              </w:rPr>
            </w:pPr>
          </w:p>
        </w:tc>
        <w:tc>
          <w:tcPr>
            <w:tcW w:w="1440" w:type="dxa"/>
            <w:vAlign w:val="bottom"/>
            <w:shd w:val="clear" w:color="auto" w:fill="E7ECFC"/>
          </w:tcPr>
          <w:p>
            <w:pPr>
              <w:spacing w:after="0"/>
              <w:rPr>
                <w:sz w:val="12"/>
                <w:szCs w:val="12"/>
                <w:color w:val="auto"/>
              </w:rPr>
            </w:pPr>
          </w:p>
        </w:tc>
        <w:tc>
          <w:tcPr>
            <w:tcW w:w="40" w:type="dxa"/>
            <w:vAlign w:val="bottom"/>
            <w:shd w:val="clear" w:color="auto" w:fill="E7ECFC"/>
          </w:tcPr>
          <w:p>
            <w:pPr>
              <w:spacing w:after="0"/>
              <w:rPr>
                <w:sz w:val="12"/>
                <w:szCs w:val="12"/>
                <w:color w:val="auto"/>
              </w:rPr>
            </w:pPr>
          </w:p>
        </w:tc>
        <w:tc>
          <w:tcPr>
            <w:tcW w:w="1120" w:type="dxa"/>
            <w:vAlign w:val="bottom"/>
            <w:gridSpan w:val="2"/>
            <w:shd w:val="clear" w:color="auto" w:fill="E7ECFC"/>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840" w:type="dxa"/>
            <w:vAlign w:val="bottom"/>
            <w:gridSpan w:val="2"/>
            <w:shd w:val="clear" w:color="auto" w:fill="E7EC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5/4/2022</w:t>
            </w:r>
          </w:p>
        </w:tc>
        <w:tc>
          <w:tcPr>
            <w:tcW w:w="880" w:type="dxa"/>
            <w:vAlign w:val="bottom"/>
            <w:gridSpan w:val="2"/>
            <w:shd w:val="clear" w:color="auto" w:fill="E7EC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5/3/2022</w:t>
            </w:r>
          </w:p>
        </w:tc>
        <w:tc>
          <w:tcPr>
            <w:tcW w:w="640" w:type="dxa"/>
            <w:vAlign w:val="bottom"/>
            <w:shd w:val="clear" w:color="auto" w:fill="E7ECFC"/>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shd w:val="clear" w:color="auto" w:fill="E7ECFC"/>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E7ECFC"/>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E7ECFC"/>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shd w:val="clear" w:color="auto" w:fill="E7ECFC"/>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E7ECFC"/>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E7EC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416,655</w:t>
            </w:r>
          </w:p>
        </w:tc>
        <w:tc>
          <w:tcPr>
            <w:tcW w:w="920" w:type="dxa"/>
            <w:vAlign w:val="bottom"/>
            <w:gridSpan w:val="2"/>
            <w:shd w:val="clear" w:color="auto" w:fill="E7EC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10,049,719</w:t>
            </w:r>
          </w:p>
        </w:tc>
        <w:tc>
          <w:tcPr>
            <w:tcW w:w="0" w:type="dxa"/>
            <w:vAlign w:val="bottom"/>
          </w:tcPr>
          <w:p>
            <w:pPr>
              <w:spacing w:after="0"/>
              <w:rPr>
                <w:sz w:val="1"/>
                <w:szCs w:val="1"/>
                <w:color w:val="auto"/>
              </w:rPr>
            </w:pPr>
          </w:p>
        </w:tc>
      </w:tr>
      <w:tr>
        <w:trPr>
          <w:trHeight w:val="148"/>
        </w:trPr>
        <w:tc>
          <w:tcPr>
            <w:tcW w:w="320" w:type="dxa"/>
            <w:vAlign w:val="bottom"/>
            <w:shd w:val="clear" w:color="auto" w:fill="E7ECFC"/>
          </w:tcPr>
          <w:p>
            <w:pPr>
              <w:spacing w:after="0"/>
              <w:rPr>
                <w:sz w:val="12"/>
                <w:szCs w:val="12"/>
                <w:color w:val="auto"/>
              </w:rPr>
            </w:pPr>
          </w:p>
        </w:tc>
        <w:tc>
          <w:tcPr>
            <w:tcW w:w="1440" w:type="dxa"/>
            <w:vAlign w:val="bottom"/>
            <w:shd w:val="clear" w:color="auto" w:fill="E7ECFC"/>
          </w:tcPr>
          <w:p>
            <w:pPr>
              <w:spacing w:after="0"/>
              <w:rPr>
                <w:sz w:val="12"/>
                <w:szCs w:val="12"/>
                <w:color w:val="auto"/>
              </w:rPr>
            </w:pPr>
          </w:p>
        </w:tc>
        <w:tc>
          <w:tcPr>
            <w:tcW w:w="40" w:type="dxa"/>
            <w:vAlign w:val="bottom"/>
            <w:shd w:val="clear" w:color="auto" w:fill="E7ECFC"/>
          </w:tcPr>
          <w:p>
            <w:pPr>
              <w:spacing w:after="0"/>
              <w:rPr>
                <w:sz w:val="12"/>
                <w:szCs w:val="12"/>
                <w:color w:val="auto"/>
              </w:rPr>
            </w:pPr>
          </w:p>
        </w:tc>
        <w:tc>
          <w:tcPr>
            <w:tcW w:w="1120" w:type="dxa"/>
            <w:vAlign w:val="bottom"/>
            <w:gridSpan w:val="2"/>
            <w:shd w:val="clear" w:color="auto" w:fill="E7ECFC"/>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Cash Incentive</w:t>
            </w:r>
          </w:p>
        </w:tc>
        <w:tc>
          <w:tcPr>
            <w:tcW w:w="700" w:type="dxa"/>
            <w:vAlign w:val="bottom"/>
            <w:shd w:val="clear" w:color="auto" w:fill="E7ECFC"/>
          </w:tcPr>
          <w:p>
            <w:pPr>
              <w:spacing w:after="0"/>
              <w:rPr>
                <w:sz w:val="12"/>
                <w:szCs w:val="12"/>
                <w:color w:val="auto"/>
              </w:rPr>
            </w:pPr>
          </w:p>
        </w:tc>
        <w:tc>
          <w:tcPr>
            <w:tcW w:w="140" w:type="dxa"/>
            <w:vAlign w:val="bottom"/>
            <w:shd w:val="clear" w:color="auto" w:fill="E7ECFC"/>
          </w:tcPr>
          <w:p>
            <w:pPr>
              <w:spacing w:after="0"/>
              <w:rPr>
                <w:sz w:val="12"/>
                <w:szCs w:val="12"/>
                <w:color w:val="auto"/>
              </w:rPr>
            </w:pPr>
          </w:p>
        </w:tc>
        <w:tc>
          <w:tcPr>
            <w:tcW w:w="740" w:type="dxa"/>
            <w:vAlign w:val="bottom"/>
            <w:shd w:val="clear" w:color="auto" w:fill="E7ECFC"/>
          </w:tcPr>
          <w:p>
            <w:pPr>
              <w:spacing w:after="0"/>
              <w:rPr>
                <w:sz w:val="12"/>
                <w:szCs w:val="12"/>
                <w:color w:val="auto"/>
              </w:rPr>
            </w:pPr>
          </w:p>
        </w:tc>
        <w:tc>
          <w:tcPr>
            <w:tcW w:w="140" w:type="dxa"/>
            <w:vAlign w:val="bottom"/>
            <w:shd w:val="clear" w:color="auto" w:fill="E7ECFC"/>
          </w:tcPr>
          <w:p>
            <w:pPr>
              <w:spacing w:after="0"/>
              <w:rPr>
                <w:sz w:val="12"/>
                <w:szCs w:val="12"/>
                <w:color w:val="auto"/>
              </w:rPr>
            </w:pPr>
          </w:p>
        </w:tc>
        <w:tc>
          <w:tcPr>
            <w:tcW w:w="640" w:type="dxa"/>
            <w:vAlign w:val="bottom"/>
            <w:vMerge w:val="restart"/>
            <w:shd w:val="clear" w:color="auto" w:fill="E7ECFC"/>
          </w:tcPr>
          <w:p>
            <w:pPr>
              <w:jc w:val="right"/>
              <w:spacing w:after="0"/>
              <w:rPr>
                <w:sz w:val="20"/>
                <w:szCs w:val="20"/>
                <w:color w:val="auto"/>
              </w:rPr>
            </w:pPr>
            <w:r>
              <w:rPr>
                <w:rFonts w:ascii="Times New Roman" w:cs="Times New Roman" w:eastAsia="Times New Roman" w:hAnsi="Times New Roman"/>
                <w:sz w:val="14"/>
                <w:szCs w:val="14"/>
                <w:color w:val="auto"/>
              </w:rPr>
              <w:t>223,080</w:t>
            </w:r>
          </w:p>
        </w:tc>
        <w:tc>
          <w:tcPr>
            <w:tcW w:w="880" w:type="dxa"/>
            <w:vAlign w:val="bottom"/>
            <w:gridSpan w:val="3"/>
            <w:vMerge w:val="restart"/>
            <w:shd w:val="clear" w:color="auto" w:fill="E7ECFC"/>
          </w:tcPr>
          <w:p>
            <w:pPr>
              <w:ind w:left="260"/>
              <w:spacing w:after="0"/>
              <w:rPr>
                <w:sz w:val="20"/>
                <w:szCs w:val="20"/>
                <w:color w:val="auto"/>
              </w:rPr>
            </w:pPr>
            <w:r>
              <w:rPr>
                <w:rFonts w:ascii="Times New Roman" w:cs="Times New Roman" w:eastAsia="Times New Roman" w:hAnsi="Times New Roman"/>
                <w:sz w:val="14"/>
                <w:szCs w:val="14"/>
                <w:color w:val="auto"/>
              </w:rPr>
              <w:t>257,400</w:t>
            </w:r>
          </w:p>
        </w:tc>
        <w:tc>
          <w:tcPr>
            <w:tcW w:w="40" w:type="dxa"/>
            <w:vAlign w:val="bottom"/>
            <w:shd w:val="clear" w:color="auto" w:fill="E7ECFC"/>
          </w:tcPr>
          <w:p>
            <w:pPr>
              <w:spacing w:after="0"/>
              <w:rPr>
                <w:sz w:val="12"/>
                <w:szCs w:val="12"/>
                <w:color w:val="auto"/>
              </w:rPr>
            </w:pPr>
          </w:p>
        </w:tc>
        <w:tc>
          <w:tcPr>
            <w:tcW w:w="74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291,720</w:t>
            </w:r>
          </w:p>
        </w:tc>
        <w:tc>
          <w:tcPr>
            <w:tcW w:w="66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vMerge w:val="restart"/>
            <w:shd w:val="clear" w:color="auto" w:fill="E7EC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E7EC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E7ECF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 w:type="dxa"/>
            <w:vAlign w:val="bottom"/>
            <w:shd w:val="clear" w:color="auto" w:fill="E7ECFC"/>
          </w:tcPr>
          <w:p>
            <w:pPr>
              <w:spacing w:after="0"/>
              <w:rPr>
                <w:sz w:val="14"/>
                <w:szCs w:val="14"/>
                <w:color w:val="auto"/>
              </w:rPr>
            </w:pPr>
          </w:p>
        </w:tc>
        <w:tc>
          <w:tcPr>
            <w:tcW w:w="1440" w:type="dxa"/>
            <w:vAlign w:val="bottom"/>
            <w:shd w:val="clear" w:color="auto" w:fill="E7ECFC"/>
          </w:tcPr>
          <w:p>
            <w:pPr>
              <w:spacing w:after="0"/>
              <w:rPr>
                <w:sz w:val="14"/>
                <w:szCs w:val="14"/>
                <w:color w:val="auto"/>
              </w:rPr>
            </w:pPr>
          </w:p>
        </w:tc>
        <w:tc>
          <w:tcPr>
            <w:tcW w:w="40" w:type="dxa"/>
            <w:vAlign w:val="bottom"/>
            <w:shd w:val="clear" w:color="auto" w:fill="E7ECFC"/>
          </w:tcPr>
          <w:p>
            <w:pPr>
              <w:spacing w:after="0"/>
              <w:rPr>
                <w:sz w:val="14"/>
                <w:szCs w:val="14"/>
                <w:color w:val="auto"/>
              </w:rPr>
            </w:pPr>
          </w:p>
        </w:tc>
        <w:tc>
          <w:tcPr>
            <w:tcW w:w="1120" w:type="dxa"/>
            <w:vAlign w:val="bottom"/>
            <w:gridSpan w:val="2"/>
            <w:shd w:val="clear" w:color="auto" w:fill="E7ECFC"/>
          </w:tcPr>
          <w:p>
            <w:pPr>
              <w:jc w:val="center"/>
              <w:ind w:right="120"/>
              <w:spacing w:after="0"/>
              <w:rPr>
                <w:sz w:val="20"/>
                <w:szCs w:val="20"/>
                <w:color w:val="auto"/>
              </w:rPr>
            </w:pPr>
            <w:r>
              <w:rPr>
                <w:rFonts w:ascii="Times New Roman" w:cs="Times New Roman" w:eastAsia="Times New Roman" w:hAnsi="Times New Roman"/>
                <w:sz w:val="14"/>
                <w:szCs w:val="14"/>
                <w:color w:val="auto"/>
              </w:rPr>
              <w:t>Bonus</w:t>
            </w:r>
          </w:p>
        </w:tc>
        <w:tc>
          <w:tcPr>
            <w:tcW w:w="700" w:type="dxa"/>
            <w:vAlign w:val="bottom"/>
            <w:shd w:val="clear" w:color="auto" w:fill="E7ECFC"/>
          </w:tcPr>
          <w:p>
            <w:pPr>
              <w:spacing w:after="0"/>
              <w:rPr>
                <w:sz w:val="14"/>
                <w:szCs w:val="14"/>
                <w:color w:val="auto"/>
              </w:rPr>
            </w:pPr>
          </w:p>
        </w:tc>
        <w:tc>
          <w:tcPr>
            <w:tcW w:w="140" w:type="dxa"/>
            <w:vAlign w:val="bottom"/>
            <w:shd w:val="clear" w:color="auto" w:fill="E7ECFC"/>
          </w:tcPr>
          <w:p>
            <w:pPr>
              <w:spacing w:after="0"/>
              <w:rPr>
                <w:sz w:val="14"/>
                <w:szCs w:val="14"/>
                <w:color w:val="auto"/>
              </w:rPr>
            </w:pPr>
          </w:p>
        </w:tc>
        <w:tc>
          <w:tcPr>
            <w:tcW w:w="740" w:type="dxa"/>
            <w:vAlign w:val="bottom"/>
            <w:shd w:val="clear" w:color="auto" w:fill="E7ECFC"/>
          </w:tcPr>
          <w:p>
            <w:pPr>
              <w:spacing w:after="0"/>
              <w:rPr>
                <w:sz w:val="14"/>
                <w:szCs w:val="14"/>
                <w:color w:val="auto"/>
              </w:rPr>
            </w:pPr>
          </w:p>
        </w:tc>
        <w:tc>
          <w:tcPr>
            <w:tcW w:w="140" w:type="dxa"/>
            <w:vAlign w:val="bottom"/>
            <w:shd w:val="clear" w:color="auto" w:fill="E7ECFC"/>
          </w:tcPr>
          <w:p>
            <w:pPr>
              <w:spacing w:after="0"/>
              <w:rPr>
                <w:sz w:val="14"/>
                <w:szCs w:val="14"/>
                <w:color w:val="auto"/>
              </w:rPr>
            </w:pPr>
          </w:p>
        </w:tc>
        <w:tc>
          <w:tcPr>
            <w:tcW w:w="640" w:type="dxa"/>
            <w:vAlign w:val="bottom"/>
            <w:vMerge w:val="continue"/>
            <w:shd w:val="clear" w:color="auto" w:fill="E7ECFC"/>
          </w:tcPr>
          <w:p>
            <w:pPr>
              <w:spacing w:after="0"/>
              <w:rPr>
                <w:sz w:val="14"/>
                <w:szCs w:val="14"/>
                <w:color w:val="auto"/>
              </w:rPr>
            </w:pPr>
          </w:p>
        </w:tc>
        <w:tc>
          <w:tcPr>
            <w:tcW w:w="880" w:type="dxa"/>
            <w:vAlign w:val="bottom"/>
            <w:gridSpan w:val="3"/>
            <w:vMerge w:val="continue"/>
            <w:shd w:val="clear" w:color="auto" w:fill="E7ECFC"/>
          </w:tcPr>
          <w:p>
            <w:pPr>
              <w:spacing w:after="0"/>
              <w:rPr>
                <w:sz w:val="14"/>
                <w:szCs w:val="14"/>
                <w:color w:val="auto"/>
              </w:rPr>
            </w:pPr>
          </w:p>
        </w:tc>
        <w:tc>
          <w:tcPr>
            <w:tcW w:w="40" w:type="dxa"/>
            <w:vAlign w:val="bottom"/>
            <w:shd w:val="clear" w:color="auto" w:fill="E7ECFC"/>
          </w:tcPr>
          <w:p>
            <w:pPr>
              <w:spacing w:after="0"/>
              <w:rPr>
                <w:sz w:val="14"/>
                <w:szCs w:val="14"/>
                <w:color w:val="auto"/>
              </w:rPr>
            </w:pPr>
          </w:p>
        </w:tc>
        <w:tc>
          <w:tcPr>
            <w:tcW w:w="740" w:type="dxa"/>
            <w:vAlign w:val="bottom"/>
            <w:gridSpan w:val="2"/>
            <w:vMerge w:val="continue"/>
            <w:shd w:val="clear" w:color="auto" w:fill="E7ECFC"/>
          </w:tcPr>
          <w:p>
            <w:pPr>
              <w:spacing w:after="0"/>
              <w:rPr>
                <w:sz w:val="14"/>
                <w:szCs w:val="14"/>
                <w:color w:val="auto"/>
              </w:rPr>
            </w:pPr>
          </w:p>
        </w:tc>
        <w:tc>
          <w:tcPr>
            <w:tcW w:w="660" w:type="dxa"/>
            <w:vAlign w:val="bottom"/>
            <w:gridSpan w:val="2"/>
            <w:vMerge w:val="continue"/>
            <w:shd w:val="clear" w:color="auto" w:fill="E7ECFC"/>
          </w:tcPr>
          <w:p>
            <w:pPr>
              <w:spacing w:after="0"/>
              <w:rPr>
                <w:sz w:val="14"/>
                <w:szCs w:val="14"/>
                <w:color w:val="auto"/>
              </w:rPr>
            </w:pPr>
          </w:p>
        </w:tc>
        <w:tc>
          <w:tcPr>
            <w:tcW w:w="140" w:type="dxa"/>
            <w:vAlign w:val="bottom"/>
            <w:shd w:val="clear" w:color="auto" w:fill="E7ECFC"/>
          </w:tcPr>
          <w:p>
            <w:pPr>
              <w:spacing w:after="0"/>
              <w:rPr>
                <w:sz w:val="14"/>
                <w:szCs w:val="14"/>
                <w:color w:val="auto"/>
              </w:rPr>
            </w:pPr>
          </w:p>
        </w:tc>
        <w:tc>
          <w:tcPr>
            <w:tcW w:w="780" w:type="dxa"/>
            <w:vAlign w:val="bottom"/>
            <w:gridSpan w:val="3"/>
            <w:vMerge w:val="continue"/>
            <w:shd w:val="clear" w:color="auto" w:fill="E7ECFC"/>
          </w:tcPr>
          <w:p>
            <w:pPr>
              <w:spacing w:after="0"/>
              <w:rPr>
                <w:sz w:val="14"/>
                <w:szCs w:val="14"/>
                <w:color w:val="auto"/>
              </w:rPr>
            </w:pPr>
          </w:p>
        </w:tc>
        <w:tc>
          <w:tcPr>
            <w:tcW w:w="780" w:type="dxa"/>
            <w:vAlign w:val="bottom"/>
            <w:gridSpan w:val="2"/>
            <w:vMerge w:val="continue"/>
            <w:shd w:val="clear" w:color="auto" w:fill="E7ECFC"/>
          </w:tcPr>
          <w:p>
            <w:pPr>
              <w:spacing w:after="0"/>
              <w:rPr>
                <w:sz w:val="14"/>
                <w:szCs w:val="14"/>
                <w:color w:val="auto"/>
              </w:rPr>
            </w:pPr>
          </w:p>
        </w:tc>
        <w:tc>
          <w:tcPr>
            <w:tcW w:w="800" w:type="dxa"/>
            <w:vAlign w:val="bottom"/>
            <w:gridSpan w:val="2"/>
            <w:vMerge w:val="continue"/>
            <w:shd w:val="clear" w:color="auto" w:fill="E7ECFC"/>
          </w:tcPr>
          <w:p>
            <w:pPr>
              <w:spacing w:after="0"/>
              <w:rPr>
                <w:sz w:val="14"/>
                <w:szCs w:val="14"/>
                <w:color w:val="auto"/>
              </w:rPr>
            </w:pPr>
          </w:p>
        </w:tc>
        <w:tc>
          <w:tcPr>
            <w:tcW w:w="920" w:type="dxa"/>
            <w:vAlign w:val="bottom"/>
            <w:gridSpan w:val="2"/>
            <w:vMerge w:val="continue"/>
            <w:shd w:val="clear" w:color="auto" w:fill="E7EC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Jason Krantz</w:t>
            </w:r>
          </w:p>
        </w:tc>
        <w:tc>
          <w:tcPr>
            <w:tcW w:w="40" w:type="dxa"/>
            <w:vAlign w:val="bottom"/>
          </w:tcPr>
          <w:p>
            <w:pPr>
              <w:spacing w:after="0"/>
              <w:rPr>
                <w:sz w:val="10"/>
                <w:szCs w:val="10"/>
                <w:color w:val="auto"/>
              </w:rPr>
            </w:pPr>
          </w:p>
        </w:tc>
        <w:tc>
          <w:tcPr>
            <w:tcW w:w="112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rPr>
              <w:t>Cash Incentive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222,901</w:t>
            </w:r>
          </w:p>
        </w:tc>
        <w:tc>
          <w:tcPr>
            <w:tcW w:w="8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257,193</w:t>
            </w:r>
          </w:p>
        </w:tc>
        <w:tc>
          <w:tcPr>
            <w:tcW w:w="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291,485</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Bonus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E7ECFC"/>
          </w:tcPr>
          <w:p>
            <w:pPr>
              <w:spacing w:after="0" w:line="149" w:lineRule="exact"/>
              <w:rPr>
                <w:sz w:val="20"/>
                <w:szCs w:val="20"/>
                <w:color w:val="auto"/>
              </w:rPr>
            </w:pPr>
            <w:r>
              <w:rPr>
                <w:rFonts w:ascii="Times New Roman" w:cs="Times New Roman" w:eastAsia="Times New Roman" w:hAnsi="Times New Roman"/>
                <w:sz w:val="14"/>
                <w:szCs w:val="14"/>
                <w:color w:val="auto"/>
              </w:rPr>
              <w:t>Jonathan Maack</w:t>
            </w:r>
          </w:p>
        </w:tc>
        <w:tc>
          <w:tcPr>
            <w:tcW w:w="40" w:type="dxa"/>
            <w:vAlign w:val="bottom"/>
            <w:shd w:val="clear" w:color="auto" w:fill="E7ECFC"/>
          </w:tcPr>
          <w:p>
            <w:pPr>
              <w:spacing w:after="0"/>
              <w:rPr>
                <w:sz w:val="12"/>
                <w:szCs w:val="12"/>
                <w:color w:val="auto"/>
              </w:rPr>
            </w:pPr>
          </w:p>
        </w:tc>
        <w:tc>
          <w:tcPr>
            <w:tcW w:w="1120" w:type="dxa"/>
            <w:vAlign w:val="bottom"/>
            <w:gridSpan w:val="2"/>
            <w:shd w:val="clear" w:color="auto" w:fill="E7ECFC"/>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840" w:type="dxa"/>
            <w:vAlign w:val="bottom"/>
            <w:gridSpan w:val="2"/>
            <w:shd w:val="clear" w:color="auto" w:fill="E7EC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11/3/2022</w:t>
            </w:r>
          </w:p>
        </w:tc>
        <w:tc>
          <w:tcPr>
            <w:tcW w:w="880" w:type="dxa"/>
            <w:vAlign w:val="bottom"/>
            <w:gridSpan w:val="2"/>
            <w:shd w:val="clear" w:color="auto" w:fill="E7EC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9/16/2022</w:t>
            </w:r>
          </w:p>
        </w:tc>
        <w:tc>
          <w:tcPr>
            <w:tcW w:w="640" w:type="dxa"/>
            <w:vAlign w:val="bottom"/>
            <w:shd w:val="clear" w:color="auto" w:fill="E7ECFC"/>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shd w:val="clear" w:color="auto" w:fill="E7ECFC"/>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E7ECFC"/>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E7ECFC"/>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shd w:val="clear" w:color="auto" w:fill="E7ECFC"/>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E7ECFC"/>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E7EC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546,303</w:t>
            </w:r>
          </w:p>
        </w:tc>
        <w:tc>
          <w:tcPr>
            <w:tcW w:w="920" w:type="dxa"/>
            <w:vAlign w:val="bottom"/>
            <w:gridSpan w:val="2"/>
            <w:shd w:val="clear" w:color="auto" w:fill="E7EC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7,555,370</w:t>
            </w:r>
          </w:p>
        </w:tc>
        <w:tc>
          <w:tcPr>
            <w:tcW w:w="0" w:type="dxa"/>
            <w:vAlign w:val="bottom"/>
          </w:tcPr>
          <w:p>
            <w:pPr>
              <w:spacing w:after="0"/>
              <w:rPr>
                <w:sz w:val="1"/>
                <w:szCs w:val="1"/>
                <w:color w:val="auto"/>
              </w:rPr>
            </w:pPr>
          </w:p>
        </w:tc>
      </w:tr>
      <w:tr>
        <w:trPr>
          <w:trHeight w:val="126"/>
        </w:trPr>
        <w:tc>
          <w:tcPr>
            <w:tcW w:w="1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Richard Booth</w:t>
            </w:r>
          </w:p>
        </w:tc>
        <w:tc>
          <w:tcPr>
            <w:tcW w:w="40" w:type="dxa"/>
            <w:vAlign w:val="bottom"/>
          </w:tcPr>
          <w:p>
            <w:pPr>
              <w:spacing w:after="0"/>
              <w:rPr>
                <w:sz w:val="10"/>
                <w:szCs w:val="10"/>
                <w:color w:val="auto"/>
              </w:rPr>
            </w:pPr>
          </w:p>
        </w:tc>
        <w:tc>
          <w:tcPr>
            <w:tcW w:w="112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rPr>
              <w:t>Cash Incentive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201,250</w:t>
            </w:r>
          </w:p>
        </w:tc>
        <w:tc>
          <w:tcPr>
            <w:tcW w:w="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227,500</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Bonus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gridSpan w:val="2"/>
            <w:shd w:val="clear" w:color="auto" w:fill="E7ECFC"/>
          </w:tcPr>
          <w:p>
            <w:pPr>
              <w:spacing w:after="0" w:line="126" w:lineRule="exact"/>
              <w:rPr>
                <w:sz w:val="20"/>
                <w:szCs w:val="20"/>
                <w:color w:val="auto"/>
              </w:rPr>
            </w:pPr>
            <w:r>
              <w:rPr>
                <w:rFonts w:ascii="Times New Roman" w:cs="Times New Roman" w:eastAsia="Times New Roman" w:hAnsi="Times New Roman"/>
                <w:sz w:val="14"/>
                <w:szCs w:val="14"/>
                <w:color w:val="auto"/>
              </w:rPr>
              <w:t>Joseph Mirisola</w:t>
            </w:r>
          </w:p>
        </w:tc>
        <w:tc>
          <w:tcPr>
            <w:tcW w:w="40" w:type="dxa"/>
            <w:vAlign w:val="bottom"/>
            <w:shd w:val="clear" w:color="auto" w:fill="E7ECFC"/>
          </w:tcPr>
          <w:p>
            <w:pPr>
              <w:spacing w:after="0"/>
              <w:rPr>
                <w:sz w:val="10"/>
                <w:szCs w:val="10"/>
                <w:color w:val="auto"/>
              </w:rPr>
            </w:pPr>
          </w:p>
        </w:tc>
        <w:tc>
          <w:tcPr>
            <w:tcW w:w="1120" w:type="dxa"/>
            <w:vAlign w:val="bottom"/>
            <w:gridSpan w:val="2"/>
            <w:shd w:val="clear" w:color="auto" w:fill="E7ECFC"/>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rPr>
              <w:t>Cash Incentive</w:t>
            </w:r>
          </w:p>
        </w:tc>
        <w:tc>
          <w:tcPr>
            <w:tcW w:w="700" w:type="dxa"/>
            <w:vAlign w:val="bottom"/>
            <w:shd w:val="clear" w:color="auto" w:fill="E7ECFC"/>
          </w:tcPr>
          <w:p>
            <w:pPr>
              <w:spacing w:after="0"/>
              <w:rPr>
                <w:sz w:val="10"/>
                <w:szCs w:val="10"/>
                <w:color w:val="auto"/>
              </w:rPr>
            </w:pPr>
          </w:p>
        </w:tc>
        <w:tc>
          <w:tcPr>
            <w:tcW w:w="140" w:type="dxa"/>
            <w:vAlign w:val="bottom"/>
            <w:shd w:val="clear" w:color="auto" w:fill="E7ECFC"/>
          </w:tcPr>
          <w:p>
            <w:pPr>
              <w:spacing w:after="0"/>
              <w:rPr>
                <w:sz w:val="10"/>
                <w:szCs w:val="10"/>
                <w:color w:val="auto"/>
              </w:rPr>
            </w:pPr>
          </w:p>
        </w:tc>
        <w:tc>
          <w:tcPr>
            <w:tcW w:w="740" w:type="dxa"/>
            <w:vAlign w:val="bottom"/>
            <w:shd w:val="clear" w:color="auto" w:fill="E7ECFC"/>
          </w:tcPr>
          <w:p>
            <w:pPr>
              <w:spacing w:after="0"/>
              <w:rPr>
                <w:sz w:val="10"/>
                <w:szCs w:val="10"/>
                <w:color w:val="auto"/>
              </w:rPr>
            </w:pPr>
          </w:p>
        </w:tc>
        <w:tc>
          <w:tcPr>
            <w:tcW w:w="140" w:type="dxa"/>
            <w:vAlign w:val="bottom"/>
            <w:shd w:val="clear" w:color="auto" w:fill="E7ECFC"/>
          </w:tcPr>
          <w:p>
            <w:pPr>
              <w:spacing w:after="0"/>
              <w:rPr>
                <w:sz w:val="10"/>
                <w:szCs w:val="10"/>
                <w:color w:val="auto"/>
              </w:rPr>
            </w:pPr>
          </w:p>
        </w:tc>
        <w:tc>
          <w:tcPr>
            <w:tcW w:w="640" w:type="dxa"/>
            <w:vAlign w:val="bottom"/>
            <w:vMerge w:val="restart"/>
            <w:shd w:val="clear" w:color="auto" w:fill="E7ECFC"/>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80" w:type="dxa"/>
            <w:vAlign w:val="bottom"/>
            <w:gridSpan w:val="3"/>
            <w:vMerge w:val="restart"/>
            <w:shd w:val="clear" w:color="auto" w:fill="E7ECFC"/>
          </w:tcPr>
          <w:p>
            <w:pPr>
              <w:ind w:left="260"/>
              <w:spacing w:after="0"/>
              <w:rPr>
                <w:sz w:val="20"/>
                <w:szCs w:val="20"/>
                <w:color w:val="auto"/>
              </w:rPr>
            </w:pPr>
            <w:r>
              <w:rPr>
                <w:rFonts w:ascii="Times New Roman" w:cs="Times New Roman" w:eastAsia="Times New Roman" w:hAnsi="Times New Roman"/>
                <w:sz w:val="14"/>
                <w:szCs w:val="14"/>
                <w:color w:val="auto"/>
              </w:rPr>
              <w:t>125,000</w:t>
            </w:r>
          </w:p>
        </w:tc>
        <w:tc>
          <w:tcPr>
            <w:tcW w:w="40" w:type="dxa"/>
            <w:vAlign w:val="bottom"/>
            <w:shd w:val="clear" w:color="auto" w:fill="E7ECFC"/>
          </w:tcPr>
          <w:p>
            <w:pPr>
              <w:spacing w:after="0"/>
              <w:rPr>
                <w:sz w:val="10"/>
                <w:szCs w:val="10"/>
                <w:color w:val="auto"/>
              </w:rPr>
            </w:pPr>
          </w:p>
        </w:tc>
        <w:tc>
          <w:tcPr>
            <w:tcW w:w="74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200,000</w:t>
            </w:r>
          </w:p>
        </w:tc>
        <w:tc>
          <w:tcPr>
            <w:tcW w:w="66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0"/>
                <w:szCs w:val="10"/>
                <w:color w:val="auto"/>
              </w:rPr>
            </w:pPr>
          </w:p>
        </w:tc>
        <w:tc>
          <w:tcPr>
            <w:tcW w:w="780" w:type="dxa"/>
            <w:vAlign w:val="bottom"/>
            <w:gridSpan w:val="3"/>
            <w:vMerge w:val="restart"/>
            <w:shd w:val="clear" w:color="auto" w:fill="E7EC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E7EC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E7ECF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 w:type="dxa"/>
            <w:vAlign w:val="bottom"/>
            <w:shd w:val="clear" w:color="auto" w:fill="E7ECFC"/>
          </w:tcPr>
          <w:p>
            <w:pPr>
              <w:spacing w:after="0"/>
              <w:rPr>
                <w:sz w:val="14"/>
                <w:szCs w:val="14"/>
                <w:color w:val="auto"/>
              </w:rPr>
            </w:pPr>
          </w:p>
        </w:tc>
        <w:tc>
          <w:tcPr>
            <w:tcW w:w="1440" w:type="dxa"/>
            <w:vAlign w:val="bottom"/>
            <w:shd w:val="clear" w:color="auto" w:fill="E7ECFC"/>
          </w:tcPr>
          <w:p>
            <w:pPr>
              <w:spacing w:after="0"/>
              <w:rPr>
                <w:sz w:val="14"/>
                <w:szCs w:val="14"/>
                <w:color w:val="auto"/>
              </w:rPr>
            </w:pPr>
          </w:p>
        </w:tc>
        <w:tc>
          <w:tcPr>
            <w:tcW w:w="40" w:type="dxa"/>
            <w:vAlign w:val="bottom"/>
            <w:shd w:val="clear" w:color="auto" w:fill="E7ECFC"/>
          </w:tcPr>
          <w:p>
            <w:pPr>
              <w:spacing w:after="0"/>
              <w:rPr>
                <w:sz w:val="14"/>
                <w:szCs w:val="14"/>
                <w:color w:val="auto"/>
              </w:rPr>
            </w:pPr>
          </w:p>
        </w:tc>
        <w:tc>
          <w:tcPr>
            <w:tcW w:w="1120" w:type="dxa"/>
            <w:vAlign w:val="bottom"/>
            <w:gridSpan w:val="2"/>
            <w:shd w:val="clear" w:color="auto" w:fill="E7ECFC"/>
          </w:tcPr>
          <w:p>
            <w:pPr>
              <w:jc w:val="center"/>
              <w:ind w:right="120"/>
              <w:spacing w:after="0"/>
              <w:rPr>
                <w:sz w:val="20"/>
                <w:szCs w:val="20"/>
                <w:color w:val="auto"/>
              </w:rPr>
            </w:pPr>
            <w:r>
              <w:rPr>
                <w:rFonts w:ascii="Times New Roman" w:cs="Times New Roman" w:eastAsia="Times New Roman" w:hAnsi="Times New Roman"/>
                <w:sz w:val="14"/>
                <w:szCs w:val="14"/>
                <w:color w:val="auto"/>
              </w:rPr>
              <w:t>Bonus</w:t>
            </w:r>
          </w:p>
        </w:tc>
        <w:tc>
          <w:tcPr>
            <w:tcW w:w="700" w:type="dxa"/>
            <w:vAlign w:val="bottom"/>
            <w:shd w:val="clear" w:color="auto" w:fill="E7ECFC"/>
          </w:tcPr>
          <w:p>
            <w:pPr>
              <w:spacing w:after="0"/>
              <w:rPr>
                <w:sz w:val="14"/>
                <w:szCs w:val="14"/>
                <w:color w:val="auto"/>
              </w:rPr>
            </w:pPr>
          </w:p>
        </w:tc>
        <w:tc>
          <w:tcPr>
            <w:tcW w:w="140" w:type="dxa"/>
            <w:vAlign w:val="bottom"/>
            <w:shd w:val="clear" w:color="auto" w:fill="E7ECFC"/>
          </w:tcPr>
          <w:p>
            <w:pPr>
              <w:spacing w:after="0"/>
              <w:rPr>
                <w:sz w:val="14"/>
                <w:szCs w:val="14"/>
                <w:color w:val="auto"/>
              </w:rPr>
            </w:pPr>
          </w:p>
        </w:tc>
        <w:tc>
          <w:tcPr>
            <w:tcW w:w="740" w:type="dxa"/>
            <w:vAlign w:val="bottom"/>
            <w:shd w:val="clear" w:color="auto" w:fill="E7ECFC"/>
          </w:tcPr>
          <w:p>
            <w:pPr>
              <w:spacing w:after="0"/>
              <w:rPr>
                <w:sz w:val="14"/>
                <w:szCs w:val="14"/>
                <w:color w:val="auto"/>
              </w:rPr>
            </w:pPr>
          </w:p>
        </w:tc>
        <w:tc>
          <w:tcPr>
            <w:tcW w:w="140" w:type="dxa"/>
            <w:vAlign w:val="bottom"/>
            <w:shd w:val="clear" w:color="auto" w:fill="E7ECFC"/>
          </w:tcPr>
          <w:p>
            <w:pPr>
              <w:spacing w:after="0"/>
              <w:rPr>
                <w:sz w:val="14"/>
                <w:szCs w:val="14"/>
                <w:color w:val="auto"/>
              </w:rPr>
            </w:pPr>
          </w:p>
        </w:tc>
        <w:tc>
          <w:tcPr>
            <w:tcW w:w="640" w:type="dxa"/>
            <w:vAlign w:val="bottom"/>
            <w:vMerge w:val="continue"/>
            <w:shd w:val="clear" w:color="auto" w:fill="E7ECFC"/>
          </w:tcPr>
          <w:p>
            <w:pPr>
              <w:spacing w:after="0"/>
              <w:rPr>
                <w:sz w:val="14"/>
                <w:szCs w:val="14"/>
                <w:color w:val="auto"/>
              </w:rPr>
            </w:pPr>
          </w:p>
        </w:tc>
        <w:tc>
          <w:tcPr>
            <w:tcW w:w="880" w:type="dxa"/>
            <w:vAlign w:val="bottom"/>
            <w:gridSpan w:val="3"/>
            <w:vMerge w:val="continue"/>
            <w:shd w:val="clear" w:color="auto" w:fill="E7ECFC"/>
          </w:tcPr>
          <w:p>
            <w:pPr>
              <w:spacing w:after="0"/>
              <w:rPr>
                <w:sz w:val="14"/>
                <w:szCs w:val="14"/>
                <w:color w:val="auto"/>
              </w:rPr>
            </w:pPr>
          </w:p>
        </w:tc>
        <w:tc>
          <w:tcPr>
            <w:tcW w:w="40" w:type="dxa"/>
            <w:vAlign w:val="bottom"/>
            <w:shd w:val="clear" w:color="auto" w:fill="E7ECFC"/>
          </w:tcPr>
          <w:p>
            <w:pPr>
              <w:spacing w:after="0"/>
              <w:rPr>
                <w:sz w:val="14"/>
                <w:szCs w:val="14"/>
                <w:color w:val="auto"/>
              </w:rPr>
            </w:pPr>
          </w:p>
        </w:tc>
        <w:tc>
          <w:tcPr>
            <w:tcW w:w="740" w:type="dxa"/>
            <w:vAlign w:val="bottom"/>
            <w:gridSpan w:val="2"/>
            <w:vMerge w:val="continue"/>
            <w:shd w:val="clear" w:color="auto" w:fill="E7ECFC"/>
          </w:tcPr>
          <w:p>
            <w:pPr>
              <w:spacing w:after="0"/>
              <w:rPr>
                <w:sz w:val="14"/>
                <w:szCs w:val="14"/>
                <w:color w:val="auto"/>
              </w:rPr>
            </w:pPr>
          </w:p>
        </w:tc>
        <w:tc>
          <w:tcPr>
            <w:tcW w:w="660" w:type="dxa"/>
            <w:vAlign w:val="bottom"/>
            <w:gridSpan w:val="2"/>
            <w:vMerge w:val="continue"/>
            <w:shd w:val="clear" w:color="auto" w:fill="E7ECFC"/>
          </w:tcPr>
          <w:p>
            <w:pPr>
              <w:spacing w:after="0"/>
              <w:rPr>
                <w:sz w:val="14"/>
                <w:szCs w:val="14"/>
                <w:color w:val="auto"/>
              </w:rPr>
            </w:pPr>
          </w:p>
        </w:tc>
        <w:tc>
          <w:tcPr>
            <w:tcW w:w="140" w:type="dxa"/>
            <w:vAlign w:val="bottom"/>
            <w:shd w:val="clear" w:color="auto" w:fill="E7ECFC"/>
          </w:tcPr>
          <w:p>
            <w:pPr>
              <w:spacing w:after="0"/>
              <w:rPr>
                <w:sz w:val="14"/>
                <w:szCs w:val="14"/>
                <w:color w:val="auto"/>
              </w:rPr>
            </w:pPr>
          </w:p>
        </w:tc>
        <w:tc>
          <w:tcPr>
            <w:tcW w:w="780" w:type="dxa"/>
            <w:vAlign w:val="bottom"/>
            <w:gridSpan w:val="3"/>
            <w:vMerge w:val="continue"/>
            <w:shd w:val="clear" w:color="auto" w:fill="E7ECFC"/>
          </w:tcPr>
          <w:p>
            <w:pPr>
              <w:spacing w:after="0"/>
              <w:rPr>
                <w:sz w:val="14"/>
                <w:szCs w:val="14"/>
                <w:color w:val="auto"/>
              </w:rPr>
            </w:pPr>
          </w:p>
        </w:tc>
        <w:tc>
          <w:tcPr>
            <w:tcW w:w="780" w:type="dxa"/>
            <w:vAlign w:val="bottom"/>
            <w:gridSpan w:val="2"/>
            <w:vMerge w:val="continue"/>
            <w:shd w:val="clear" w:color="auto" w:fill="E7ECFC"/>
          </w:tcPr>
          <w:p>
            <w:pPr>
              <w:spacing w:after="0"/>
              <w:rPr>
                <w:sz w:val="14"/>
                <w:szCs w:val="14"/>
                <w:color w:val="auto"/>
              </w:rPr>
            </w:pPr>
          </w:p>
        </w:tc>
        <w:tc>
          <w:tcPr>
            <w:tcW w:w="800" w:type="dxa"/>
            <w:vAlign w:val="bottom"/>
            <w:gridSpan w:val="2"/>
            <w:vMerge w:val="continue"/>
            <w:shd w:val="clear" w:color="auto" w:fill="E7ECFC"/>
          </w:tcPr>
          <w:p>
            <w:pPr>
              <w:spacing w:after="0"/>
              <w:rPr>
                <w:sz w:val="14"/>
                <w:szCs w:val="14"/>
                <w:color w:val="auto"/>
              </w:rPr>
            </w:pPr>
          </w:p>
        </w:tc>
        <w:tc>
          <w:tcPr>
            <w:tcW w:w="920" w:type="dxa"/>
            <w:vAlign w:val="bottom"/>
            <w:gridSpan w:val="2"/>
            <w:vMerge w:val="continue"/>
            <w:shd w:val="clear" w:color="auto" w:fill="E7EC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Kate Shamsuddin Jensen</w:t>
            </w:r>
          </w:p>
        </w:tc>
        <w:tc>
          <w:tcPr>
            <w:tcW w:w="40" w:type="dxa"/>
            <w:vAlign w:val="bottom"/>
          </w:tcPr>
          <w:p>
            <w:pPr>
              <w:spacing w:after="0"/>
              <w:rPr>
                <w:sz w:val="10"/>
                <w:szCs w:val="10"/>
                <w:color w:val="auto"/>
              </w:rPr>
            </w:pPr>
          </w:p>
        </w:tc>
        <w:tc>
          <w:tcPr>
            <w:tcW w:w="112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rPr>
              <w:t>Cash Incentive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100,000</w:t>
            </w:r>
          </w:p>
        </w:tc>
        <w:tc>
          <w:tcPr>
            <w:tcW w:w="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125,000</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Bonus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gridSpan w:val="2"/>
            <w:shd w:val="clear" w:color="auto" w:fill="E7ECFC"/>
          </w:tcPr>
          <w:p>
            <w:pPr>
              <w:spacing w:after="0" w:line="126" w:lineRule="exact"/>
              <w:rPr>
                <w:sz w:val="20"/>
                <w:szCs w:val="20"/>
                <w:color w:val="auto"/>
              </w:rPr>
            </w:pPr>
            <w:r>
              <w:rPr>
                <w:rFonts w:ascii="Times New Roman" w:cs="Times New Roman" w:eastAsia="Times New Roman" w:hAnsi="Times New Roman"/>
                <w:sz w:val="14"/>
                <w:szCs w:val="14"/>
                <w:color w:val="auto"/>
              </w:rPr>
              <w:t>David Samuels</w:t>
            </w:r>
          </w:p>
        </w:tc>
        <w:tc>
          <w:tcPr>
            <w:tcW w:w="40" w:type="dxa"/>
            <w:vAlign w:val="bottom"/>
            <w:shd w:val="clear" w:color="auto" w:fill="E7ECFC"/>
          </w:tcPr>
          <w:p>
            <w:pPr>
              <w:spacing w:after="0"/>
              <w:rPr>
                <w:sz w:val="10"/>
                <w:szCs w:val="10"/>
                <w:color w:val="auto"/>
              </w:rPr>
            </w:pPr>
          </w:p>
        </w:tc>
        <w:tc>
          <w:tcPr>
            <w:tcW w:w="1120" w:type="dxa"/>
            <w:vAlign w:val="bottom"/>
            <w:gridSpan w:val="2"/>
            <w:shd w:val="clear" w:color="auto" w:fill="E7ECFC"/>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rPr>
              <w:t>Cash Incentive</w:t>
            </w:r>
          </w:p>
        </w:tc>
        <w:tc>
          <w:tcPr>
            <w:tcW w:w="700" w:type="dxa"/>
            <w:vAlign w:val="bottom"/>
            <w:shd w:val="clear" w:color="auto" w:fill="E7ECFC"/>
          </w:tcPr>
          <w:p>
            <w:pPr>
              <w:spacing w:after="0"/>
              <w:rPr>
                <w:sz w:val="10"/>
                <w:szCs w:val="10"/>
                <w:color w:val="auto"/>
              </w:rPr>
            </w:pPr>
          </w:p>
        </w:tc>
        <w:tc>
          <w:tcPr>
            <w:tcW w:w="140" w:type="dxa"/>
            <w:vAlign w:val="bottom"/>
            <w:shd w:val="clear" w:color="auto" w:fill="E7ECFC"/>
          </w:tcPr>
          <w:p>
            <w:pPr>
              <w:spacing w:after="0"/>
              <w:rPr>
                <w:sz w:val="10"/>
                <w:szCs w:val="10"/>
                <w:color w:val="auto"/>
              </w:rPr>
            </w:pPr>
          </w:p>
        </w:tc>
        <w:tc>
          <w:tcPr>
            <w:tcW w:w="740" w:type="dxa"/>
            <w:vAlign w:val="bottom"/>
            <w:shd w:val="clear" w:color="auto" w:fill="E7ECFC"/>
          </w:tcPr>
          <w:p>
            <w:pPr>
              <w:spacing w:after="0"/>
              <w:rPr>
                <w:sz w:val="10"/>
                <w:szCs w:val="10"/>
                <w:color w:val="auto"/>
              </w:rPr>
            </w:pPr>
          </w:p>
        </w:tc>
        <w:tc>
          <w:tcPr>
            <w:tcW w:w="140" w:type="dxa"/>
            <w:vAlign w:val="bottom"/>
            <w:shd w:val="clear" w:color="auto" w:fill="E7ECFC"/>
          </w:tcPr>
          <w:p>
            <w:pPr>
              <w:spacing w:after="0"/>
              <w:rPr>
                <w:sz w:val="10"/>
                <w:szCs w:val="10"/>
                <w:color w:val="auto"/>
              </w:rPr>
            </w:pPr>
          </w:p>
        </w:tc>
        <w:tc>
          <w:tcPr>
            <w:tcW w:w="640" w:type="dxa"/>
            <w:vAlign w:val="bottom"/>
            <w:vMerge w:val="restart"/>
            <w:shd w:val="clear" w:color="auto" w:fill="E7ECFC"/>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80" w:type="dxa"/>
            <w:vAlign w:val="bottom"/>
            <w:gridSpan w:val="3"/>
            <w:vMerge w:val="restart"/>
            <w:shd w:val="clear" w:color="auto" w:fill="E7ECFC"/>
          </w:tcPr>
          <w:p>
            <w:pPr>
              <w:ind w:left="260"/>
              <w:spacing w:after="0"/>
              <w:rPr>
                <w:sz w:val="20"/>
                <w:szCs w:val="20"/>
                <w:color w:val="auto"/>
              </w:rPr>
            </w:pPr>
            <w:r>
              <w:rPr>
                <w:rFonts w:ascii="Times New Roman" w:cs="Times New Roman" w:eastAsia="Times New Roman" w:hAnsi="Times New Roman"/>
                <w:sz w:val="14"/>
                <w:szCs w:val="14"/>
                <w:color w:val="auto"/>
              </w:rPr>
              <w:t>201,250</w:t>
            </w:r>
          </w:p>
        </w:tc>
        <w:tc>
          <w:tcPr>
            <w:tcW w:w="40" w:type="dxa"/>
            <w:vAlign w:val="bottom"/>
            <w:shd w:val="clear" w:color="auto" w:fill="E7ECFC"/>
          </w:tcPr>
          <w:p>
            <w:pPr>
              <w:spacing w:after="0"/>
              <w:rPr>
                <w:sz w:val="10"/>
                <w:szCs w:val="10"/>
                <w:color w:val="auto"/>
              </w:rPr>
            </w:pPr>
          </w:p>
        </w:tc>
        <w:tc>
          <w:tcPr>
            <w:tcW w:w="74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227,500</w:t>
            </w:r>
          </w:p>
        </w:tc>
        <w:tc>
          <w:tcPr>
            <w:tcW w:w="66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0"/>
                <w:szCs w:val="10"/>
                <w:color w:val="auto"/>
              </w:rPr>
            </w:pPr>
          </w:p>
        </w:tc>
        <w:tc>
          <w:tcPr>
            <w:tcW w:w="780" w:type="dxa"/>
            <w:vAlign w:val="bottom"/>
            <w:gridSpan w:val="3"/>
            <w:vMerge w:val="restart"/>
            <w:shd w:val="clear" w:color="auto" w:fill="E7EC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E7EC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E7ECF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E7ECFC"/>
          </w:tcPr>
          <w:p>
            <w:pPr>
              <w:spacing w:after="0"/>
              <w:rPr>
                <w:sz w:val="12"/>
                <w:szCs w:val="12"/>
                <w:color w:val="auto"/>
              </w:rPr>
            </w:pPr>
          </w:p>
        </w:tc>
        <w:tc>
          <w:tcPr>
            <w:tcW w:w="1440" w:type="dxa"/>
            <w:vAlign w:val="bottom"/>
            <w:shd w:val="clear" w:color="auto" w:fill="E7ECFC"/>
          </w:tcPr>
          <w:p>
            <w:pPr>
              <w:spacing w:after="0"/>
              <w:rPr>
                <w:sz w:val="12"/>
                <w:szCs w:val="12"/>
                <w:color w:val="auto"/>
              </w:rPr>
            </w:pPr>
          </w:p>
        </w:tc>
        <w:tc>
          <w:tcPr>
            <w:tcW w:w="40" w:type="dxa"/>
            <w:vAlign w:val="bottom"/>
            <w:shd w:val="clear" w:color="auto" w:fill="E7ECFC"/>
          </w:tcPr>
          <w:p>
            <w:pPr>
              <w:spacing w:after="0"/>
              <w:rPr>
                <w:sz w:val="12"/>
                <w:szCs w:val="12"/>
                <w:color w:val="auto"/>
              </w:rPr>
            </w:pPr>
          </w:p>
        </w:tc>
        <w:tc>
          <w:tcPr>
            <w:tcW w:w="1120" w:type="dxa"/>
            <w:vAlign w:val="bottom"/>
            <w:gridSpan w:val="2"/>
            <w:shd w:val="clear" w:color="auto" w:fill="E7ECFC"/>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Bonus</w:t>
            </w:r>
          </w:p>
        </w:tc>
        <w:tc>
          <w:tcPr>
            <w:tcW w:w="700" w:type="dxa"/>
            <w:vAlign w:val="bottom"/>
            <w:shd w:val="clear" w:color="auto" w:fill="E7ECFC"/>
          </w:tcPr>
          <w:p>
            <w:pPr>
              <w:spacing w:after="0"/>
              <w:rPr>
                <w:sz w:val="12"/>
                <w:szCs w:val="12"/>
                <w:color w:val="auto"/>
              </w:rPr>
            </w:pPr>
          </w:p>
        </w:tc>
        <w:tc>
          <w:tcPr>
            <w:tcW w:w="140" w:type="dxa"/>
            <w:vAlign w:val="bottom"/>
            <w:shd w:val="clear" w:color="auto" w:fill="E7ECFC"/>
          </w:tcPr>
          <w:p>
            <w:pPr>
              <w:spacing w:after="0"/>
              <w:rPr>
                <w:sz w:val="12"/>
                <w:szCs w:val="12"/>
                <w:color w:val="auto"/>
              </w:rPr>
            </w:pPr>
          </w:p>
        </w:tc>
        <w:tc>
          <w:tcPr>
            <w:tcW w:w="740" w:type="dxa"/>
            <w:vAlign w:val="bottom"/>
            <w:shd w:val="clear" w:color="auto" w:fill="E7ECFC"/>
          </w:tcPr>
          <w:p>
            <w:pPr>
              <w:spacing w:after="0"/>
              <w:rPr>
                <w:sz w:val="12"/>
                <w:szCs w:val="12"/>
                <w:color w:val="auto"/>
              </w:rPr>
            </w:pPr>
          </w:p>
        </w:tc>
        <w:tc>
          <w:tcPr>
            <w:tcW w:w="140" w:type="dxa"/>
            <w:vAlign w:val="bottom"/>
            <w:shd w:val="clear" w:color="auto" w:fill="E7ECFC"/>
          </w:tcPr>
          <w:p>
            <w:pPr>
              <w:spacing w:after="0"/>
              <w:rPr>
                <w:sz w:val="12"/>
                <w:szCs w:val="12"/>
                <w:color w:val="auto"/>
              </w:rPr>
            </w:pPr>
          </w:p>
        </w:tc>
        <w:tc>
          <w:tcPr>
            <w:tcW w:w="640" w:type="dxa"/>
            <w:vAlign w:val="bottom"/>
            <w:vMerge w:val="continue"/>
            <w:shd w:val="clear" w:color="auto" w:fill="E7ECFC"/>
          </w:tcPr>
          <w:p>
            <w:pPr>
              <w:spacing w:after="0"/>
              <w:rPr>
                <w:sz w:val="12"/>
                <w:szCs w:val="12"/>
                <w:color w:val="auto"/>
              </w:rPr>
            </w:pPr>
          </w:p>
        </w:tc>
        <w:tc>
          <w:tcPr>
            <w:tcW w:w="880" w:type="dxa"/>
            <w:vAlign w:val="bottom"/>
            <w:gridSpan w:val="3"/>
            <w:vMerge w:val="continue"/>
            <w:shd w:val="clear" w:color="auto" w:fill="E7ECFC"/>
          </w:tcPr>
          <w:p>
            <w:pPr>
              <w:spacing w:after="0"/>
              <w:rPr>
                <w:sz w:val="12"/>
                <w:szCs w:val="12"/>
                <w:color w:val="auto"/>
              </w:rPr>
            </w:pPr>
          </w:p>
        </w:tc>
        <w:tc>
          <w:tcPr>
            <w:tcW w:w="40" w:type="dxa"/>
            <w:vAlign w:val="bottom"/>
            <w:shd w:val="clear" w:color="auto" w:fill="E7ECFC"/>
          </w:tcPr>
          <w:p>
            <w:pPr>
              <w:spacing w:after="0"/>
              <w:rPr>
                <w:sz w:val="12"/>
                <w:szCs w:val="12"/>
                <w:color w:val="auto"/>
              </w:rPr>
            </w:pPr>
          </w:p>
        </w:tc>
        <w:tc>
          <w:tcPr>
            <w:tcW w:w="740" w:type="dxa"/>
            <w:vAlign w:val="bottom"/>
            <w:gridSpan w:val="2"/>
            <w:vMerge w:val="continue"/>
            <w:shd w:val="clear" w:color="auto" w:fill="E7ECFC"/>
          </w:tcPr>
          <w:p>
            <w:pPr>
              <w:spacing w:after="0"/>
              <w:rPr>
                <w:sz w:val="12"/>
                <w:szCs w:val="12"/>
                <w:color w:val="auto"/>
              </w:rPr>
            </w:pPr>
          </w:p>
        </w:tc>
        <w:tc>
          <w:tcPr>
            <w:tcW w:w="660" w:type="dxa"/>
            <w:vAlign w:val="bottom"/>
            <w:gridSpan w:val="2"/>
            <w:vMerge w:val="continue"/>
            <w:shd w:val="clear" w:color="auto" w:fill="E7ECFC"/>
          </w:tcPr>
          <w:p>
            <w:pPr>
              <w:spacing w:after="0"/>
              <w:rPr>
                <w:sz w:val="12"/>
                <w:szCs w:val="12"/>
                <w:color w:val="auto"/>
              </w:rPr>
            </w:pPr>
          </w:p>
        </w:tc>
        <w:tc>
          <w:tcPr>
            <w:tcW w:w="140" w:type="dxa"/>
            <w:vAlign w:val="bottom"/>
            <w:shd w:val="clear" w:color="auto" w:fill="E7ECFC"/>
          </w:tcPr>
          <w:p>
            <w:pPr>
              <w:spacing w:after="0"/>
              <w:rPr>
                <w:sz w:val="12"/>
                <w:szCs w:val="12"/>
                <w:color w:val="auto"/>
              </w:rPr>
            </w:pPr>
          </w:p>
        </w:tc>
        <w:tc>
          <w:tcPr>
            <w:tcW w:w="780" w:type="dxa"/>
            <w:vAlign w:val="bottom"/>
            <w:gridSpan w:val="3"/>
            <w:vMerge w:val="continue"/>
            <w:shd w:val="clear" w:color="auto" w:fill="E7ECFC"/>
          </w:tcPr>
          <w:p>
            <w:pPr>
              <w:spacing w:after="0"/>
              <w:rPr>
                <w:sz w:val="12"/>
                <w:szCs w:val="12"/>
                <w:color w:val="auto"/>
              </w:rPr>
            </w:pPr>
          </w:p>
        </w:tc>
        <w:tc>
          <w:tcPr>
            <w:tcW w:w="780" w:type="dxa"/>
            <w:vAlign w:val="bottom"/>
            <w:gridSpan w:val="2"/>
            <w:vMerge w:val="continue"/>
            <w:shd w:val="clear" w:color="auto" w:fill="E7ECFC"/>
          </w:tcPr>
          <w:p>
            <w:pPr>
              <w:spacing w:after="0"/>
              <w:rPr>
                <w:sz w:val="12"/>
                <w:szCs w:val="12"/>
                <w:color w:val="auto"/>
              </w:rPr>
            </w:pPr>
          </w:p>
        </w:tc>
        <w:tc>
          <w:tcPr>
            <w:tcW w:w="800" w:type="dxa"/>
            <w:vAlign w:val="bottom"/>
            <w:gridSpan w:val="2"/>
            <w:vMerge w:val="continue"/>
            <w:shd w:val="clear" w:color="auto" w:fill="E7ECFC"/>
          </w:tcPr>
          <w:p>
            <w:pPr>
              <w:spacing w:after="0"/>
              <w:rPr>
                <w:sz w:val="12"/>
                <w:szCs w:val="12"/>
                <w:color w:val="auto"/>
              </w:rPr>
            </w:pPr>
          </w:p>
        </w:tc>
        <w:tc>
          <w:tcPr>
            <w:tcW w:w="920" w:type="dxa"/>
            <w:vAlign w:val="bottom"/>
            <w:gridSpan w:val="2"/>
            <w:vMerge w:val="continue"/>
            <w:shd w:val="clear" w:color="auto" w:fill="E7EC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E7ECFC"/>
          </w:tcPr>
          <w:p>
            <w:pPr>
              <w:spacing w:after="0"/>
              <w:rPr>
                <w:sz w:val="12"/>
                <w:szCs w:val="12"/>
                <w:color w:val="auto"/>
              </w:rPr>
            </w:pPr>
          </w:p>
        </w:tc>
        <w:tc>
          <w:tcPr>
            <w:tcW w:w="1440" w:type="dxa"/>
            <w:vAlign w:val="bottom"/>
            <w:shd w:val="clear" w:color="auto" w:fill="E7ECFC"/>
          </w:tcPr>
          <w:p>
            <w:pPr>
              <w:spacing w:after="0"/>
              <w:rPr>
                <w:sz w:val="12"/>
                <w:szCs w:val="12"/>
                <w:color w:val="auto"/>
              </w:rPr>
            </w:pPr>
          </w:p>
        </w:tc>
        <w:tc>
          <w:tcPr>
            <w:tcW w:w="40" w:type="dxa"/>
            <w:vAlign w:val="bottom"/>
            <w:shd w:val="clear" w:color="auto" w:fill="E7ECFC"/>
          </w:tcPr>
          <w:p>
            <w:pPr>
              <w:spacing w:after="0"/>
              <w:rPr>
                <w:sz w:val="12"/>
                <w:szCs w:val="12"/>
                <w:color w:val="auto"/>
              </w:rPr>
            </w:pPr>
          </w:p>
        </w:tc>
        <w:tc>
          <w:tcPr>
            <w:tcW w:w="1120" w:type="dxa"/>
            <w:vAlign w:val="bottom"/>
            <w:gridSpan w:val="2"/>
            <w:shd w:val="clear" w:color="auto" w:fill="E7ECFC"/>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84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11/1/2022</w:t>
            </w:r>
          </w:p>
        </w:tc>
        <w:tc>
          <w:tcPr>
            <w:tcW w:w="88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11/1/2022</w:t>
            </w:r>
          </w:p>
        </w:tc>
        <w:tc>
          <w:tcPr>
            <w:tcW w:w="640" w:type="dxa"/>
            <w:vAlign w:val="bottom"/>
            <w:vMerge w:val="restart"/>
            <w:shd w:val="clear" w:color="auto" w:fill="E7EC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vMerge w:val="restart"/>
            <w:shd w:val="clear" w:color="auto" w:fill="E7EC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E7ECFC"/>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vMerge w:val="restart"/>
            <w:shd w:val="clear" w:color="auto" w:fill="E7EC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4,688</w:t>
            </w:r>
          </w:p>
        </w:tc>
        <w:tc>
          <w:tcPr>
            <w:tcW w:w="920" w:type="dxa"/>
            <w:vAlign w:val="bottom"/>
            <w:gridSpan w:val="2"/>
            <w:vMerge w:val="restart"/>
            <w:shd w:val="clear" w:color="auto" w:fill="E7ECFC"/>
          </w:tcPr>
          <w:p>
            <w:pPr>
              <w:jc w:val="right"/>
              <w:ind w:right="60"/>
              <w:spacing w:after="0"/>
              <w:rPr>
                <w:sz w:val="20"/>
                <w:szCs w:val="20"/>
                <w:color w:val="auto"/>
              </w:rPr>
            </w:pPr>
            <w:r>
              <w:rPr>
                <w:rFonts w:ascii="Times New Roman" w:cs="Times New Roman" w:eastAsia="Times New Roman" w:hAnsi="Times New Roman"/>
                <w:sz w:val="14"/>
                <w:szCs w:val="14"/>
                <w:color w:val="auto"/>
              </w:rPr>
              <w:t>73,414</w:t>
            </w:r>
          </w:p>
        </w:tc>
        <w:tc>
          <w:tcPr>
            <w:tcW w:w="0" w:type="dxa"/>
            <w:vAlign w:val="bottom"/>
          </w:tcPr>
          <w:p>
            <w:pPr>
              <w:spacing w:after="0"/>
              <w:rPr>
                <w:sz w:val="1"/>
                <w:szCs w:val="1"/>
                <w:color w:val="auto"/>
              </w:rPr>
            </w:pPr>
          </w:p>
        </w:tc>
      </w:tr>
      <w:tr>
        <w:trPr>
          <w:trHeight w:val="148"/>
        </w:trPr>
        <w:tc>
          <w:tcPr>
            <w:tcW w:w="320" w:type="dxa"/>
            <w:vAlign w:val="bottom"/>
            <w:shd w:val="clear" w:color="auto" w:fill="E7ECFC"/>
          </w:tcPr>
          <w:p>
            <w:pPr>
              <w:spacing w:after="0"/>
              <w:rPr>
                <w:sz w:val="12"/>
                <w:szCs w:val="12"/>
                <w:color w:val="auto"/>
              </w:rPr>
            </w:pPr>
          </w:p>
        </w:tc>
        <w:tc>
          <w:tcPr>
            <w:tcW w:w="1440" w:type="dxa"/>
            <w:vAlign w:val="bottom"/>
            <w:shd w:val="clear" w:color="auto" w:fill="E7ECFC"/>
          </w:tcPr>
          <w:p>
            <w:pPr>
              <w:spacing w:after="0"/>
              <w:rPr>
                <w:sz w:val="12"/>
                <w:szCs w:val="12"/>
                <w:color w:val="auto"/>
              </w:rPr>
            </w:pPr>
          </w:p>
        </w:tc>
        <w:tc>
          <w:tcPr>
            <w:tcW w:w="40" w:type="dxa"/>
            <w:vAlign w:val="bottom"/>
            <w:shd w:val="clear" w:color="auto" w:fill="E7ECFC"/>
          </w:tcPr>
          <w:p>
            <w:pPr>
              <w:spacing w:after="0"/>
              <w:rPr>
                <w:sz w:val="12"/>
                <w:szCs w:val="12"/>
                <w:color w:val="auto"/>
              </w:rPr>
            </w:pPr>
          </w:p>
        </w:tc>
        <w:tc>
          <w:tcPr>
            <w:tcW w:w="1120" w:type="dxa"/>
            <w:vAlign w:val="bottom"/>
            <w:gridSpan w:val="2"/>
            <w:shd w:val="clear" w:color="auto" w:fill="E7ECFC"/>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Modification</w:t>
            </w:r>
            <w:r>
              <w:rPr>
                <w:rFonts w:ascii="Times New Roman" w:cs="Times New Roman" w:eastAsia="Times New Roman" w:hAnsi="Times New Roman"/>
                <w:sz w:val="10"/>
                <w:szCs w:val="10"/>
                <w:b w:val="1"/>
                <w:bCs w:val="1"/>
                <w:color w:val="auto"/>
              </w:rPr>
              <w:t>(5)</w:t>
            </w:r>
          </w:p>
        </w:tc>
        <w:tc>
          <w:tcPr>
            <w:tcW w:w="840" w:type="dxa"/>
            <w:vAlign w:val="bottom"/>
            <w:gridSpan w:val="2"/>
            <w:vMerge w:val="continue"/>
            <w:shd w:val="clear" w:color="auto" w:fill="E7ECFC"/>
          </w:tcPr>
          <w:p>
            <w:pPr>
              <w:spacing w:after="0"/>
              <w:rPr>
                <w:sz w:val="12"/>
                <w:szCs w:val="12"/>
                <w:color w:val="auto"/>
              </w:rPr>
            </w:pPr>
          </w:p>
        </w:tc>
        <w:tc>
          <w:tcPr>
            <w:tcW w:w="880" w:type="dxa"/>
            <w:vAlign w:val="bottom"/>
            <w:gridSpan w:val="2"/>
            <w:vMerge w:val="continue"/>
            <w:shd w:val="clear" w:color="auto" w:fill="E7ECFC"/>
          </w:tcPr>
          <w:p>
            <w:pPr>
              <w:spacing w:after="0"/>
              <w:rPr>
                <w:sz w:val="12"/>
                <w:szCs w:val="12"/>
                <w:color w:val="auto"/>
              </w:rPr>
            </w:pPr>
          </w:p>
        </w:tc>
        <w:tc>
          <w:tcPr>
            <w:tcW w:w="640" w:type="dxa"/>
            <w:vAlign w:val="bottom"/>
            <w:vMerge w:val="continue"/>
            <w:shd w:val="clear" w:color="auto" w:fill="E7ECFC"/>
          </w:tcPr>
          <w:p>
            <w:pPr>
              <w:spacing w:after="0"/>
              <w:rPr>
                <w:sz w:val="12"/>
                <w:szCs w:val="12"/>
                <w:color w:val="auto"/>
              </w:rPr>
            </w:pPr>
          </w:p>
        </w:tc>
        <w:tc>
          <w:tcPr>
            <w:tcW w:w="140" w:type="dxa"/>
            <w:vAlign w:val="bottom"/>
            <w:shd w:val="clear" w:color="auto" w:fill="E7ECFC"/>
          </w:tcPr>
          <w:p>
            <w:pPr>
              <w:spacing w:after="0"/>
              <w:rPr>
                <w:sz w:val="12"/>
                <w:szCs w:val="12"/>
                <w:color w:val="auto"/>
              </w:rPr>
            </w:pPr>
          </w:p>
        </w:tc>
        <w:tc>
          <w:tcPr>
            <w:tcW w:w="780" w:type="dxa"/>
            <w:vAlign w:val="bottom"/>
            <w:gridSpan w:val="3"/>
            <w:vMerge w:val="continue"/>
            <w:shd w:val="clear" w:color="auto" w:fill="E7ECFC"/>
          </w:tcPr>
          <w:p>
            <w:pPr>
              <w:spacing w:after="0"/>
              <w:rPr>
                <w:sz w:val="12"/>
                <w:szCs w:val="12"/>
                <w:color w:val="auto"/>
              </w:rPr>
            </w:pPr>
          </w:p>
        </w:tc>
        <w:tc>
          <w:tcPr>
            <w:tcW w:w="740" w:type="dxa"/>
            <w:vAlign w:val="bottom"/>
            <w:gridSpan w:val="2"/>
            <w:vMerge w:val="continue"/>
            <w:shd w:val="clear" w:color="auto" w:fill="E7ECFC"/>
          </w:tcPr>
          <w:p>
            <w:pPr>
              <w:spacing w:after="0"/>
              <w:rPr>
                <w:sz w:val="12"/>
                <w:szCs w:val="12"/>
                <w:color w:val="auto"/>
              </w:rPr>
            </w:pPr>
          </w:p>
        </w:tc>
        <w:tc>
          <w:tcPr>
            <w:tcW w:w="660" w:type="dxa"/>
            <w:vAlign w:val="bottom"/>
            <w:gridSpan w:val="2"/>
            <w:vMerge w:val="continue"/>
            <w:shd w:val="clear" w:color="auto" w:fill="E7ECFC"/>
          </w:tcPr>
          <w:p>
            <w:pPr>
              <w:spacing w:after="0"/>
              <w:rPr>
                <w:sz w:val="12"/>
                <w:szCs w:val="12"/>
                <w:color w:val="auto"/>
              </w:rPr>
            </w:pPr>
          </w:p>
        </w:tc>
        <w:tc>
          <w:tcPr>
            <w:tcW w:w="140" w:type="dxa"/>
            <w:vAlign w:val="bottom"/>
            <w:shd w:val="clear" w:color="auto" w:fill="E7ECFC"/>
          </w:tcPr>
          <w:p>
            <w:pPr>
              <w:spacing w:after="0"/>
              <w:rPr>
                <w:sz w:val="12"/>
                <w:szCs w:val="12"/>
                <w:color w:val="auto"/>
              </w:rPr>
            </w:pPr>
          </w:p>
        </w:tc>
        <w:tc>
          <w:tcPr>
            <w:tcW w:w="780" w:type="dxa"/>
            <w:vAlign w:val="bottom"/>
            <w:gridSpan w:val="3"/>
            <w:vMerge w:val="continue"/>
            <w:shd w:val="clear" w:color="auto" w:fill="E7ECFC"/>
          </w:tcPr>
          <w:p>
            <w:pPr>
              <w:spacing w:after="0"/>
              <w:rPr>
                <w:sz w:val="12"/>
                <w:szCs w:val="12"/>
                <w:color w:val="auto"/>
              </w:rPr>
            </w:pPr>
          </w:p>
        </w:tc>
        <w:tc>
          <w:tcPr>
            <w:tcW w:w="780" w:type="dxa"/>
            <w:vAlign w:val="bottom"/>
            <w:gridSpan w:val="2"/>
            <w:vMerge w:val="continue"/>
            <w:shd w:val="clear" w:color="auto" w:fill="E7ECFC"/>
          </w:tcPr>
          <w:p>
            <w:pPr>
              <w:spacing w:after="0"/>
              <w:rPr>
                <w:sz w:val="12"/>
                <w:szCs w:val="12"/>
                <w:color w:val="auto"/>
              </w:rPr>
            </w:pPr>
          </w:p>
        </w:tc>
        <w:tc>
          <w:tcPr>
            <w:tcW w:w="800" w:type="dxa"/>
            <w:vAlign w:val="bottom"/>
            <w:gridSpan w:val="2"/>
            <w:vMerge w:val="continue"/>
            <w:shd w:val="clear" w:color="auto" w:fill="E7ECFC"/>
          </w:tcPr>
          <w:p>
            <w:pPr>
              <w:spacing w:after="0"/>
              <w:rPr>
                <w:sz w:val="12"/>
                <w:szCs w:val="12"/>
                <w:color w:val="auto"/>
              </w:rPr>
            </w:pPr>
          </w:p>
        </w:tc>
        <w:tc>
          <w:tcPr>
            <w:tcW w:w="920" w:type="dxa"/>
            <w:vAlign w:val="bottom"/>
            <w:gridSpan w:val="2"/>
            <w:vMerge w:val="continue"/>
            <w:shd w:val="clear" w:color="auto" w:fill="E7EC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E7ECFC"/>
          </w:tcPr>
          <w:p>
            <w:pPr>
              <w:spacing w:after="0"/>
              <w:rPr>
                <w:sz w:val="12"/>
                <w:szCs w:val="12"/>
                <w:color w:val="auto"/>
              </w:rPr>
            </w:pPr>
          </w:p>
        </w:tc>
        <w:tc>
          <w:tcPr>
            <w:tcW w:w="1440" w:type="dxa"/>
            <w:vAlign w:val="bottom"/>
            <w:shd w:val="clear" w:color="auto" w:fill="E7ECFC"/>
          </w:tcPr>
          <w:p>
            <w:pPr>
              <w:spacing w:after="0"/>
              <w:rPr>
                <w:sz w:val="12"/>
                <w:szCs w:val="12"/>
                <w:color w:val="auto"/>
              </w:rPr>
            </w:pPr>
          </w:p>
        </w:tc>
        <w:tc>
          <w:tcPr>
            <w:tcW w:w="40" w:type="dxa"/>
            <w:vAlign w:val="bottom"/>
            <w:shd w:val="clear" w:color="auto" w:fill="E7ECFC"/>
          </w:tcPr>
          <w:p>
            <w:pPr>
              <w:spacing w:after="0"/>
              <w:rPr>
                <w:sz w:val="12"/>
                <w:szCs w:val="12"/>
                <w:color w:val="auto"/>
              </w:rPr>
            </w:pPr>
          </w:p>
        </w:tc>
        <w:tc>
          <w:tcPr>
            <w:tcW w:w="1120" w:type="dxa"/>
            <w:vAlign w:val="bottom"/>
            <w:gridSpan w:val="2"/>
            <w:shd w:val="clear" w:color="auto" w:fill="E7ECFC"/>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LLC Unit</w:t>
            </w:r>
          </w:p>
        </w:tc>
        <w:tc>
          <w:tcPr>
            <w:tcW w:w="84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11/1/2022</w:t>
            </w:r>
          </w:p>
        </w:tc>
        <w:tc>
          <w:tcPr>
            <w:tcW w:w="88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11/1/2022</w:t>
            </w:r>
          </w:p>
        </w:tc>
        <w:tc>
          <w:tcPr>
            <w:tcW w:w="640" w:type="dxa"/>
            <w:vAlign w:val="bottom"/>
            <w:vMerge w:val="restart"/>
            <w:shd w:val="clear" w:color="auto" w:fill="E7EC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vMerge w:val="restart"/>
            <w:shd w:val="clear" w:color="auto" w:fill="E7EC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E7ECFC"/>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CFC"/>
          </w:tcPr>
          <w:p>
            <w:pPr>
              <w:spacing w:after="0"/>
              <w:rPr>
                <w:sz w:val="12"/>
                <w:szCs w:val="12"/>
                <w:color w:val="auto"/>
              </w:rPr>
            </w:pPr>
          </w:p>
        </w:tc>
        <w:tc>
          <w:tcPr>
            <w:tcW w:w="780" w:type="dxa"/>
            <w:vAlign w:val="bottom"/>
            <w:gridSpan w:val="3"/>
            <w:vMerge w:val="restart"/>
            <w:shd w:val="clear" w:color="auto" w:fill="E7EC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E7EC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E7ECFC"/>
          </w:tcPr>
          <w:p>
            <w:pPr>
              <w:jc w:val="right"/>
              <w:ind w:right="140"/>
              <w:spacing w:after="0"/>
              <w:rPr>
                <w:sz w:val="20"/>
                <w:szCs w:val="20"/>
                <w:color w:val="auto"/>
              </w:rPr>
            </w:pPr>
            <w:r>
              <w:rPr>
                <w:rFonts w:ascii="Times New Roman" w:cs="Times New Roman" w:eastAsia="Times New Roman" w:hAnsi="Times New Roman"/>
                <w:sz w:val="14"/>
                <w:szCs w:val="14"/>
                <w:color w:val="auto"/>
              </w:rPr>
              <w:t>108,014</w:t>
            </w:r>
          </w:p>
        </w:tc>
        <w:tc>
          <w:tcPr>
            <w:tcW w:w="920" w:type="dxa"/>
            <w:vAlign w:val="bottom"/>
            <w:gridSpan w:val="2"/>
            <w:vMerge w:val="restart"/>
            <w:shd w:val="clear" w:color="auto" w:fill="E7ECFC"/>
          </w:tcPr>
          <w:p>
            <w:pPr>
              <w:jc w:val="right"/>
              <w:ind w:right="60"/>
              <w:spacing w:after="0"/>
              <w:rPr>
                <w:sz w:val="20"/>
                <w:szCs w:val="20"/>
                <w:color w:val="auto"/>
              </w:rPr>
            </w:pPr>
            <w:r>
              <w:rPr>
                <w:rFonts w:ascii="Times New Roman" w:cs="Times New Roman" w:eastAsia="Times New Roman" w:hAnsi="Times New Roman"/>
                <w:sz w:val="14"/>
                <w:szCs w:val="14"/>
                <w:color w:val="auto"/>
              </w:rPr>
              <w:t>1,691,499</w:t>
            </w:r>
          </w:p>
        </w:tc>
        <w:tc>
          <w:tcPr>
            <w:tcW w:w="0" w:type="dxa"/>
            <w:vAlign w:val="bottom"/>
          </w:tcPr>
          <w:p>
            <w:pPr>
              <w:spacing w:after="0"/>
              <w:rPr>
                <w:sz w:val="1"/>
                <w:szCs w:val="1"/>
                <w:color w:val="auto"/>
              </w:rPr>
            </w:pPr>
          </w:p>
        </w:tc>
      </w:tr>
      <w:tr>
        <w:trPr>
          <w:trHeight w:val="171"/>
        </w:trPr>
        <w:tc>
          <w:tcPr>
            <w:tcW w:w="320" w:type="dxa"/>
            <w:vAlign w:val="bottom"/>
            <w:shd w:val="clear" w:color="auto" w:fill="E7ECFC"/>
          </w:tcPr>
          <w:p>
            <w:pPr>
              <w:spacing w:after="0"/>
              <w:rPr>
                <w:sz w:val="14"/>
                <w:szCs w:val="14"/>
                <w:color w:val="auto"/>
              </w:rPr>
            </w:pPr>
          </w:p>
        </w:tc>
        <w:tc>
          <w:tcPr>
            <w:tcW w:w="1440" w:type="dxa"/>
            <w:vAlign w:val="bottom"/>
            <w:shd w:val="clear" w:color="auto" w:fill="E7ECFC"/>
          </w:tcPr>
          <w:p>
            <w:pPr>
              <w:spacing w:after="0"/>
              <w:rPr>
                <w:sz w:val="14"/>
                <w:szCs w:val="14"/>
                <w:color w:val="auto"/>
              </w:rPr>
            </w:pPr>
          </w:p>
        </w:tc>
        <w:tc>
          <w:tcPr>
            <w:tcW w:w="40" w:type="dxa"/>
            <w:vAlign w:val="bottom"/>
            <w:shd w:val="clear" w:color="auto" w:fill="E7ECFC"/>
          </w:tcPr>
          <w:p>
            <w:pPr>
              <w:spacing w:after="0"/>
              <w:rPr>
                <w:sz w:val="14"/>
                <w:szCs w:val="14"/>
                <w:color w:val="auto"/>
              </w:rPr>
            </w:pPr>
          </w:p>
        </w:tc>
        <w:tc>
          <w:tcPr>
            <w:tcW w:w="1120" w:type="dxa"/>
            <w:vAlign w:val="bottom"/>
            <w:gridSpan w:val="2"/>
            <w:shd w:val="clear" w:color="auto" w:fill="E7ECFC"/>
          </w:tcPr>
          <w:p>
            <w:pPr>
              <w:jc w:val="center"/>
              <w:ind w:right="120"/>
              <w:spacing w:after="0"/>
              <w:rPr>
                <w:sz w:val="20"/>
                <w:szCs w:val="20"/>
                <w:color w:val="auto"/>
              </w:rPr>
            </w:pPr>
            <w:r>
              <w:rPr>
                <w:rFonts w:ascii="Times New Roman" w:cs="Times New Roman" w:eastAsia="Times New Roman" w:hAnsi="Times New Roman"/>
                <w:sz w:val="14"/>
                <w:szCs w:val="14"/>
                <w:color w:val="auto"/>
              </w:rPr>
              <w:t>Modification</w:t>
            </w:r>
            <w:r>
              <w:rPr>
                <w:rFonts w:ascii="Times New Roman" w:cs="Times New Roman" w:eastAsia="Times New Roman" w:hAnsi="Times New Roman"/>
                <w:sz w:val="10"/>
                <w:szCs w:val="10"/>
                <w:b w:val="1"/>
                <w:bCs w:val="1"/>
                <w:color w:val="auto"/>
              </w:rPr>
              <w:t>(5)</w:t>
            </w:r>
          </w:p>
        </w:tc>
        <w:tc>
          <w:tcPr>
            <w:tcW w:w="840" w:type="dxa"/>
            <w:vAlign w:val="bottom"/>
            <w:gridSpan w:val="2"/>
            <w:vMerge w:val="continue"/>
            <w:shd w:val="clear" w:color="auto" w:fill="E7ECFC"/>
          </w:tcPr>
          <w:p>
            <w:pPr>
              <w:spacing w:after="0"/>
              <w:rPr>
                <w:sz w:val="14"/>
                <w:szCs w:val="14"/>
                <w:color w:val="auto"/>
              </w:rPr>
            </w:pPr>
          </w:p>
        </w:tc>
        <w:tc>
          <w:tcPr>
            <w:tcW w:w="880" w:type="dxa"/>
            <w:vAlign w:val="bottom"/>
            <w:gridSpan w:val="2"/>
            <w:vMerge w:val="continue"/>
            <w:shd w:val="clear" w:color="auto" w:fill="E7ECFC"/>
          </w:tcPr>
          <w:p>
            <w:pPr>
              <w:spacing w:after="0"/>
              <w:rPr>
                <w:sz w:val="14"/>
                <w:szCs w:val="14"/>
                <w:color w:val="auto"/>
              </w:rPr>
            </w:pPr>
          </w:p>
        </w:tc>
        <w:tc>
          <w:tcPr>
            <w:tcW w:w="640" w:type="dxa"/>
            <w:vAlign w:val="bottom"/>
            <w:vMerge w:val="continue"/>
            <w:shd w:val="clear" w:color="auto" w:fill="E7ECFC"/>
          </w:tcPr>
          <w:p>
            <w:pPr>
              <w:spacing w:after="0"/>
              <w:rPr>
                <w:sz w:val="14"/>
                <w:szCs w:val="14"/>
                <w:color w:val="auto"/>
              </w:rPr>
            </w:pPr>
          </w:p>
        </w:tc>
        <w:tc>
          <w:tcPr>
            <w:tcW w:w="140" w:type="dxa"/>
            <w:vAlign w:val="bottom"/>
            <w:shd w:val="clear" w:color="auto" w:fill="E7ECFC"/>
          </w:tcPr>
          <w:p>
            <w:pPr>
              <w:spacing w:after="0"/>
              <w:rPr>
                <w:sz w:val="14"/>
                <w:szCs w:val="14"/>
                <w:color w:val="auto"/>
              </w:rPr>
            </w:pPr>
          </w:p>
        </w:tc>
        <w:tc>
          <w:tcPr>
            <w:tcW w:w="780" w:type="dxa"/>
            <w:vAlign w:val="bottom"/>
            <w:gridSpan w:val="3"/>
            <w:vMerge w:val="continue"/>
            <w:shd w:val="clear" w:color="auto" w:fill="E7ECFC"/>
          </w:tcPr>
          <w:p>
            <w:pPr>
              <w:spacing w:after="0"/>
              <w:rPr>
                <w:sz w:val="14"/>
                <w:szCs w:val="14"/>
                <w:color w:val="auto"/>
              </w:rPr>
            </w:pPr>
          </w:p>
        </w:tc>
        <w:tc>
          <w:tcPr>
            <w:tcW w:w="740" w:type="dxa"/>
            <w:vAlign w:val="bottom"/>
            <w:gridSpan w:val="2"/>
            <w:vMerge w:val="continue"/>
            <w:shd w:val="clear" w:color="auto" w:fill="E7ECFC"/>
          </w:tcPr>
          <w:p>
            <w:pPr>
              <w:spacing w:after="0"/>
              <w:rPr>
                <w:sz w:val="14"/>
                <w:szCs w:val="14"/>
                <w:color w:val="auto"/>
              </w:rPr>
            </w:pPr>
          </w:p>
        </w:tc>
        <w:tc>
          <w:tcPr>
            <w:tcW w:w="660" w:type="dxa"/>
            <w:vAlign w:val="bottom"/>
            <w:gridSpan w:val="2"/>
            <w:vMerge w:val="continue"/>
            <w:shd w:val="clear" w:color="auto" w:fill="E7ECFC"/>
          </w:tcPr>
          <w:p>
            <w:pPr>
              <w:spacing w:after="0"/>
              <w:rPr>
                <w:sz w:val="14"/>
                <w:szCs w:val="14"/>
                <w:color w:val="auto"/>
              </w:rPr>
            </w:pPr>
          </w:p>
        </w:tc>
        <w:tc>
          <w:tcPr>
            <w:tcW w:w="140" w:type="dxa"/>
            <w:vAlign w:val="bottom"/>
            <w:shd w:val="clear" w:color="auto" w:fill="E7ECFC"/>
          </w:tcPr>
          <w:p>
            <w:pPr>
              <w:spacing w:after="0"/>
              <w:rPr>
                <w:sz w:val="14"/>
                <w:szCs w:val="14"/>
                <w:color w:val="auto"/>
              </w:rPr>
            </w:pPr>
          </w:p>
        </w:tc>
        <w:tc>
          <w:tcPr>
            <w:tcW w:w="780" w:type="dxa"/>
            <w:vAlign w:val="bottom"/>
            <w:gridSpan w:val="3"/>
            <w:vMerge w:val="continue"/>
            <w:shd w:val="clear" w:color="auto" w:fill="E7ECFC"/>
          </w:tcPr>
          <w:p>
            <w:pPr>
              <w:spacing w:after="0"/>
              <w:rPr>
                <w:sz w:val="14"/>
                <w:szCs w:val="14"/>
                <w:color w:val="auto"/>
              </w:rPr>
            </w:pPr>
          </w:p>
        </w:tc>
        <w:tc>
          <w:tcPr>
            <w:tcW w:w="780" w:type="dxa"/>
            <w:vAlign w:val="bottom"/>
            <w:gridSpan w:val="2"/>
            <w:vMerge w:val="continue"/>
            <w:shd w:val="clear" w:color="auto" w:fill="E7ECFC"/>
          </w:tcPr>
          <w:p>
            <w:pPr>
              <w:spacing w:after="0"/>
              <w:rPr>
                <w:sz w:val="14"/>
                <w:szCs w:val="14"/>
                <w:color w:val="auto"/>
              </w:rPr>
            </w:pPr>
          </w:p>
        </w:tc>
        <w:tc>
          <w:tcPr>
            <w:tcW w:w="800" w:type="dxa"/>
            <w:vAlign w:val="bottom"/>
            <w:gridSpan w:val="2"/>
            <w:vMerge w:val="continue"/>
            <w:shd w:val="clear" w:color="auto" w:fill="E7ECFC"/>
          </w:tcPr>
          <w:p>
            <w:pPr>
              <w:spacing w:after="0"/>
              <w:rPr>
                <w:sz w:val="14"/>
                <w:szCs w:val="14"/>
                <w:color w:val="auto"/>
              </w:rPr>
            </w:pPr>
          </w:p>
        </w:tc>
        <w:tc>
          <w:tcPr>
            <w:tcW w:w="920" w:type="dxa"/>
            <w:vAlign w:val="bottom"/>
            <w:gridSpan w:val="2"/>
            <w:vMerge w:val="continue"/>
            <w:shd w:val="clear" w:color="auto" w:fill="E7ECFC"/>
          </w:tcPr>
          <w:p>
            <w:pPr>
              <w:spacing w:after="0"/>
              <w:rPr>
                <w:sz w:val="14"/>
                <w:szCs w:val="1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right="20" w:hanging="424"/>
        <w:spacing w:after="0" w:line="224" w:lineRule="auto"/>
        <w:tabs>
          <w:tab w:leader="none" w:pos="42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columns set forth the threshold (base), target, and maximum (stretch) annual cash incentive amounts that could be earned by each named executive officer for 2022 under the 2022 Bonus Program. There is no linear interpolation for performance between points. The percentages of salary for threshold (base), target, and maximum (stretch) for each NEO, and additional description of the Bonus Program are set forth under “Compensation Discussion and Analysis – 2022 Executive Compensation Program – Annual Incentives” above. The target amount is generally the named executive officer’s base salary multiplied by his or her target opportunity. For 2022, Mr. Maack was entitled to a guaranteed bonus equal to 70% of his base salary, pro-rated from Mr. Maack’s start date through December 31, 2022. No actual bonus amounts were earned pursuant to the 2022 Bonus Program in 2022 for any named executive officer, as reflected in the Summary Compensation Table above. As such, the amounts set forth in these columns do not represent either additional or actual compensation earned by the named executive officers for 2022.</w:t>
      </w:r>
    </w:p>
    <w:p>
      <w:pPr>
        <w:spacing w:after="0" w:line="3" w:lineRule="exact"/>
        <w:rPr>
          <w:rFonts w:ascii="Times New Roman" w:cs="Times New Roman" w:eastAsia="Times New Roman" w:hAnsi="Times New Roman"/>
          <w:sz w:val="14"/>
          <w:szCs w:val="14"/>
          <w:color w:val="auto"/>
        </w:rPr>
      </w:pPr>
    </w:p>
    <w:p>
      <w:pPr>
        <w:ind w:left="424" w:right="140" w:hanging="424"/>
        <w:spacing w:after="0" w:line="233" w:lineRule="auto"/>
        <w:tabs>
          <w:tab w:leader="none" w:pos="42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columns set forth the threshold, target, and maximum amounts that could be earned by Mr. Musslewhite pursuant to the Promotion PSUs. The amounts set forth in these columns do not represent either additional or actual compensation earned by Mr. Musslewhite for 2022. For a description of the Promotion PSUs, see “Compensation Discussion and Analysis—2022 Executive Compensation Program – Long-Term Equity Incentives—One-Time Promotional RSU and PSU Award” above.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301" w:right="439" w:bottom="1440" w:gutter="0" w:footer="0" w:header="0"/>
        </w:sectPr>
      </w:pPr>
    </w:p>
    <w:bookmarkStart w:id="45" w:name="page46"/>
    <w:bookmarkEnd w:id="45"/>
    <w:p>
      <w:pPr>
        <w:ind w:left="424" w:right="20" w:hanging="424"/>
        <w:spacing w:after="0" w:line="227" w:lineRule="auto"/>
        <w:tabs>
          <w:tab w:leader="none" w:pos="42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This column sets forth the RSU awards granted to Mr. Musslewhite in connection with his promotion to CEO in May 2022 and to Mr. Maack in connection with his commencement of employment in November 2022. For Mr. Musslewhite, (i) 333,322 RSUs will vest 30% on May 4, 2023, followed by quarterly vesting of 7% per quarter over the subsequent 30 months until fully vested, and (ii) 83,333 RSUs will vest 25% on May 4, 2023, followed by quarterly vesting of 6.25% per quarter over the subsequent 36 months until fully vested. For Mr. Maack, the RSUs will vest 25% on November 3, 2023, followed by quarterly vesting of 6.25% per quarter over the subsequent 36 months until fully vested.</w:t>
      </w:r>
    </w:p>
    <w:p>
      <w:pPr>
        <w:ind w:left="424" w:right="100" w:hanging="424"/>
        <w:spacing w:after="0" w:line="221" w:lineRule="auto"/>
        <w:tabs>
          <w:tab w:leader="none" w:pos="42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equity awards granted to our NEOs computed in accordance with ASC Topic 718, as described in Note 3 to “Summary Compensation Table” above. These amounts do not reflect the actual economic value that will be realized by the named executive officers upon the vesting of the RSUs or PSUs or the sale of any common stock acquired under such RSUs or PSUs.</w:t>
      </w:r>
    </w:p>
    <w:p>
      <w:pPr>
        <w:ind w:left="424" w:right="100" w:hanging="424"/>
        <w:spacing w:after="0" w:line="239" w:lineRule="auto"/>
        <w:tabs>
          <w:tab w:leader="none" w:pos="42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fair value, as of the modification date in accordance with ASC Topic 718, with respect to the accelerated value of certain RSUs and LLC Units in connection with Mr. Samuels’ transition out of the Chief Legal Officer role and the end of his employment with the Company.</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Narrative Discussion of the Summary Compensation Table and Grants of Plan-Based Awards Table</w:t>
      </w:r>
    </w:p>
    <w:p>
      <w:pPr>
        <w:spacing w:after="0" w:line="121" w:lineRule="exact"/>
        <w:rPr>
          <w:sz w:val="20"/>
          <w:szCs w:val="20"/>
          <w:color w:val="auto"/>
        </w:rPr>
      </w:pPr>
    </w:p>
    <w:p>
      <w:pPr>
        <w:jc w:val="both"/>
        <w:ind w:left="4" w:right="180"/>
        <w:spacing w:after="0" w:line="261" w:lineRule="auto"/>
        <w:rPr>
          <w:sz w:val="20"/>
          <w:szCs w:val="20"/>
          <w:color w:val="auto"/>
        </w:rPr>
      </w:pPr>
      <w:r>
        <w:rPr>
          <w:rFonts w:ascii="Times New Roman" w:cs="Times New Roman" w:eastAsia="Times New Roman" w:hAnsi="Times New Roman"/>
          <w:sz w:val="18"/>
          <w:szCs w:val="18"/>
          <w:color w:val="auto"/>
        </w:rPr>
        <w:t>In fiscal 2022, we primarily compensated our NEOs through a combination of base salary, annual cash incentive awards and, for certain NEOs, equity awards. Our NEOs are also entitled to certain other benefits, subject to their enrollment, including a 401(k) plan with matching contributions, medical, dental, vision, life, accidental death and dismemberment, short-term disability, and long-term disability insurance. The components of our fiscal 2022 compensation program are described in more detail under “Compensation Discussion and Analysis” above.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Robert Musslewhite</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In connection with Mr. Musslewhite’s appointment as Chief Executive Officer, we entered into an amended and restated Employment Agreement with Mr. Musslewhite, dated as of May 4, 2022 (the “Musslewhite Employment Agreement”). The Musslewhite Employment Agreement amends and restates Mr. Musslewhite’s prior employment agreement and sets forth certain terms of his employment as Chief Executive Officer commencing August 1, 2022. Pursuant to the terms of the Musslewhite Employment Agreement, Mr. Musslewhite is paid an annual base salary of $429,000, which is reviewed on an annual basis by the HCM and Compensation Committee to determine whether it should be increased or otherwise modified. For 2022,</w:t>
      </w:r>
    </w:p>
    <w:p>
      <w:pPr>
        <w:spacing w:after="0" w:line="3"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Mr. Musslewhite’s target annual incentive bonus was equal to 60% of his base salary. In future years, Mr. Musslewhite will be eligible to receive an annual bonus based on achieving specified performance targets and other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may include his performance as Chief Executive Officer, determined in the sole discretion of the Board.</w:t>
      </w:r>
    </w:p>
    <w:p>
      <w:pPr>
        <w:spacing w:after="0" w:line="186"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Musslewhite Employment Agreement provided for the grant of (i) 333,322 RSUs, eligible to vest 30% on the first anniversary of May 4, 2022, followed by quarterly vesting of 7% per quarter until fully vested over the subsequent 30 months, (ii) 83,333 RSUs that are eligible to vest 25% on the first anniversary of May 4, 2022, followed by quarterly vesting of 6.25% per quarter until fully vested over the subsequent three years and (iii) 125,000 RSUs that are eligible to cliff vest at the end of a three year performance period based upon the Total Shareholder Return versus the Nasdaq Composite index of SaaS and Health Care Information Technology companies.</w:t>
      </w:r>
    </w:p>
    <w:p>
      <w:pPr>
        <w:spacing w:after="0" w:line="183" w:lineRule="exact"/>
        <w:rPr>
          <w:sz w:val="20"/>
          <w:szCs w:val="20"/>
          <w:color w:val="auto"/>
        </w:rPr>
      </w:pPr>
    </w:p>
    <w:p>
      <w:pPr>
        <w:ind w:left="4" w:right="780"/>
        <w:spacing w:after="0" w:line="276" w:lineRule="auto"/>
        <w:rPr>
          <w:sz w:val="20"/>
          <w:szCs w:val="20"/>
          <w:color w:val="auto"/>
        </w:rPr>
      </w:pPr>
      <w:r>
        <w:rPr>
          <w:rFonts w:ascii="Times New Roman" w:cs="Times New Roman" w:eastAsia="Times New Roman" w:hAnsi="Times New Roman"/>
          <w:sz w:val="17"/>
          <w:szCs w:val="17"/>
          <w:color w:val="auto"/>
        </w:rPr>
        <w:t>In addition to the above, Mr. Musslewhite is entitled to participate in the Company’s benefit plans that are generally available to our executive employees, and is eligible for reimbursement of certain expenses, as well as reimbursement of 100% of all health insurance premiums for</w:t>
      </w:r>
    </w:p>
    <w:p>
      <w:pPr>
        <w:spacing w:after="0" w:line="1" w:lineRule="exact"/>
        <w:rPr>
          <w:sz w:val="20"/>
          <w:szCs w:val="20"/>
          <w:color w:val="auto"/>
        </w:rPr>
      </w:pPr>
    </w:p>
    <w:p>
      <w:pPr>
        <w:ind w:left="4" w:right="620"/>
        <w:spacing w:after="0" w:line="260" w:lineRule="auto"/>
        <w:rPr>
          <w:sz w:val="20"/>
          <w:szCs w:val="20"/>
          <w:color w:val="auto"/>
        </w:rPr>
      </w:pPr>
      <w:r>
        <w:rPr>
          <w:rFonts w:ascii="Times New Roman" w:cs="Times New Roman" w:eastAsia="Times New Roman" w:hAnsi="Times New Roman"/>
          <w:sz w:val="18"/>
          <w:szCs w:val="18"/>
          <w:color w:val="auto"/>
        </w:rPr>
        <w:t>Mr. Musslewhite if enrolled in a Company sponsored health plan. The cost of the health insurance premiums reimbursed to Mr. Musslewhite are reflected in the “Summary Compensation Table” above in the “All Other Compensation” column.</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Richard Booth</w:t>
      </w:r>
    </w:p>
    <w:p>
      <w:pPr>
        <w:spacing w:after="0" w:line="121"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We entered into an employment agreement with Mr. Booth (the “Booth Employment Agreement”) on January 29, 2021. The Booth Employment Agreement provides for at-will employment, and further provides that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92" w:right="459" w:bottom="1440" w:gutter="0" w:footer="0" w:header="0"/>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Booth will receive a base salary, which is reviewed on an annual basis by the HCM and Compensation Committee to determine whether it should be increased or otherwise modified. See the “Summary Compensation Table” above for Mr. Booth’s base salary for fiscal 2022. The Booth Employment Agreement also provides that Mr. Booth is eligible to receive a cash bonus based on the Company achieving specified revenue targets and other requirements which will be determined reasonably and in good faith on an annual basis for the corresponding year by the Chief Executive Officer and the HCM and Compensation Committee. Mr. Booth’s target annual incentive bonus for 2022 was equal to 57.5% of his base salary.</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the above, Mr. Booth participates in the employee benefits programs offered by us to our similarly-situated employees. The Booth Employment Agreement provides for the reimbursement of 100% of all health insurance premiums for Mr. Booth if enrolled in a Company sponsored health plan. The cost of the health insurance premiums reimbursed to Mr. Booth are reflected in the “Summary Compensation Table” above in the “All Other Compensation” column.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Jason Krantz</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connection with Mr. Krantz’s resignation as Chief Executive Officer and appointment as Executive Chairman of the Board, we entered into an Executive Chairman Agreement with Mr. Krantz, dated as of May 4, 2022 (the “Executive Chairman Agreement”). The Executive Chairman Agreement supersedes Mr. Krantz’s existing employment agreement, except as otherwise explicitly provided in the Executive Chairman Agreement. Pursuant to the Executive Chairman Agreement, Mr. Krantz continued to receive his current base salary during 2022 at the rate of $428,655 and is entitled to an annual base salary at the rate of 75% of such amount during 2023. Thereafter, Mr. Krantz’s base salary will be determined by the Board in its sole discretion. For 2022, Mr. Krantz’s target annual incentive bonus was equal to 60% of his base salary, based on the same metrics as were available to our Chief Executive Officer. For 2023, Mr. Krantz’s is entitled to an annual bonus determined based on the same metrics as are applicable to our Chief Executive Officer, but taking into account Mr. Krantz’s reduced base salary. Thereafter, Mr. Krantz’ annual bonus, if any, will be determined by the Board in its sole discretion. The Executive Chairman Agreement also provides that Mr. Krantz is entitled to be granted RSUs equal to 75% of the annual ordinary course time-based and/or performance-based equity grants, as applicable, made to our Chief Executive Officer at the time that we make annual ordinary course time-based and/or performance-based equity grants to our executive level employees in fiscal year 2023 (including but not limited to the annual ordinary course fiscal year 2023 grants of RSUs and performance-based RSUs made to our Chief Executive Officer). Any such time-based RSUs will vest based upon Mr. Krantz’s continued employment and, in the case of performance-based RSUs, based upon such performance metrics as may be determined by the Board. Thereafter, Mr. Krantz’ eligibility for future equity awards will be determined by the Board in its sole discretion.</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the above, Mr. Krantz is entitled to participate in the Company’s benefit plans that are generally available to our executive employees and is eligible for reimbursement of certain expenses, as well as reimbursement of 100% of all health insurance premiums for Mr. Krantz if enrolled in a Company sponsored health plan. The cost of the health insurance premiums reimbursed to Mr. Krantz are reflected in the “Summary Compensation Table” above in the “All Other Compensation” column.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Jonathan Maack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Mr. Maack’s appointment as President, we entered into an employment agreement with Mr. Maack, dated September 22, 2022 (the “Maack Employment Agreement”). The Maack Employment Agreement provides for at-will employment, and further provides that Mr. Maack is entitled to (i) an annual base salary of $400,000, and (ii) an annual bonus equal to (a) for 2022, a guaranteed amount equal to 70% of Mr. Maack’s base salary, pro-rated from Mr. Maack’s start date through December 31, 2022 and (b) for future years, in the sole discretion of the Compensation Committee of the Board, an amount up to 70% of Mr. Maack’s base salary, based on the Company’s achieving specified revenue targets and other requirements determined annually by the Chief Executive Officer of the Company and the Board. The Maack Employment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97" w:right="479" w:bottom="1440" w:gutter="0" w:footer="0" w:header="0"/>
        </w:sectPr>
      </w:pPr>
    </w:p>
    <w:bookmarkStart w:id="47" w:name="page48"/>
    <w:bookmarkEnd w:id="47"/>
    <w:p>
      <w:pPr>
        <w:ind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also provides that Mr. Maack is entitled to an initial grant (the “Initial RSU Grant”) of 546,303 RSUs with respect to the Company’s Class A common stock, par value $0.001 per share, to Mr. Maack, which RSUs vest (i) 25% on November 3, 2023 and (iii) thereafter, 6.25% every three months for the next three years until fully vested, in each case subject to Mr. Maack’s continued Service (as defined in the Definitive Healthcare Corp. 2021 Equity Incentive Plan) through each vesting date. In addition, the Maack Employment Agreement provides that Mr. Maack will be eligible for an annual equity award in 2024 (the “2024 Award”) pursuant to the 2021 Equity Incentive Plan, upon such terms and conditions as are determined by the Compensation Committee in its sole discretion, provided that management will recommend to the Compensation Committee that the 2024 Award have a target grant value of at least $2 million and that any time-based component thereof vest consistent with the vesting scheduling of the Initial RSU Grant.</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the Maack Employment Agreement, Mr. Maack is eligible to participate in the Company’s benefit plans that are generally available to the Company’s executive employees and for reimbursement of certain expenses, including a one-time lump-sum relocation payment of $330,000, which is subject to repayment requirements should Mr. Mack’s employment terminate with 24 months of September 22, 2022. Mr. Maack is also eligible for reimbursement of 100% of all health insurance premiums for Mr. Maack if enrolled in a Company sponsored health plan. The cost of the health insurance premiums reimbursed to Mr. Maack are reflected in the “Summary Compensation Table” above in the “All Other Compensation” column.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Kate Shamsuddin Jensen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Ms. Jensen’s initial employment, we entered into an offer letter with Ms. Jensen, dated February 3, 2015 (the “Jensen Offer Letter”). The Jensen Offer Letter provides for at-will employment and a starting annual base salary of $115,000. It further provides for a corporate bonus based on the Company’s performance which is pro-rated for a partial work year and will only be paid to employees that are employed at the time of payment of the bonus. The Jensen Offer Letter also provides for eligibility to participate in the benefits plans offered to Company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Joseph Mirisola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Mirisola is not party to an offer letter or employment agreement with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Samuels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connection with Mr. Samuels’s appointment as the former Chief Legal Officer, we entered into an employment agreement with Mr. Samuels, dated as of February 1, 2021 (the “Samuels Employment Agreement”). The Samuels Employment Agreement provided for at-will employment, and further provided that Mr. Samuels receive a base salary, which is reviewed on an annual basis by the HCM and Compensation Committee to determine whether it should be increased or otherwise modified. See the “Summary Compensation Table” above for Mr. Samuels’ base salary for fiscal 2022. The Samuels Employment Agreement also provided that Mr. Samuels is eligible to receive a cash bonus based on the Company achieving specified revenue targets and other requirements which will be determined reasonably and in good faith on an annual basis for the corresponding year by the Chief Executive Officer and the HCM and Compensation Committee. Mr. Samuels’ target annual incentive bonus for 2022 was equal to 57.5% of his base salary.</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the above, Mr. Samuels participated in the employee benefits programs offered by us to our similarly-situated employees. The Samuels Employment Agreement provided for the reimbursement of 75% of all health insurance premiums for Mr. Samuels if enrolled in a Company sponsored health plan. The cost of the health insurance premiums reimbursed to Mr. Samuels are reflected in the “Summary Compensation Table” above in the “All Other Compensation” column.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97" w:right="499" w:bottom="1440" w:gutter="0" w:footer="0" w:header="0"/>
        </w:sectPr>
      </w:pPr>
    </w:p>
    <w:bookmarkStart w:id="48" w:name="page49"/>
    <w:bookmarkEnd w:id="48"/>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connection with Mr. Samuels’s departure, we entered into a separation agreement, dated as of November 1, 2022 (the “Samuels Separation Agreement”). Between November 1, 2022 and November 11, 2022, Mr. Samuels was employed by the Company on a full-time basis and continued to receive his base salary for fiscal 2022. Between November 12, 2022 and December 31, 2022, Mr. Samuels was employed by the Company on a part-time basis and was compensated on an hourly basis at the rate of $210 per hour. In addition, the Samuels Separation Agreement provided for the accelerated vesting as of December 31, 2022 of an aggregate of 108,014 unvested LLC Units and 4,688 unvested RSUs. Mr. Samuels’ remaining unvested equity awards were forfeited as of such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connection with our IPO, we adopted the 2021 Plan, effective as of September 14, 2021. The purpose of the 2021 Plan is to align the interests of eligible participants with our stockholders by providing incentive compensation tied to the Company’s performance.</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our IPO, we granted equity awards in the form of Class B Units (“Class B Units”) under the AIDH Topco, LLC 2019 Equity Incentive Plan (the “2019 Plan”). In connection with the Reorganization Transactions (as defined below), unvested Class B Units held directly by employees of the Company or indirectly through AIDH Management Holdings, LLC were exchanged for (i) unvested LLC Units of AIDH Management Holdings, LLC (which correspond on a one-for-one basis to LLC Units in AIDH TopCo, LLC) or (ii) in the case of Mr. Krantz, unvested LLC Units in AIDH TopCo, LLC, in each such case based on their respective participation thresholds and the IPO price of $27.00 per share. All such unvested LLC Units are subject to time-based vesting. The Company no longer grants any awards under the 2019 Plan, though previously granted awards under the 2019 Plan remain outstanding and governed by the 2019 Plan. Until redeemed or exchanged, each LLC Unit is paired with one share of the Company’s Class B Common Stock. Unless otherwise indicated or the context so requires, awards of “LLC Units” refer to LLC Units of AIDH TopCo held directly, in the case of Mr. Krantz, or indirectly through AIDH Management Holdings, LLC, in the case of our other directors and executive officers. For additional information with respect to the LLC Units, see “Certain Relationships and Related Person Transactions – Amended Definitive OpCo LLC Agreement”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97" w:right="459" w:bottom="1440" w:gutter="0" w:footer="0" w:header="0"/>
        </w:sectPr>
      </w:pPr>
    </w:p>
    <w:bookmarkStart w:id="49" w:name="page50"/>
    <w:bookmarkEnd w:id="4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at Fiscal Year-End</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held by our NEOs as of December 31, 2022. The Company did not have any outstanding stock options, vested or unvested, as of December 31, 2022.</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 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320" w:type="dxa"/>
            <w:vAlign w:val="bottom"/>
          </w:tcPr>
          <w:p>
            <w:pPr>
              <w:spacing w:after="0"/>
              <w:rPr>
                <w:sz w:val="12"/>
                <w:szCs w:val="12"/>
                <w:color w:val="auto"/>
              </w:rPr>
            </w:pPr>
          </w:p>
        </w:tc>
        <w:tc>
          <w:tcPr>
            <w:tcW w:w="1260" w:type="dxa"/>
            <w:vAlign w:val="bottom"/>
            <w:gridSpan w:val="2"/>
            <w:vMerge w:val="restart"/>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r>
              <w:rPr>
                <w:rFonts w:ascii="Times New Roman" w:cs="Times New Roman" w:eastAsia="Times New Roman" w:hAnsi="Times New Roman"/>
                <w:sz w:val="10"/>
                <w:szCs w:val="10"/>
                <w:b w:val="1"/>
                <w:bCs w:val="1"/>
                <w:color w:val="auto"/>
              </w:rPr>
              <w:t>(2)</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439"/>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320" w:type="dxa"/>
            <w:vAlign w:val="bottom"/>
          </w:tcPr>
          <w:p>
            <w:pPr>
              <w:spacing w:after="0"/>
              <w:rPr>
                <w:sz w:val="15"/>
                <w:szCs w:val="15"/>
                <w:color w:val="auto"/>
              </w:rPr>
            </w:pPr>
          </w:p>
        </w:tc>
        <w:tc>
          <w:tcPr>
            <w:tcW w:w="1260" w:type="dxa"/>
            <w:vAlign w:val="bottom"/>
            <w:gridSpan w:val="2"/>
          </w:tcPr>
          <w:p>
            <w:pPr>
              <w:jc w:val="center"/>
              <w:ind w:right="459"/>
              <w:spacing w:after="0" w:line="160" w:lineRule="exact"/>
              <w:rPr>
                <w:sz w:val="20"/>
                <w:szCs w:val="20"/>
                <w:color w:val="auto"/>
              </w:rPr>
            </w:pPr>
            <w:r>
              <w:rPr>
                <w:rFonts w:ascii="Times New Roman" w:cs="Times New Roman" w:eastAsia="Times New Roman" w:hAnsi="Times New Roman"/>
                <w:sz w:val="14"/>
                <w:szCs w:val="14"/>
                <w:b w:val="1"/>
                <w:bCs w:val="1"/>
                <w:color w:val="auto"/>
                <w:w w:val="99"/>
              </w:rPr>
              <w:t>Type</w:t>
            </w:r>
            <w:r>
              <w:rPr>
                <w:rFonts w:ascii="Times New Roman" w:cs="Times New Roman" w:eastAsia="Times New Roman" w:hAnsi="Times New Roman"/>
                <w:sz w:val="10"/>
                <w:szCs w:val="10"/>
                <w:b w:val="1"/>
                <w:bCs w:val="1"/>
                <w:color w:val="auto"/>
                <w:w w:val="99"/>
              </w:rPr>
              <w:t>(1)</w:t>
            </w: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Borders>
              <w:top w:val="single" w:sz="8" w:color="E7ECFC"/>
            </w:tcBorders>
            <w:gridSpan w:val="2"/>
            <w:shd w:val="clear" w:color="auto" w:fill="E7ECFC"/>
          </w:tcPr>
          <w:p>
            <w:pPr>
              <w:spacing w:after="0" w:line="175" w:lineRule="exact"/>
              <w:rPr>
                <w:sz w:val="20"/>
                <w:szCs w:val="20"/>
                <w:color w:val="auto"/>
              </w:rPr>
            </w:pPr>
            <w:r>
              <w:rPr>
                <w:rFonts w:ascii="Times New Roman" w:cs="Times New Roman" w:eastAsia="Times New Roman" w:hAnsi="Times New Roman"/>
                <w:sz w:val="16"/>
                <w:szCs w:val="16"/>
                <w:color w:val="auto"/>
              </w:rPr>
              <w:t>Robert Musslewhite</w:t>
            </w:r>
          </w:p>
        </w:tc>
        <w:tc>
          <w:tcPr>
            <w:tcW w:w="100" w:type="dxa"/>
            <w:vAlign w:val="bottom"/>
            <w:tcBorders>
              <w:top w:val="single" w:sz="8" w:color="E7ECFC"/>
            </w:tcBorders>
            <w:shd w:val="clear" w:color="auto" w:fill="E7ECFC"/>
          </w:tcPr>
          <w:p>
            <w:pPr>
              <w:spacing w:after="0"/>
              <w:rPr>
                <w:sz w:val="15"/>
                <w:szCs w:val="15"/>
                <w:color w:val="auto"/>
              </w:rPr>
            </w:pPr>
          </w:p>
        </w:tc>
        <w:tc>
          <w:tcPr>
            <w:tcW w:w="720" w:type="dxa"/>
            <w:vAlign w:val="bottom"/>
            <w:tcBorders>
              <w:top w:val="single" w:sz="8" w:color="auto"/>
            </w:tcBorders>
            <w:gridSpan w:val="2"/>
            <w:shd w:val="clear" w:color="auto" w:fill="E7ECFC"/>
          </w:tcPr>
          <w:p>
            <w:pPr>
              <w:jc w:val="right"/>
              <w:spacing w:after="0" w:line="175" w:lineRule="exact"/>
              <w:rPr>
                <w:sz w:val="20"/>
                <w:szCs w:val="20"/>
                <w:color w:val="auto"/>
              </w:rPr>
            </w:pPr>
            <w:r>
              <w:rPr>
                <w:rFonts w:ascii="Times New Roman" w:cs="Times New Roman" w:eastAsia="Times New Roman" w:hAnsi="Times New Roman"/>
                <w:sz w:val="16"/>
                <w:szCs w:val="16"/>
                <w:color w:val="auto"/>
              </w:rPr>
              <w:t>6/25/2021</w:t>
            </w:r>
          </w:p>
        </w:tc>
        <w:tc>
          <w:tcPr>
            <w:tcW w:w="280" w:type="dxa"/>
            <w:vAlign w:val="bottom"/>
            <w:tcBorders>
              <w:top w:val="single" w:sz="8" w:color="E7ECFC"/>
            </w:tcBorders>
            <w:shd w:val="clear" w:color="auto" w:fill="E7ECFC"/>
          </w:tcPr>
          <w:p>
            <w:pPr>
              <w:spacing w:after="0"/>
              <w:rPr>
                <w:sz w:val="20"/>
                <w:szCs w:val="20"/>
                <w:color w:val="auto"/>
              </w:rPr>
            </w:pPr>
            <w:r>
              <w:rPr>
                <w:rFonts w:ascii="Times New Roman" w:cs="Times New Roman" w:eastAsia="Times New Roman" w:hAnsi="Times New Roman"/>
                <w:sz w:val="12"/>
                <w:szCs w:val="12"/>
                <w:color w:val="auto"/>
              </w:rPr>
              <w:t>(3)</w:t>
            </w:r>
          </w:p>
        </w:tc>
        <w:tc>
          <w:tcPr>
            <w:tcW w:w="320" w:type="dxa"/>
            <w:vAlign w:val="bottom"/>
            <w:tcBorders>
              <w:top w:val="single" w:sz="8" w:color="E7ECFC"/>
            </w:tcBorders>
            <w:shd w:val="clear" w:color="auto" w:fill="E7ECFC"/>
          </w:tcPr>
          <w:p>
            <w:pPr>
              <w:spacing w:after="0"/>
              <w:rPr>
                <w:sz w:val="15"/>
                <w:szCs w:val="15"/>
                <w:color w:val="auto"/>
              </w:rPr>
            </w:pPr>
          </w:p>
        </w:tc>
        <w:tc>
          <w:tcPr>
            <w:tcW w:w="740" w:type="dxa"/>
            <w:vAlign w:val="bottom"/>
            <w:tcBorders>
              <w:top w:val="single" w:sz="8" w:color="auto"/>
            </w:tcBorders>
            <w:shd w:val="clear" w:color="auto" w:fill="E7ECFC"/>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LLC Units</w:t>
            </w:r>
          </w:p>
        </w:tc>
        <w:tc>
          <w:tcPr>
            <w:tcW w:w="520" w:type="dxa"/>
            <w:vAlign w:val="bottom"/>
            <w:tcBorders>
              <w:top w:val="single" w:sz="8" w:color="E7ECFC"/>
            </w:tcBorders>
            <w:shd w:val="clear" w:color="auto" w:fill="E7ECFC"/>
          </w:tcPr>
          <w:p>
            <w:pPr>
              <w:jc w:val="right"/>
              <w:ind w:right="319"/>
              <w:spacing w:after="0"/>
              <w:rPr>
                <w:sz w:val="20"/>
                <w:szCs w:val="20"/>
                <w:color w:val="auto"/>
              </w:rPr>
            </w:pPr>
            <w:r>
              <w:rPr>
                <w:rFonts w:ascii="Times New Roman" w:cs="Times New Roman" w:eastAsia="Times New Roman" w:hAnsi="Times New Roman"/>
                <w:sz w:val="12"/>
                <w:szCs w:val="12"/>
                <w:color w:val="auto"/>
                <w:w w:val="85"/>
              </w:rPr>
              <w:t>(4)</w:t>
            </w:r>
          </w:p>
        </w:tc>
        <w:tc>
          <w:tcPr>
            <w:tcW w:w="680" w:type="dxa"/>
            <w:vAlign w:val="bottom"/>
            <w:tcBorders>
              <w:top w:val="single" w:sz="8" w:color="auto"/>
            </w:tcBorders>
            <w:shd w:val="clear" w:color="auto" w:fill="E7ECFC"/>
          </w:tcPr>
          <w:p>
            <w:pPr>
              <w:jc w:val="right"/>
              <w:spacing w:after="0" w:line="175" w:lineRule="exact"/>
              <w:rPr>
                <w:sz w:val="20"/>
                <w:szCs w:val="20"/>
                <w:color w:val="auto"/>
              </w:rPr>
            </w:pPr>
            <w:r>
              <w:rPr>
                <w:rFonts w:ascii="Times New Roman" w:cs="Times New Roman" w:eastAsia="Times New Roman" w:hAnsi="Times New Roman"/>
                <w:sz w:val="16"/>
                <w:szCs w:val="16"/>
                <w:color w:val="auto"/>
              </w:rPr>
              <w:t>108,481</w:t>
            </w:r>
          </w:p>
        </w:tc>
        <w:tc>
          <w:tcPr>
            <w:tcW w:w="360" w:type="dxa"/>
            <w:vAlign w:val="bottom"/>
            <w:tcBorders>
              <w:top w:val="single" w:sz="8" w:color="E7ECFC"/>
            </w:tcBorders>
            <w:shd w:val="clear" w:color="auto" w:fill="E7ECFC"/>
          </w:tcPr>
          <w:p>
            <w:pPr>
              <w:spacing w:after="0"/>
              <w:rPr>
                <w:sz w:val="15"/>
                <w:szCs w:val="15"/>
                <w:color w:val="auto"/>
              </w:rPr>
            </w:pPr>
          </w:p>
        </w:tc>
        <w:tc>
          <w:tcPr>
            <w:tcW w:w="860" w:type="dxa"/>
            <w:vAlign w:val="bottom"/>
            <w:tcBorders>
              <w:top w:val="single" w:sz="8" w:color="auto"/>
            </w:tcBorders>
            <w:shd w:val="clear" w:color="auto" w:fill="E7ECFC"/>
          </w:tcPr>
          <w:p>
            <w:pPr>
              <w:jc w:val="right"/>
              <w:spacing w:after="0" w:line="175" w:lineRule="exact"/>
              <w:rPr>
                <w:sz w:val="20"/>
                <w:szCs w:val="20"/>
                <w:color w:val="auto"/>
              </w:rPr>
            </w:pPr>
            <w:r>
              <w:rPr>
                <w:rFonts w:ascii="Times New Roman" w:cs="Times New Roman" w:eastAsia="Times New Roman" w:hAnsi="Times New Roman"/>
                <w:sz w:val="16"/>
                <w:szCs w:val="16"/>
                <w:color w:val="auto"/>
              </w:rPr>
              <w:t>1,192,206</w:t>
            </w:r>
          </w:p>
        </w:tc>
        <w:tc>
          <w:tcPr>
            <w:tcW w:w="360" w:type="dxa"/>
            <w:vAlign w:val="bottom"/>
            <w:tcBorders>
              <w:top w:val="single" w:sz="8" w:color="E7ECFC"/>
            </w:tcBorders>
            <w:shd w:val="clear" w:color="auto" w:fill="E7ECFC"/>
          </w:tcPr>
          <w:p>
            <w:pPr>
              <w:spacing w:after="0"/>
              <w:rPr>
                <w:sz w:val="15"/>
                <w:szCs w:val="15"/>
                <w:color w:val="auto"/>
              </w:rPr>
            </w:pPr>
          </w:p>
        </w:tc>
        <w:tc>
          <w:tcPr>
            <w:tcW w:w="1020" w:type="dxa"/>
            <w:vAlign w:val="bottom"/>
            <w:tcBorders>
              <w:top w:val="single" w:sz="8" w:color="auto"/>
            </w:tcBorders>
            <w:shd w:val="clear" w:color="auto" w:fill="E7ECFC"/>
          </w:tcPr>
          <w:p>
            <w:pPr>
              <w:spacing w:after="0"/>
              <w:rPr>
                <w:sz w:val="15"/>
                <w:szCs w:val="15"/>
                <w:color w:val="auto"/>
              </w:rPr>
            </w:pPr>
          </w:p>
        </w:tc>
        <w:tc>
          <w:tcPr>
            <w:tcW w:w="360" w:type="dxa"/>
            <w:vAlign w:val="bottom"/>
            <w:tcBorders>
              <w:top w:val="single" w:sz="8" w:color="E7ECFC"/>
            </w:tcBorders>
            <w:shd w:val="clear" w:color="auto" w:fill="E7ECFC"/>
          </w:tcPr>
          <w:p>
            <w:pPr>
              <w:spacing w:after="0"/>
              <w:rPr>
                <w:sz w:val="15"/>
                <w:szCs w:val="15"/>
                <w:color w:val="auto"/>
              </w:rPr>
            </w:pPr>
          </w:p>
        </w:tc>
        <w:tc>
          <w:tcPr>
            <w:tcW w:w="1040" w:type="dxa"/>
            <w:vAlign w:val="bottom"/>
            <w:tcBorders>
              <w:top w:val="single" w:sz="8" w:color="auto"/>
            </w:tcBorders>
            <w:shd w:val="clear" w:color="auto" w:fill="E7ECFC"/>
          </w:tcPr>
          <w:p>
            <w:pPr>
              <w:spacing w:after="0"/>
              <w:rPr>
                <w:sz w:val="15"/>
                <w:szCs w:val="15"/>
                <w:color w:val="auto"/>
              </w:rPr>
            </w:pPr>
          </w:p>
        </w:tc>
        <w:tc>
          <w:tcPr>
            <w:tcW w:w="40" w:type="dxa"/>
            <w:vAlign w:val="bottom"/>
            <w:tcBorders>
              <w:top w:val="single" w:sz="8" w:color="E7ECFC"/>
            </w:tcBorders>
            <w:shd w:val="clear" w:color="auto" w:fill="E7EC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E7ECFC"/>
          </w:tcPr>
          <w:p>
            <w:pPr>
              <w:spacing w:after="0"/>
              <w:rPr>
                <w:sz w:val="17"/>
                <w:szCs w:val="17"/>
                <w:color w:val="auto"/>
              </w:rPr>
            </w:pPr>
          </w:p>
        </w:tc>
        <w:tc>
          <w:tcPr>
            <w:tcW w:w="3260" w:type="dxa"/>
            <w:vAlign w:val="bottom"/>
            <w:shd w:val="clear" w:color="auto" w:fill="E7ECFC"/>
          </w:tcPr>
          <w:p>
            <w:pPr>
              <w:spacing w:after="0"/>
              <w:rPr>
                <w:sz w:val="17"/>
                <w:szCs w:val="17"/>
                <w:color w:val="auto"/>
              </w:rPr>
            </w:pPr>
          </w:p>
        </w:tc>
        <w:tc>
          <w:tcPr>
            <w:tcW w:w="100" w:type="dxa"/>
            <w:vAlign w:val="bottom"/>
            <w:shd w:val="clear" w:color="auto" w:fill="E7ECFC"/>
          </w:tcPr>
          <w:p>
            <w:pPr>
              <w:spacing w:after="0"/>
              <w:rPr>
                <w:sz w:val="17"/>
                <w:szCs w:val="17"/>
                <w:color w:val="auto"/>
              </w:rPr>
            </w:pPr>
          </w:p>
        </w:tc>
        <w:tc>
          <w:tcPr>
            <w:tcW w:w="60" w:type="dxa"/>
            <w:vAlign w:val="bottom"/>
            <w:shd w:val="clear" w:color="auto" w:fill="E7ECFC"/>
          </w:tcPr>
          <w:p>
            <w:pPr>
              <w:spacing w:after="0"/>
              <w:rPr>
                <w:sz w:val="17"/>
                <w:szCs w:val="17"/>
                <w:color w:val="auto"/>
              </w:rPr>
            </w:pPr>
          </w:p>
        </w:tc>
        <w:tc>
          <w:tcPr>
            <w:tcW w:w="940" w:type="dxa"/>
            <w:vAlign w:val="bottom"/>
            <w:gridSpan w:val="2"/>
            <w:shd w:val="clear" w:color="auto" w:fill="E7ECFC"/>
          </w:tcPr>
          <w:p>
            <w:pPr>
              <w:jc w:val="right"/>
              <w:ind w:right="79"/>
              <w:spacing w:after="0" w:line="202" w:lineRule="exact"/>
              <w:rPr>
                <w:sz w:val="20"/>
                <w:szCs w:val="20"/>
                <w:color w:val="auto"/>
              </w:rPr>
            </w:pPr>
            <w:r>
              <w:rPr>
                <w:rFonts w:ascii="Times New Roman" w:cs="Times New Roman" w:eastAsia="Times New Roman" w:hAnsi="Times New Roman"/>
                <w:sz w:val="16"/>
                <w:szCs w:val="16"/>
                <w:color w:val="auto"/>
                <w:w w:val="94"/>
              </w:rPr>
              <w:t>10/7/2021</w:t>
            </w:r>
            <w:r>
              <w:rPr>
                <w:rFonts w:ascii="Times New Roman" w:cs="Times New Roman" w:eastAsia="Times New Roman" w:hAnsi="Times New Roman"/>
                <w:sz w:val="23"/>
                <w:szCs w:val="23"/>
                <w:color w:val="auto"/>
                <w:w w:val="94"/>
                <w:vertAlign w:val="superscript"/>
              </w:rPr>
              <w:t>(5)</w:t>
            </w:r>
          </w:p>
        </w:tc>
        <w:tc>
          <w:tcPr>
            <w:tcW w:w="320" w:type="dxa"/>
            <w:vAlign w:val="bottom"/>
            <w:shd w:val="clear" w:color="auto" w:fill="E7ECFC"/>
          </w:tcPr>
          <w:p>
            <w:pPr>
              <w:spacing w:after="0"/>
              <w:rPr>
                <w:sz w:val="17"/>
                <w:szCs w:val="17"/>
                <w:color w:val="auto"/>
              </w:rPr>
            </w:pPr>
          </w:p>
        </w:tc>
        <w:tc>
          <w:tcPr>
            <w:tcW w:w="1260" w:type="dxa"/>
            <w:vAlign w:val="bottom"/>
            <w:gridSpan w:val="2"/>
            <w:shd w:val="clear" w:color="auto" w:fill="E7ECFC"/>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325,163</w:t>
            </w:r>
          </w:p>
        </w:tc>
        <w:tc>
          <w:tcPr>
            <w:tcW w:w="360" w:type="dxa"/>
            <w:vAlign w:val="bottom"/>
            <w:shd w:val="clear" w:color="auto" w:fill="E7ECFC"/>
          </w:tcPr>
          <w:p>
            <w:pPr>
              <w:spacing w:after="0"/>
              <w:rPr>
                <w:sz w:val="17"/>
                <w:szCs w:val="17"/>
                <w:color w:val="auto"/>
              </w:rPr>
            </w:pPr>
          </w:p>
        </w:tc>
        <w:tc>
          <w:tcPr>
            <w:tcW w:w="8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3,573,541</w:t>
            </w:r>
          </w:p>
        </w:tc>
        <w:tc>
          <w:tcPr>
            <w:tcW w:w="360" w:type="dxa"/>
            <w:vAlign w:val="bottom"/>
            <w:shd w:val="clear" w:color="auto" w:fill="E7ECFC"/>
          </w:tcPr>
          <w:p>
            <w:pPr>
              <w:spacing w:after="0"/>
              <w:rPr>
                <w:sz w:val="17"/>
                <w:szCs w:val="17"/>
                <w:color w:val="auto"/>
              </w:rPr>
            </w:pPr>
          </w:p>
        </w:tc>
        <w:tc>
          <w:tcPr>
            <w:tcW w:w="1020" w:type="dxa"/>
            <w:vAlign w:val="bottom"/>
            <w:shd w:val="clear" w:color="auto" w:fill="E7ECFC"/>
          </w:tcPr>
          <w:p>
            <w:pPr>
              <w:spacing w:after="0"/>
              <w:rPr>
                <w:sz w:val="17"/>
                <w:szCs w:val="17"/>
                <w:color w:val="auto"/>
              </w:rPr>
            </w:pPr>
          </w:p>
        </w:tc>
        <w:tc>
          <w:tcPr>
            <w:tcW w:w="360" w:type="dxa"/>
            <w:vAlign w:val="bottom"/>
            <w:shd w:val="clear" w:color="auto" w:fill="E7ECFC"/>
          </w:tcPr>
          <w:p>
            <w:pPr>
              <w:spacing w:after="0"/>
              <w:rPr>
                <w:sz w:val="17"/>
                <w:szCs w:val="17"/>
                <w:color w:val="auto"/>
              </w:rPr>
            </w:pPr>
          </w:p>
        </w:tc>
        <w:tc>
          <w:tcPr>
            <w:tcW w:w="1040" w:type="dxa"/>
            <w:vAlign w:val="bottom"/>
            <w:shd w:val="clear" w:color="auto" w:fill="E7ECFC"/>
          </w:tcPr>
          <w:p>
            <w:pPr>
              <w:spacing w:after="0"/>
              <w:rPr>
                <w:sz w:val="17"/>
                <w:szCs w:val="17"/>
                <w:color w:val="auto"/>
              </w:rPr>
            </w:pPr>
          </w:p>
        </w:tc>
        <w:tc>
          <w:tcPr>
            <w:tcW w:w="40" w:type="dxa"/>
            <w:vAlign w:val="bottom"/>
            <w:shd w:val="clear" w:color="auto" w:fill="E7E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E7ECFC"/>
          </w:tcPr>
          <w:p>
            <w:pPr>
              <w:spacing w:after="0"/>
              <w:rPr>
                <w:sz w:val="17"/>
                <w:szCs w:val="17"/>
                <w:color w:val="auto"/>
              </w:rPr>
            </w:pPr>
          </w:p>
        </w:tc>
        <w:tc>
          <w:tcPr>
            <w:tcW w:w="3260" w:type="dxa"/>
            <w:vAlign w:val="bottom"/>
            <w:shd w:val="clear" w:color="auto" w:fill="E7ECFC"/>
          </w:tcPr>
          <w:p>
            <w:pPr>
              <w:spacing w:after="0"/>
              <w:rPr>
                <w:sz w:val="17"/>
                <w:szCs w:val="17"/>
                <w:color w:val="auto"/>
              </w:rPr>
            </w:pPr>
          </w:p>
        </w:tc>
        <w:tc>
          <w:tcPr>
            <w:tcW w:w="100" w:type="dxa"/>
            <w:vAlign w:val="bottom"/>
            <w:shd w:val="clear" w:color="auto" w:fill="E7ECFC"/>
          </w:tcPr>
          <w:p>
            <w:pPr>
              <w:spacing w:after="0"/>
              <w:rPr>
                <w:sz w:val="17"/>
                <w:szCs w:val="17"/>
                <w:color w:val="auto"/>
              </w:rPr>
            </w:pPr>
          </w:p>
        </w:tc>
        <w:tc>
          <w:tcPr>
            <w:tcW w:w="60" w:type="dxa"/>
            <w:vAlign w:val="bottom"/>
            <w:shd w:val="clear" w:color="auto" w:fill="E7ECFC"/>
          </w:tcPr>
          <w:p>
            <w:pPr>
              <w:spacing w:after="0"/>
              <w:rPr>
                <w:sz w:val="17"/>
                <w:szCs w:val="17"/>
                <w:color w:val="auto"/>
              </w:rPr>
            </w:pPr>
          </w:p>
        </w:tc>
        <w:tc>
          <w:tcPr>
            <w:tcW w:w="6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w w:val="98"/>
              </w:rPr>
              <w:t>10/7/2021</w:t>
            </w:r>
          </w:p>
        </w:tc>
        <w:tc>
          <w:tcPr>
            <w:tcW w:w="280" w:type="dxa"/>
            <w:vAlign w:val="bottom"/>
            <w:shd w:val="clear" w:color="auto" w:fill="E7ECFC"/>
          </w:tcPr>
          <w:p>
            <w:pPr>
              <w:spacing w:after="0"/>
              <w:rPr>
                <w:sz w:val="20"/>
                <w:szCs w:val="20"/>
                <w:color w:val="auto"/>
              </w:rPr>
            </w:pPr>
            <w:r>
              <w:rPr>
                <w:rFonts w:ascii="Times New Roman" w:cs="Times New Roman" w:eastAsia="Times New Roman" w:hAnsi="Times New Roman"/>
                <w:sz w:val="12"/>
                <w:szCs w:val="12"/>
                <w:color w:val="auto"/>
              </w:rPr>
              <w:t>(6)</w:t>
            </w:r>
          </w:p>
        </w:tc>
        <w:tc>
          <w:tcPr>
            <w:tcW w:w="320" w:type="dxa"/>
            <w:vAlign w:val="bottom"/>
            <w:shd w:val="clear" w:color="auto" w:fill="E7ECFC"/>
          </w:tcPr>
          <w:p>
            <w:pPr>
              <w:spacing w:after="0"/>
              <w:rPr>
                <w:sz w:val="17"/>
                <w:szCs w:val="17"/>
                <w:color w:val="auto"/>
              </w:rPr>
            </w:pPr>
          </w:p>
        </w:tc>
        <w:tc>
          <w:tcPr>
            <w:tcW w:w="1260" w:type="dxa"/>
            <w:vAlign w:val="bottom"/>
            <w:gridSpan w:val="2"/>
            <w:shd w:val="clear" w:color="auto" w:fill="E7ECFC"/>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144,300</w:t>
            </w:r>
          </w:p>
        </w:tc>
        <w:tc>
          <w:tcPr>
            <w:tcW w:w="360" w:type="dxa"/>
            <w:vAlign w:val="bottom"/>
            <w:shd w:val="clear" w:color="auto" w:fill="E7ECFC"/>
          </w:tcPr>
          <w:p>
            <w:pPr>
              <w:spacing w:after="0"/>
              <w:rPr>
                <w:sz w:val="17"/>
                <w:szCs w:val="17"/>
                <w:color w:val="auto"/>
              </w:rPr>
            </w:pPr>
          </w:p>
        </w:tc>
        <w:tc>
          <w:tcPr>
            <w:tcW w:w="8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1,585,857</w:t>
            </w:r>
          </w:p>
        </w:tc>
        <w:tc>
          <w:tcPr>
            <w:tcW w:w="360" w:type="dxa"/>
            <w:vAlign w:val="bottom"/>
            <w:shd w:val="clear" w:color="auto" w:fill="E7ECFC"/>
          </w:tcPr>
          <w:p>
            <w:pPr>
              <w:spacing w:after="0"/>
              <w:rPr>
                <w:sz w:val="17"/>
                <w:szCs w:val="17"/>
                <w:color w:val="auto"/>
              </w:rPr>
            </w:pPr>
          </w:p>
        </w:tc>
        <w:tc>
          <w:tcPr>
            <w:tcW w:w="1020" w:type="dxa"/>
            <w:vAlign w:val="bottom"/>
            <w:shd w:val="clear" w:color="auto" w:fill="E7ECFC"/>
          </w:tcPr>
          <w:p>
            <w:pPr>
              <w:spacing w:after="0"/>
              <w:rPr>
                <w:sz w:val="17"/>
                <w:szCs w:val="17"/>
                <w:color w:val="auto"/>
              </w:rPr>
            </w:pPr>
          </w:p>
        </w:tc>
        <w:tc>
          <w:tcPr>
            <w:tcW w:w="360" w:type="dxa"/>
            <w:vAlign w:val="bottom"/>
            <w:shd w:val="clear" w:color="auto" w:fill="E7ECFC"/>
          </w:tcPr>
          <w:p>
            <w:pPr>
              <w:spacing w:after="0"/>
              <w:rPr>
                <w:sz w:val="17"/>
                <w:szCs w:val="17"/>
                <w:color w:val="auto"/>
              </w:rPr>
            </w:pPr>
          </w:p>
        </w:tc>
        <w:tc>
          <w:tcPr>
            <w:tcW w:w="1040" w:type="dxa"/>
            <w:vAlign w:val="bottom"/>
            <w:shd w:val="clear" w:color="auto" w:fill="E7ECFC"/>
          </w:tcPr>
          <w:p>
            <w:pPr>
              <w:spacing w:after="0"/>
              <w:rPr>
                <w:sz w:val="17"/>
                <w:szCs w:val="17"/>
                <w:color w:val="auto"/>
              </w:rPr>
            </w:pPr>
          </w:p>
        </w:tc>
        <w:tc>
          <w:tcPr>
            <w:tcW w:w="40" w:type="dxa"/>
            <w:vAlign w:val="bottom"/>
            <w:shd w:val="clear" w:color="auto" w:fill="E7E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E7ECFC"/>
          </w:tcPr>
          <w:p>
            <w:pPr>
              <w:spacing w:after="0"/>
              <w:rPr>
                <w:sz w:val="17"/>
                <w:szCs w:val="17"/>
                <w:color w:val="auto"/>
              </w:rPr>
            </w:pPr>
          </w:p>
        </w:tc>
        <w:tc>
          <w:tcPr>
            <w:tcW w:w="3260" w:type="dxa"/>
            <w:vAlign w:val="bottom"/>
            <w:shd w:val="clear" w:color="auto" w:fill="E7ECFC"/>
          </w:tcPr>
          <w:p>
            <w:pPr>
              <w:spacing w:after="0"/>
              <w:rPr>
                <w:sz w:val="17"/>
                <w:szCs w:val="17"/>
                <w:color w:val="auto"/>
              </w:rPr>
            </w:pPr>
          </w:p>
        </w:tc>
        <w:tc>
          <w:tcPr>
            <w:tcW w:w="100" w:type="dxa"/>
            <w:vAlign w:val="bottom"/>
            <w:shd w:val="clear" w:color="auto" w:fill="E7ECFC"/>
          </w:tcPr>
          <w:p>
            <w:pPr>
              <w:spacing w:after="0"/>
              <w:rPr>
                <w:sz w:val="17"/>
                <w:szCs w:val="17"/>
                <w:color w:val="auto"/>
              </w:rPr>
            </w:pPr>
          </w:p>
        </w:tc>
        <w:tc>
          <w:tcPr>
            <w:tcW w:w="60" w:type="dxa"/>
            <w:vAlign w:val="bottom"/>
            <w:shd w:val="clear" w:color="auto" w:fill="E7ECFC"/>
          </w:tcPr>
          <w:p>
            <w:pPr>
              <w:spacing w:after="0"/>
              <w:rPr>
                <w:sz w:val="17"/>
                <w:szCs w:val="17"/>
                <w:color w:val="auto"/>
              </w:rPr>
            </w:pPr>
          </w:p>
        </w:tc>
        <w:tc>
          <w:tcPr>
            <w:tcW w:w="6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5/4/2022</w:t>
            </w:r>
          </w:p>
        </w:tc>
        <w:tc>
          <w:tcPr>
            <w:tcW w:w="280" w:type="dxa"/>
            <w:vAlign w:val="bottom"/>
            <w:shd w:val="clear" w:color="auto" w:fill="E7ECFC"/>
          </w:tcPr>
          <w:p>
            <w:pPr>
              <w:spacing w:after="0"/>
              <w:rPr>
                <w:sz w:val="20"/>
                <w:szCs w:val="20"/>
                <w:color w:val="auto"/>
              </w:rPr>
            </w:pPr>
            <w:r>
              <w:rPr>
                <w:rFonts w:ascii="Times New Roman" w:cs="Times New Roman" w:eastAsia="Times New Roman" w:hAnsi="Times New Roman"/>
                <w:sz w:val="12"/>
                <w:szCs w:val="12"/>
                <w:color w:val="auto"/>
              </w:rPr>
              <w:t>(7)</w:t>
            </w:r>
          </w:p>
        </w:tc>
        <w:tc>
          <w:tcPr>
            <w:tcW w:w="320" w:type="dxa"/>
            <w:vAlign w:val="bottom"/>
            <w:shd w:val="clear" w:color="auto" w:fill="E7ECFC"/>
          </w:tcPr>
          <w:p>
            <w:pPr>
              <w:spacing w:after="0"/>
              <w:rPr>
                <w:sz w:val="17"/>
                <w:szCs w:val="17"/>
                <w:color w:val="auto"/>
              </w:rPr>
            </w:pPr>
          </w:p>
        </w:tc>
        <w:tc>
          <w:tcPr>
            <w:tcW w:w="1260" w:type="dxa"/>
            <w:vAlign w:val="bottom"/>
            <w:gridSpan w:val="2"/>
            <w:shd w:val="clear" w:color="auto" w:fill="E7ECFC"/>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333,322</w:t>
            </w:r>
          </w:p>
        </w:tc>
        <w:tc>
          <w:tcPr>
            <w:tcW w:w="360" w:type="dxa"/>
            <w:vAlign w:val="bottom"/>
            <w:shd w:val="clear" w:color="auto" w:fill="E7ECFC"/>
          </w:tcPr>
          <w:p>
            <w:pPr>
              <w:spacing w:after="0"/>
              <w:rPr>
                <w:sz w:val="17"/>
                <w:szCs w:val="17"/>
                <w:color w:val="auto"/>
              </w:rPr>
            </w:pPr>
          </w:p>
        </w:tc>
        <w:tc>
          <w:tcPr>
            <w:tcW w:w="8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3,663,209</w:t>
            </w:r>
          </w:p>
        </w:tc>
        <w:tc>
          <w:tcPr>
            <w:tcW w:w="360" w:type="dxa"/>
            <w:vAlign w:val="bottom"/>
            <w:shd w:val="clear" w:color="auto" w:fill="E7ECFC"/>
          </w:tcPr>
          <w:p>
            <w:pPr>
              <w:spacing w:after="0"/>
              <w:rPr>
                <w:sz w:val="17"/>
                <w:szCs w:val="17"/>
                <w:color w:val="auto"/>
              </w:rPr>
            </w:pPr>
          </w:p>
        </w:tc>
        <w:tc>
          <w:tcPr>
            <w:tcW w:w="1020" w:type="dxa"/>
            <w:vAlign w:val="bottom"/>
            <w:shd w:val="clear" w:color="auto" w:fill="E7ECFC"/>
          </w:tcPr>
          <w:p>
            <w:pPr>
              <w:spacing w:after="0"/>
              <w:rPr>
                <w:sz w:val="17"/>
                <w:szCs w:val="17"/>
                <w:color w:val="auto"/>
              </w:rPr>
            </w:pPr>
          </w:p>
        </w:tc>
        <w:tc>
          <w:tcPr>
            <w:tcW w:w="360" w:type="dxa"/>
            <w:vAlign w:val="bottom"/>
            <w:shd w:val="clear" w:color="auto" w:fill="E7ECFC"/>
          </w:tcPr>
          <w:p>
            <w:pPr>
              <w:spacing w:after="0"/>
              <w:rPr>
                <w:sz w:val="17"/>
                <w:szCs w:val="17"/>
                <w:color w:val="auto"/>
              </w:rPr>
            </w:pPr>
          </w:p>
        </w:tc>
        <w:tc>
          <w:tcPr>
            <w:tcW w:w="1040" w:type="dxa"/>
            <w:vAlign w:val="bottom"/>
            <w:shd w:val="clear" w:color="auto" w:fill="E7ECFC"/>
          </w:tcPr>
          <w:p>
            <w:pPr>
              <w:spacing w:after="0"/>
              <w:rPr>
                <w:sz w:val="17"/>
                <w:szCs w:val="17"/>
                <w:color w:val="auto"/>
              </w:rPr>
            </w:pPr>
          </w:p>
        </w:tc>
        <w:tc>
          <w:tcPr>
            <w:tcW w:w="40" w:type="dxa"/>
            <w:vAlign w:val="bottom"/>
            <w:shd w:val="clear" w:color="auto" w:fill="E7E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E7ECFC"/>
          </w:tcPr>
          <w:p>
            <w:pPr>
              <w:spacing w:after="0"/>
              <w:rPr>
                <w:sz w:val="17"/>
                <w:szCs w:val="17"/>
                <w:color w:val="auto"/>
              </w:rPr>
            </w:pPr>
          </w:p>
        </w:tc>
        <w:tc>
          <w:tcPr>
            <w:tcW w:w="3260" w:type="dxa"/>
            <w:vAlign w:val="bottom"/>
            <w:shd w:val="clear" w:color="auto" w:fill="E7ECFC"/>
          </w:tcPr>
          <w:p>
            <w:pPr>
              <w:spacing w:after="0"/>
              <w:rPr>
                <w:sz w:val="17"/>
                <w:szCs w:val="17"/>
                <w:color w:val="auto"/>
              </w:rPr>
            </w:pPr>
          </w:p>
        </w:tc>
        <w:tc>
          <w:tcPr>
            <w:tcW w:w="100" w:type="dxa"/>
            <w:vAlign w:val="bottom"/>
            <w:shd w:val="clear" w:color="auto" w:fill="E7ECFC"/>
          </w:tcPr>
          <w:p>
            <w:pPr>
              <w:spacing w:after="0"/>
              <w:rPr>
                <w:sz w:val="17"/>
                <w:szCs w:val="17"/>
                <w:color w:val="auto"/>
              </w:rPr>
            </w:pPr>
          </w:p>
        </w:tc>
        <w:tc>
          <w:tcPr>
            <w:tcW w:w="60" w:type="dxa"/>
            <w:vAlign w:val="bottom"/>
            <w:shd w:val="clear" w:color="auto" w:fill="E7ECFC"/>
          </w:tcPr>
          <w:p>
            <w:pPr>
              <w:spacing w:after="0"/>
              <w:rPr>
                <w:sz w:val="17"/>
                <w:szCs w:val="17"/>
                <w:color w:val="auto"/>
              </w:rPr>
            </w:pPr>
          </w:p>
        </w:tc>
        <w:tc>
          <w:tcPr>
            <w:tcW w:w="6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5/4/2022</w:t>
            </w:r>
          </w:p>
        </w:tc>
        <w:tc>
          <w:tcPr>
            <w:tcW w:w="280" w:type="dxa"/>
            <w:vAlign w:val="bottom"/>
            <w:shd w:val="clear" w:color="auto" w:fill="E7ECFC"/>
          </w:tcPr>
          <w:p>
            <w:pPr>
              <w:spacing w:after="0"/>
              <w:rPr>
                <w:sz w:val="20"/>
                <w:szCs w:val="20"/>
                <w:color w:val="auto"/>
              </w:rPr>
            </w:pPr>
            <w:r>
              <w:rPr>
                <w:rFonts w:ascii="Times New Roman" w:cs="Times New Roman" w:eastAsia="Times New Roman" w:hAnsi="Times New Roman"/>
                <w:sz w:val="12"/>
                <w:szCs w:val="12"/>
                <w:color w:val="auto"/>
              </w:rPr>
              <w:t>(8)</w:t>
            </w:r>
          </w:p>
        </w:tc>
        <w:tc>
          <w:tcPr>
            <w:tcW w:w="320" w:type="dxa"/>
            <w:vAlign w:val="bottom"/>
            <w:shd w:val="clear" w:color="auto" w:fill="E7ECFC"/>
          </w:tcPr>
          <w:p>
            <w:pPr>
              <w:spacing w:after="0"/>
              <w:rPr>
                <w:sz w:val="17"/>
                <w:szCs w:val="17"/>
                <w:color w:val="auto"/>
              </w:rPr>
            </w:pPr>
          </w:p>
        </w:tc>
        <w:tc>
          <w:tcPr>
            <w:tcW w:w="1260" w:type="dxa"/>
            <w:vAlign w:val="bottom"/>
            <w:gridSpan w:val="2"/>
            <w:shd w:val="clear" w:color="auto" w:fill="E7ECFC"/>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83,333</w:t>
            </w:r>
          </w:p>
        </w:tc>
        <w:tc>
          <w:tcPr>
            <w:tcW w:w="360" w:type="dxa"/>
            <w:vAlign w:val="bottom"/>
            <w:shd w:val="clear" w:color="auto" w:fill="E7ECFC"/>
          </w:tcPr>
          <w:p>
            <w:pPr>
              <w:spacing w:after="0"/>
              <w:rPr>
                <w:sz w:val="17"/>
                <w:szCs w:val="17"/>
                <w:color w:val="auto"/>
              </w:rPr>
            </w:pPr>
          </w:p>
        </w:tc>
        <w:tc>
          <w:tcPr>
            <w:tcW w:w="8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915,830</w:t>
            </w:r>
          </w:p>
        </w:tc>
        <w:tc>
          <w:tcPr>
            <w:tcW w:w="360" w:type="dxa"/>
            <w:vAlign w:val="bottom"/>
            <w:shd w:val="clear" w:color="auto" w:fill="E7ECFC"/>
          </w:tcPr>
          <w:p>
            <w:pPr>
              <w:spacing w:after="0"/>
              <w:rPr>
                <w:sz w:val="17"/>
                <w:szCs w:val="17"/>
                <w:color w:val="auto"/>
              </w:rPr>
            </w:pPr>
          </w:p>
        </w:tc>
        <w:tc>
          <w:tcPr>
            <w:tcW w:w="1020" w:type="dxa"/>
            <w:vAlign w:val="bottom"/>
            <w:shd w:val="clear" w:color="auto" w:fill="E7ECFC"/>
          </w:tcPr>
          <w:p>
            <w:pPr>
              <w:spacing w:after="0"/>
              <w:rPr>
                <w:sz w:val="17"/>
                <w:szCs w:val="17"/>
                <w:color w:val="auto"/>
              </w:rPr>
            </w:pPr>
          </w:p>
        </w:tc>
        <w:tc>
          <w:tcPr>
            <w:tcW w:w="360" w:type="dxa"/>
            <w:vAlign w:val="bottom"/>
            <w:shd w:val="clear" w:color="auto" w:fill="E7ECFC"/>
          </w:tcPr>
          <w:p>
            <w:pPr>
              <w:spacing w:after="0"/>
              <w:rPr>
                <w:sz w:val="17"/>
                <w:szCs w:val="17"/>
                <w:color w:val="auto"/>
              </w:rPr>
            </w:pPr>
          </w:p>
        </w:tc>
        <w:tc>
          <w:tcPr>
            <w:tcW w:w="1040" w:type="dxa"/>
            <w:vAlign w:val="bottom"/>
            <w:shd w:val="clear" w:color="auto" w:fill="E7ECFC"/>
          </w:tcPr>
          <w:p>
            <w:pPr>
              <w:spacing w:after="0"/>
              <w:rPr>
                <w:sz w:val="17"/>
                <w:szCs w:val="17"/>
                <w:color w:val="auto"/>
              </w:rPr>
            </w:pPr>
          </w:p>
        </w:tc>
        <w:tc>
          <w:tcPr>
            <w:tcW w:w="40" w:type="dxa"/>
            <w:vAlign w:val="bottom"/>
            <w:shd w:val="clear" w:color="auto" w:fill="E7EC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E7ECFC"/>
          </w:tcPr>
          <w:p>
            <w:pPr>
              <w:spacing w:after="0"/>
              <w:rPr>
                <w:sz w:val="18"/>
                <w:szCs w:val="18"/>
                <w:color w:val="auto"/>
              </w:rPr>
            </w:pPr>
          </w:p>
        </w:tc>
        <w:tc>
          <w:tcPr>
            <w:tcW w:w="3260" w:type="dxa"/>
            <w:vAlign w:val="bottom"/>
            <w:shd w:val="clear" w:color="auto" w:fill="E7ECFC"/>
          </w:tcPr>
          <w:p>
            <w:pPr>
              <w:spacing w:after="0"/>
              <w:rPr>
                <w:sz w:val="18"/>
                <w:szCs w:val="18"/>
                <w:color w:val="auto"/>
              </w:rPr>
            </w:pPr>
          </w:p>
        </w:tc>
        <w:tc>
          <w:tcPr>
            <w:tcW w:w="100" w:type="dxa"/>
            <w:vAlign w:val="bottom"/>
            <w:shd w:val="clear" w:color="auto" w:fill="E7ECFC"/>
          </w:tcPr>
          <w:p>
            <w:pPr>
              <w:spacing w:after="0"/>
              <w:rPr>
                <w:sz w:val="18"/>
                <w:szCs w:val="18"/>
                <w:color w:val="auto"/>
              </w:rPr>
            </w:pPr>
          </w:p>
        </w:tc>
        <w:tc>
          <w:tcPr>
            <w:tcW w:w="60" w:type="dxa"/>
            <w:vAlign w:val="bottom"/>
            <w:shd w:val="clear" w:color="auto" w:fill="E7ECFC"/>
          </w:tcPr>
          <w:p>
            <w:pPr>
              <w:spacing w:after="0"/>
              <w:rPr>
                <w:sz w:val="18"/>
                <w:szCs w:val="18"/>
                <w:color w:val="auto"/>
              </w:rPr>
            </w:pPr>
          </w:p>
        </w:tc>
        <w:tc>
          <w:tcPr>
            <w:tcW w:w="6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5/4/2022</w:t>
            </w:r>
          </w:p>
        </w:tc>
        <w:tc>
          <w:tcPr>
            <w:tcW w:w="280" w:type="dxa"/>
            <w:vAlign w:val="bottom"/>
            <w:shd w:val="clear" w:color="auto" w:fill="E7ECFC"/>
          </w:tcPr>
          <w:p>
            <w:pPr>
              <w:spacing w:after="0"/>
              <w:rPr>
                <w:sz w:val="20"/>
                <w:szCs w:val="20"/>
                <w:color w:val="auto"/>
              </w:rPr>
            </w:pPr>
            <w:r>
              <w:rPr>
                <w:rFonts w:ascii="Times New Roman" w:cs="Times New Roman" w:eastAsia="Times New Roman" w:hAnsi="Times New Roman"/>
                <w:sz w:val="12"/>
                <w:szCs w:val="12"/>
                <w:color w:val="auto"/>
              </w:rPr>
              <w:t>(9)</w:t>
            </w:r>
          </w:p>
        </w:tc>
        <w:tc>
          <w:tcPr>
            <w:tcW w:w="320" w:type="dxa"/>
            <w:vAlign w:val="bottom"/>
            <w:shd w:val="clear" w:color="auto" w:fill="E7ECFC"/>
          </w:tcPr>
          <w:p>
            <w:pPr>
              <w:spacing w:after="0"/>
              <w:rPr>
                <w:sz w:val="18"/>
                <w:szCs w:val="18"/>
                <w:color w:val="auto"/>
              </w:rPr>
            </w:pPr>
          </w:p>
        </w:tc>
        <w:tc>
          <w:tcPr>
            <w:tcW w:w="1260" w:type="dxa"/>
            <w:vAlign w:val="bottom"/>
            <w:gridSpan w:val="2"/>
            <w:shd w:val="clear" w:color="auto" w:fill="E7ECFC"/>
          </w:tcPr>
          <w:p>
            <w:pPr>
              <w:jc w:val="right"/>
              <w:ind w:right="459"/>
              <w:spacing w:after="0"/>
              <w:rPr>
                <w:sz w:val="20"/>
                <w:szCs w:val="20"/>
                <w:color w:val="auto"/>
              </w:rPr>
            </w:pPr>
            <w:r>
              <w:rPr>
                <w:rFonts w:ascii="Times New Roman" w:cs="Times New Roman" w:eastAsia="Times New Roman" w:hAnsi="Times New Roman"/>
                <w:sz w:val="16"/>
                <w:szCs w:val="16"/>
                <w:color w:val="auto"/>
              </w:rPr>
              <w:t>PSUs</w:t>
            </w:r>
          </w:p>
        </w:tc>
        <w:tc>
          <w:tcPr>
            <w:tcW w:w="680" w:type="dxa"/>
            <w:vAlign w:val="bottom"/>
            <w:shd w:val="clear" w:color="auto" w:fill="E7ECFC"/>
          </w:tcPr>
          <w:p>
            <w:pPr>
              <w:spacing w:after="0"/>
              <w:rPr>
                <w:sz w:val="18"/>
                <w:szCs w:val="18"/>
                <w:color w:val="auto"/>
              </w:rPr>
            </w:pPr>
          </w:p>
        </w:tc>
        <w:tc>
          <w:tcPr>
            <w:tcW w:w="360" w:type="dxa"/>
            <w:vAlign w:val="bottom"/>
            <w:shd w:val="clear" w:color="auto" w:fill="E7ECFC"/>
          </w:tcPr>
          <w:p>
            <w:pPr>
              <w:spacing w:after="0"/>
              <w:rPr>
                <w:sz w:val="18"/>
                <w:szCs w:val="18"/>
                <w:color w:val="auto"/>
              </w:rPr>
            </w:pPr>
          </w:p>
        </w:tc>
        <w:tc>
          <w:tcPr>
            <w:tcW w:w="860" w:type="dxa"/>
            <w:vAlign w:val="bottom"/>
            <w:shd w:val="clear" w:color="auto" w:fill="E7ECFC"/>
          </w:tcPr>
          <w:p>
            <w:pPr>
              <w:spacing w:after="0"/>
              <w:rPr>
                <w:sz w:val="18"/>
                <w:szCs w:val="18"/>
                <w:color w:val="auto"/>
              </w:rPr>
            </w:pPr>
          </w:p>
        </w:tc>
        <w:tc>
          <w:tcPr>
            <w:tcW w:w="360" w:type="dxa"/>
            <w:vAlign w:val="bottom"/>
            <w:shd w:val="clear" w:color="auto" w:fill="E7ECFC"/>
          </w:tcPr>
          <w:p>
            <w:pPr>
              <w:spacing w:after="0"/>
              <w:rPr>
                <w:sz w:val="18"/>
                <w:szCs w:val="18"/>
                <w:color w:val="auto"/>
              </w:rPr>
            </w:pPr>
          </w:p>
        </w:tc>
        <w:tc>
          <w:tcPr>
            <w:tcW w:w="1380" w:type="dxa"/>
            <w:vAlign w:val="bottom"/>
            <w:gridSpan w:val="2"/>
            <w:shd w:val="clear" w:color="auto" w:fill="E7ECFC"/>
          </w:tcPr>
          <w:p>
            <w:pPr>
              <w:jc w:val="right"/>
              <w:ind w:right="360"/>
              <w:spacing w:after="0"/>
              <w:rPr>
                <w:sz w:val="20"/>
                <w:szCs w:val="20"/>
                <w:color w:val="auto"/>
              </w:rPr>
            </w:pPr>
            <w:r>
              <w:rPr>
                <w:rFonts w:ascii="Times New Roman" w:cs="Times New Roman" w:eastAsia="Times New Roman" w:hAnsi="Times New Roman"/>
                <w:sz w:val="16"/>
                <w:szCs w:val="16"/>
                <w:color w:val="auto"/>
              </w:rPr>
              <w:t>125,000</w:t>
            </w:r>
          </w:p>
        </w:tc>
        <w:tc>
          <w:tcPr>
            <w:tcW w:w="104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1,373,750</w:t>
            </w:r>
          </w:p>
        </w:tc>
        <w:tc>
          <w:tcPr>
            <w:tcW w:w="40" w:type="dxa"/>
            <w:vAlign w:val="bottom"/>
            <w:shd w:val="clear" w:color="auto" w:fill="E7EC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Jason Krantz</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9/18/2019</w:t>
            </w: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320" w:type="dxa"/>
            <w:vAlign w:val="bottom"/>
          </w:tcPr>
          <w:p>
            <w:pPr>
              <w:spacing w:after="0"/>
              <w:rPr>
                <w:sz w:val="16"/>
                <w:szCs w:val="16"/>
                <w:color w:val="auto"/>
              </w:rPr>
            </w:pPr>
          </w:p>
        </w:tc>
        <w:tc>
          <w:tcPr>
            <w:tcW w:w="1260" w:type="dxa"/>
            <w:vAlign w:val="bottom"/>
            <w:gridSpan w:val="2"/>
          </w:tcPr>
          <w:p>
            <w:pPr>
              <w:jc w:val="right"/>
              <w:ind w:right="319"/>
              <w:spacing w:after="0" w:line="189" w:lineRule="exact"/>
              <w:rPr>
                <w:sz w:val="20"/>
                <w:szCs w:val="20"/>
                <w:color w:val="auto"/>
              </w:rPr>
            </w:pPr>
            <w:r>
              <w:rPr>
                <w:rFonts w:ascii="Times New Roman" w:cs="Times New Roman" w:eastAsia="Times New Roman" w:hAnsi="Times New Roman"/>
                <w:sz w:val="14"/>
                <w:szCs w:val="14"/>
                <w:color w:val="auto"/>
              </w:rPr>
              <w:t>LLC Units</w:t>
            </w:r>
            <w:r>
              <w:rPr>
                <w:rFonts w:ascii="Times New Roman" w:cs="Times New Roman" w:eastAsia="Times New Roman" w:hAnsi="Times New Roman"/>
                <w:sz w:val="21"/>
                <w:szCs w:val="21"/>
                <w:color w:val="auto"/>
                <w:vertAlign w:val="superscript"/>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391,916</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4,307,157</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00" w:type="dxa"/>
            <w:vAlign w:val="bottom"/>
            <w:gridSpan w:val="4"/>
          </w:tcPr>
          <w:p>
            <w:pPr>
              <w:jc w:val="right"/>
              <w:ind w:right="19"/>
              <w:spacing w:after="0" w:line="202"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3"/>
                <w:szCs w:val="23"/>
                <w:color w:val="auto"/>
                <w:vertAlign w:val="superscript"/>
              </w:rPr>
              <w:t>(11)</w:t>
            </w:r>
          </w:p>
        </w:tc>
        <w:tc>
          <w:tcPr>
            <w:tcW w:w="32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99,307</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1,091,384</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gridSpan w:val="4"/>
          </w:tcPr>
          <w:p>
            <w:pPr>
              <w:jc w:val="right"/>
              <w:ind w:right="19"/>
              <w:spacing w:after="0" w:line="217"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4"/>
                <w:szCs w:val="24"/>
                <w:color w:val="auto"/>
                <w:vertAlign w:val="superscript"/>
              </w:rPr>
              <w:t>(12)</w:t>
            </w:r>
          </w:p>
        </w:tc>
        <w:tc>
          <w:tcPr>
            <w:tcW w:w="320" w:type="dxa"/>
            <w:vAlign w:val="bottom"/>
          </w:tcPr>
          <w:p>
            <w:pPr>
              <w:spacing w:after="0"/>
              <w:rPr>
                <w:sz w:val="18"/>
                <w:szCs w:val="18"/>
                <w:color w:val="auto"/>
              </w:rPr>
            </w:pPr>
          </w:p>
        </w:tc>
        <w:tc>
          <w:tcPr>
            <w:tcW w:w="12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PSUs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48,148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E7ECFC"/>
          </w:tcPr>
          <w:p>
            <w:pPr>
              <w:spacing w:after="0"/>
              <w:rPr>
                <w:sz w:val="20"/>
                <w:szCs w:val="20"/>
                <w:color w:val="auto"/>
              </w:rPr>
            </w:pPr>
            <w:r>
              <w:rPr>
                <w:rFonts w:ascii="Times New Roman" w:cs="Times New Roman" w:eastAsia="Times New Roman" w:hAnsi="Times New Roman"/>
                <w:sz w:val="16"/>
                <w:szCs w:val="16"/>
                <w:color w:val="auto"/>
              </w:rPr>
              <w:t>Jonathan Maack</w:t>
            </w:r>
          </w:p>
        </w:tc>
        <w:tc>
          <w:tcPr>
            <w:tcW w:w="1100" w:type="dxa"/>
            <w:vAlign w:val="bottom"/>
            <w:gridSpan w:val="4"/>
            <w:shd w:val="clear" w:color="auto" w:fill="E7ECFC"/>
          </w:tcPr>
          <w:p>
            <w:pPr>
              <w:jc w:val="right"/>
              <w:ind w:right="19"/>
              <w:spacing w:after="0" w:line="202" w:lineRule="exact"/>
              <w:rPr>
                <w:sz w:val="20"/>
                <w:szCs w:val="20"/>
                <w:color w:val="auto"/>
              </w:rPr>
            </w:pPr>
            <w:r>
              <w:rPr>
                <w:rFonts w:ascii="Times New Roman" w:cs="Times New Roman" w:eastAsia="Times New Roman" w:hAnsi="Times New Roman"/>
                <w:sz w:val="16"/>
                <w:szCs w:val="16"/>
                <w:color w:val="auto"/>
              </w:rPr>
              <w:t>11/3/2022</w:t>
            </w:r>
            <w:r>
              <w:rPr>
                <w:rFonts w:ascii="Times New Roman" w:cs="Times New Roman" w:eastAsia="Times New Roman" w:hAnsi="Times New Roman"/>
                <w:sz w:val="23"/>
                <w:szCs w:val="23"/>
                <w:color w:val="auto"/>
                <w:vertAlign w:val="superscript"/>
              </w:rPr>
              <w:t>(13)</w:t>
            </w:r>
          </w:p>
        </w:tc>
        <w:tc>
          <w:tcPr>
            <w:tcW w:w="320" w:type="dxa"/>
            <w:vAlign w:val="bottom"/>
            <w:shd w:val="clear" w:color="auto" w:fill="E7ECFC"/>
          </w:tcPr>
          <w:p>
            <w:pPr>
              <w:spacing w:after="0"/>
              <w:rPr>
                <w:sz w:val="17"/>
                <w:szCs w:val="17"/>
                <w:color w:val="auto"/>
              </w:rPr>
            </w:pPr>
          </w:p>
        </w:tc>
        <w:tc>
          <w:tcPr>
            <w:tcW w:w="1260" w:type="dxa"/>
            <w:vAlign w:val="bottom"/>
            <w:gridSpan w:val="2"/>
            <w:shd w:val="clear" w:color="auto" w:fill="E7ECFC"/>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546,303</w:t>
            </w:r>
          </w:p>
        </w:tc>
        <w:tc>
          <w:tcPr>
            <w:tcW w:w="360" w:type="dxa"/>
            <w:vAlign w:val="bottom"/>
            <w:shd w:val="clear" w:color="auto" w:fill="E7ECFC"/>
          </w:tcPr>
          <w:p>
            <w:pPr>
              <w:spacing w:after="0"/>
              <w:rPr>
                <w:sz w:val="17"/>
                <w:szCs w:val="17"/>
                <w:color w:val="auto"/>
              </w:rPr>
            </w:pPr>
          </w:p>
        </w:tc>
        <w:tc>
          <w:tcPr>
            <w:tcW w:w="8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6,003,870</w:t>
            </w:r>
          </w:p>
        </w:tc>
        <w:tc>
          <w:tcPr>
            <w:tcW w:w="360" w:type="dxa"/>
            <w:vAlign w:val="bottom"/>
            <w:shd w:val="clear" w:color="auto" w:fill="E7ECFC"/>
          </w:tcPr>
          <w:p>
            <w:pPr>
              <w:spacing w:after="0"/>
              <w:rPr>
                <w:sz w:val="17"/>
                <w:szCs w:val="17"/>
                <w:color w:val="auto"/>
              </w:rPr>
            </w:pPr>
          </w:p>
        </w:tc>
        <w:tc>
          <w:tcPr>
            <w:tcW w:w="1020" w:type="dxa"/>
            <w:vAlign w:val="bottom"/>
            <w:shd w:val="clear" w:color="auto" w:fill="E7ECFC"/>
          </w:tcPr>
          <w:p>
            <w:pPr>
              <w:spacing w:after="0"/>
              <w:rPr>
                <w:sz w:val="17"/>
                <w:szCs w:val="17"/>
                <w:color w:val="auto"/>
              </w:rPr>
            </w:pPr>
          </w:p>
        </w:tc>
        <w:tc>
          <w:tcPr>
            <w:tcW w:w="360" w:type="dxa"/>
            <w:vAlign w:val="bottom"/>
            <w:shd w:val="clear" w:color="auto" w:fill="E7ECFC"/>
          </w:tcPr>
          <w:p>
            <w:pPr>
              <w:spacing w:after="0"/>
              <w:rPr>
                <w:sz w:val="17"/>
                <w:szCs w:val="17"/>
                <w:color w:val="auto"/>
              </w:rPr>
            </w:pPr>
          </w:p>
        </w:tc>
        <w:tc>
          <w:tcPr>
            <w:tcW w:w="1040" w:type="dxa"/>
            <w:vAlign w:val="bottom"/>
            <w:shd w:val="clear" w:color="auto" w:fill="E7ECFC"/>
          </w:tcPr>
          <w:p>
            <w:pPr>
              <w:spacing w:after="0"/>
              <w:rPr>
                <w:sz w:val="17"/>
                <w:szCs w:val="17"/>
                <w:color w:val="auto"/>
              </w:rPr>
            </w:pPr>
          </w:p>
        </w:tc>
        <w:tc>
          <w:tcPr>
            <w:tcW w:w="40" w:type="dxa"/>
            <w:vAlign w:val="bottom"/>
            <w:shd w:val="clear" w:color="auto" w:fill="E7EC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Booth</w:t>
            </w:r>
          </w:p>
        </w:tc>
        <w:tc>
          <w:tcPr>
            <w:tcW w:w="1100" w:type="dxa"/>
            <w:vAlign w:val="bottom"/>
            <w:gridSpan w:val="4"/>
          </w:tcPr>
          <w:p>
            <w:pPr>
              <w:jc w:val="right"/>
              <w:ind w:right="19"/>
              <w:spacing w:after="0" w:line="189" w:lineRule="exact"/>
              <w:rPr>
                <w:sz w:val="20"/>
                <w:szCs w:val="20"/>
                <w:color w:val="auto"/>
              </w:rPr>
            </w:pPr>
            <w:r>
              <w:rPr>
                <w:rFonts w:ascii="Times New Roman" w:cs="Times New Roman" w:eastAsia="Times New Roman" w:hAnsi="Times New Roman"/>
                <w:sz w:val="14"/>
                <w:szCs w:val="14"/>
                <w:color w:val="auto"/>
              </w:rPr>
              <w:t>4/28/2021</w:t>
            </w:r>
            <w:r>
              <w:rPr>
                <w:rFonts w:ascii="Times New Roman" w:cs="Times New Roman" w:eastAsia="Times New Roman" w:hAnsi="Times New Roman"/>
                <w:sz w:val="21"/>
                <w:szCs w:val="21"/>
                <w:color w:val="auto"/>
                <w:vertAlign w:val="superscript"/>
              </w:rPr>
              <w:t>(14)</w:t>
            </w:r>
          </w:p>
        </w:tc>
        <w:tc>
          <w:tcPr>
            <w:tcW w:w="320" w:type="dxa"/>
            <w:vAlign w:val="bottom"/>
          </w:tcPr>
          <w:p>
            <w:pPr>
              <w:spacing w:after="0"/>
              <w:rPr>
                <w:sz w:val="16"/>
                <w:szCs w:val="16"/>
                <w:color w:val="auto"/>
              </w:rPr>
            </w:pPr>
          </w:p>
        </w:tc>
        <w:tc>
          <w:tcPr>
            <w:tcW w:w="1260" w:type="dxa"/>
            <w:vAlign w:val="bottom"/>
            <w:gridSpan w:val="2"/>
          </w:tcPr>
          <w:p>
            <w:pPr>
              <w:jc w:val="right"/>
              <w:ind w:right="319"/>
              <w:spacing w:after="0" w:line="189" w:lineRule="exact"/>
              <w:rPr>
                <w:sz w:val="20"/>
                <w:szCs w:val="20"/>
                <w:color w:val="auto"/>
              </w:rPr>
            </w:pPr>
            <w:r>
              <w:rPr>
                <w:rFonts w:ascii="Times New Roman" w:cs="Times New Roman" w:eastAsia="Times New Roman" w:hAnsi="Times New Roman"/>
                <w:sz w:val="14"/>
                <w:szCs w:val="14"/>
                <w:color w:val="auto"/>
              </w:rPr>
              <w:t>LLC Units</w:t>
            </w:r>
            <w:r>
              <w:rPr>
                <w:rFonts w:ascii="Times New Roman" w:cs="Times New Roman" w:eastAsia="Times New Roman" w:hAnsi="Times New Roman"/>
                <w:sz w:val="21"/>
                <w:szCs w:val="21"/>
                <w:color w:val="auto"/>
                <w:vertAlign w:val="superscript"/>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344,835</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3,789,737</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00" w:type="dxa"/>
            <w:vAlign w:val="bottom"/>
            <w:gridSpan w:val="4"/>
          </w:tcPr>
          <w:p>
            <w:pPr>
              <w:jc w:val="right"/>
              <w:ind w:right="19"/>
              <w:spacing w:after="0" w:line="202"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3"/>
                <w:szCs w:val="23"/>
                <w:color w:val="auto"/>
                <w:vertAlign w:val="superscript"/>
              </w:rPr>
              <w:t>(15)</w:t>
            </w:r>
          </w:p>
        </w:tc>
        <w:tc>
          <w:tcPr>
            <w:tcW w:w="32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37,241</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409,279</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gridSpan w:val="4"/>
          </w:tcPr>
          <w:p>
            <w:pPr>
              <w:jc w:val="right"/>
              <w:ind w:right="19"/>
              <w:spacing w:after="0" w:line="217"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4"/>
                <w:szCs w:val="24"/>
                <w:color w:val="auto"/>
                <w:vertAlign w:val="superscript"/>
              </w:rPr>
              <w:t>(12)</w:t>
            </w:r>
          </w:p>
        </w:tc>
        <w:tc>
          <w:tcPr>
            <w:tcW w:w="320" w:type="dxa"/>
            <w:vAlign w:val="bottom"/>
          </w:tcPr>
          <w:p>
            <w:pPr>
              <w:spacing w:after="0"/>
              <w:rPr>
                <w:sz w:val="18"/>
                <w:szCs w:val="18"/>
                <w:color w:val="auto"/>
              </w:rPr>
            </w:pPr>
          </w:p>
        </w:tc>
        <w:tc>
          <w:tcPr>
            <w:tcW w:w="12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PSUs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18,056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E7ECFC"/>
          </w:tcPr>
          <w:p>
            <w:pPr>
              <w:spacing w:after="0"/>
              <w:rPr>
                <w:sz w:val="20"/>
                <w:szCs w:val="20"/>
                <w:color w:val="auto"/>
              </w:rPr>
            </w:pPr>
            <w:r>
              <w:rPr>
                <w:rFonts w:ascii="Times New Roman" w:cs="Times New Roman" w:eastAsia="Times New Roman" w:hAnsi="Times New Roman"/>
                <w:sz w:val="16"/>
                <w:szCs w:val="16"/>
                <w:color w:val="auto"/>
              </w:rPr>
              <w:t>Joseph Mirisola</w:t>
            </w:r>
          </w:p>
        </w:tc>
        <w:tc>
          <w:tcPr>
            <w:tcW w:w="100" w:type="dxa"/>
            <w:vAlign w:val="bottom"/>
            <w:shd w:val="clear" w:color="auto" w:fill="E7ECFC"/>
          </w:tcPr>
          <w:p>
            <w:pPr>
              <w:spacing w:after="0"/>
              <w:rPr>
                <w:sz w:val="17"/>
                <w:szCs w:val="17"/>
                <w:color w:val="auto"/>
              </w:rPr>
            </w:pPr>
          </w:p>
        </w:tc>
        <w:tc>
          <w:tcPr>
            <w:tcW w:w="1000" w:type="dxa"/>
            <w:vAlign w:val="bottom"/>
            <w:gridSpan w:val="3"/>
            <w:shd w:val="clear" w:color="auto" w:fill="E7ECFC"/>
          </w:tcPr>
          <w:p>
            <w:pPr>
              <w:jc w:val="right"/>
              <w:ind w:right="19"/>
              <w:spacing w:after="0" w:line="202" w:lineRule="exact"/>
              <w:rPr>
                <w:sz w:val="20"/>
                <w:szCs w:val="20"/>
                <w:color w:val="auto"/>
              </w:rPr>
            </w:pPr>
            <w:r>
              <w:rPr>
                <w:rFonts w:ascii="Times New Roman" w:cs="Times New Roman" w:eastAsia="Times New Roman" w:hAnsi="Times New Roman"/>
                <w:sz w:val="16"/>
                <w:szCs w:val="16"/>
                <w:color w:val="auto"/>
                <w:w w:val="99"/>
              </w:rPr>
              <w:t>9/18/2019</w:t>
            </w:r>
            <w:r>
              <w:rPr>
                <w:rFonts w:ascii="Times New Roman" w:cs="Times New Roman" w:eastAsia="Times New Roman" w:hAnsi="Times New Roman"/>
                <w:sz w:val="23"/>
                <w:szCs w:val="23"/>
                <w:color w:val="auto"/>
                <w:w w:val="99"/>
                <w:vertAlign w:val="superscript"/>
              </w:rPr>
              <w:t>(16)</w:t>
            </w:r>
          </w:p>
        </w:tc>
        <w:tc>
          <w:tcPr>
            <w:tcW w:w="320" w:type="dxa"/>
            <w:vAlign w:val="bottom"/>
            <w:shd w:val="clear" w:color="auto" w:fill="E7ECFC"/>
          </w:tcPr>
          <w:p>
            <w:pPr>
              <w:spacing w:after="0"/>
              <w:rPr>
                <w:sz w:val="17"/>
                <w:szCs w:val="17"/>
                <w:color w:val="auto"/>
              </w:rPr>
            </w:pPr>
          </w:p>
        </w:tc>
        <w:tc>
          <w:tcPr>
            <w:tcW w:w="1260" w:type="dxa"/>
            <w:vAlign w:val="bottom"/>
            <w:gridSpan w:val="2"/>
            <w:shd w:val="clear" w:color="auto" w:fill="E7ECFC"/>
          </w:tcPr>
          <w:p>
            <w:pPr>
              <w:jc w:val="right"/>
              <w:ind w:right="319"/>
              <w:spacing w:after="0" w:line="202" w:lineRule="exact"/>
              <w:rPr>
                <w:sz w:val="20"/>
                <w:szCs w:val="20"/>
                <w:color w:val="auto"/>
              </w:rPr>
            </w:pPr>
            <w:r>
              <w:rPr>
                <w:rFonts w:ascii="Times New Roman" w:cs="Times New Roman" w:eastAsia="Times New Roman" w:hAnsi="Times New Roman"/>
                <w:sz w:val="16"/>
                <w:szCs w:val="16"/>
                <w:color w:val="auto"/>
                <w:w w:val="99"/>
              </w:rPr>
              <w:t>LLC Units</w:t>
            </w:r>
            <w:r>
              <w:rPr>
                <w:rFonts w:ascii="Times New Roman" w:cs="Times New Roman" w:eastAsia="Times New Roman" w:hAnsi="Times New Roman"/>
                <w:sz w:val="23"/>
                <w:szCs w:val="23"/>
                <w:color w:val="auto"/>
                <w:w w:val="99"/>
                <w:vertAlign w:val="superscript"/>
              </w:rPr>
              <w:t>(4)</w:t>
            </w:r>
          </w:p>
        </w:tc>
        <w:tc>
          <w:tcPr>
            <w:tcW w:w="6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88,181</w:t>
            </w:r>
          </w:p>
        </w:tc>
        <w:tc>
          <w:tcPr>
            <w:tcW w:w="360" w:type="dxa"/>
            <w:vAlign w:val="bottom"/>
            <w:shd w:val="clear" w:color="auto" w:fill="E7ECFC"/>
          </w:tcPr>
          <w:p>
            <w:pPr>
              <w:spacing w:after="0"/>
              <w:rPr>
                <w:sz w:val="17"/>
                <w:szCs w:val="17"/>
                <w:color w:val="auto"/>
              </w:rPr>
            </w:pPr>
          </w:p>
        </w:tc>
        <w:tc>
          <w:tcPr>
            <w:tcW w:w="8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969,109</w:t>
            </w:r>
          </w:p>
        </w:tc>
        <w:tc>
          <w:tcPr>
            <w:tcW w:w="360" w:type="dxa"/>
            <w:vAlign w:val="bottom"/>
            <w:shd w:val="clear" w:color="auto" w:fill="E7ECFC"/>
          </w:tcPr>
          <w:p>
            <w:pPr>
              <w:spacing w:after="0"/>
              <w:rPr>
                <w:sz w:val="17"/>
                <w:szCs w:val="17"/>
                <w:color w:val="auto"/>
              </w:rPr>
            </w:pPr>
          </w:p>
        </w:tc>
        <w:tc>
          <w:tcPr>
            <w:tcW w:w="1020" w:type="dxa"/>
            <w:vAlign w:val="bottom"/>
            <w:shd w:val="clear" w:color="auto" w:fill="E7ECFC"/>
          </w:tcPr>
          <w:p>
            <w:pPr>
              <w:spacing w:after="0"/>
              <w:rPr>
                <w:sz w:val="17"/>
                <w:szCs w:val="17"/>
                <w:color w:val="auto"/>
              </w:rPr>
            </w:pPr>
          </w:p>
        </w:tc>
        <w:tc>
          <w:tcPr>
            <w:tcW w:w="360" w:type="dxa"/>
            <w:vAlign w:val="bottom"/>
            <w:shd w:val="clear" w:color="auto" w:fill="E7ECFC"/>
          </w:tcPr>
          <w:p>
            <w:pPr>
              <w:spacing w:after="0"/>
              <w:rPr>
                <w:sz w:val="17"/>
                <w:szCs w:val="17"/>
                <w:color w:val="auto"/>
              </w:rPr>
            </w:pPr>
          </w:p>
        </w:tc>
        <w:tc>
          <w:tcPr>
            <w:tcW w:w="1040" w:type="dxa"/>
            <w:vAlign w:val="bottom"/>
            <w:shd w:val="clear" w:color="auto" w:fill="E7ECFC"/>
          </w:tcPr>
          <w:p>
            <w:pPr>
              <w:spacing w:after="0"/>
              <w:rPr>
                <w:sz w:val="17"/>
                <w:szCs w:val="17"/>
                <w:color w:val="auto"/>
              </w:rPr>
            </w:pPr>
          </w:p>
        </w:tc>
        <w:tc>
          <w:tcPr>
            <w:tcW w:w="40" w:type="dxa"/>
            <w:vAlign w:val="bottom"/>
            <w:shd w:val="clear" w:color="auto" w:fill="E7EC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 w:type="dxa"/>
            <w:vAlign w:val="bottom"/>
            <w:shd w:val="clear" w:color="auto" w:fill="E7ECFC"/>
          </w:tcPr>
          <w:p>
            <w:pPr>
              <w:spacing w:after="0"/>
              <w:rPr>
                <w:sz w:val="16"/>
                <w:szCs w:val="16"/>
                <w:color w:val="auto"/>
              </w:rPr>
            </w:pPr>
          </w:p>
        </w:tc>
        <w:tc>
          <w:tcPr>
            <w:tcW w:w="3260" w:type="dxa"/>
            <w:vAlign w:val="bottom"/>
            <w:shd w:val="clear" w:color="auto" w:fill="E7ECFC"/>
          </w:tcPr>
          <w:p>
            <w:pPr>
              <w:spacing w:after="0"/>
              <w:rPr>
                <w:sz w:val="16"/>
                <w:szCs w:val="16"/>
                <w:color w:val="auto"/>
              </w:rPr>
            </w:pPr>
          </w:p>
        </w:tc>
        <w:tc>
          <w:tcPr>
            <w:tcW w:w="100" w:type="dxa"/>
            <w:vAlign w:val="bottom"/>
            <w:shd w:val="clear" w:color="auto" w:fill="E7ECFC"/>
          </w:tcPr>
          <w:p>
            <w:pPr>
              <w:spacing w:after="0"/>
              <w:rPr>
                <w:sz w:val="16"/>
                <w:szCs w:val="16"/>
                <w:color w:val="auto"/>
              </w:rPr>
            </w:pPr>
          </w:p>
        </w:tc>
        <w:tc>
          <w:tcPr>
            <w:tcW w:w="60" w:type="dxa"/>
            <w:vAlign w:val="bottom"/>
            <w:shd w:val="clear" w:color="auto" w:fill="E7ECFC"/>
          </w:tcPr>
          <w:p>
            <w:pPr>
              <w:spacing w:after="0"/>
              <w:rPr>
                <w:sz w:val="16"/>
                <w:szCs w:val="16"/>
                <w:color w:val="auto"/>
              </w:rPr>
            </w:pPr>
          </w:p>
        </w:tc>
        <w:tc>
          <w:tcPr>
            <w:tcW w:w="940" w:type="dxa"/>
            <w:vAlign w:val="bottom"/>
            <w:gridSpan w:val="2"/>
            <w:shd w:val="clear" w:color="auto" w:fill="E7ECFC"/>
          </w:tcPr>
          <w:p>
            <w:pPr>
              <w:jc w:val="right"/>
              <w:ind w:right="19"/>
              <w:spacing w:after="0" w:line="189" w:lineRule="exact"/>
              <w:rPr>
                <w:sz w:val="20"/>
                <w:szCs w:val="20"/>
                <w:color w:val="auto"/>
              </w:rPr>
            </w:pPr>
            <w:r>
              <w:rPr>
                <w:rFonts w:ascii="Times New Roman" w:cs="Times New Roman" w:eastAsia="Times New Roman" w:hAnsi="Times New Roman"/>
                <w:sz w:val="14"/>
                <w:szCs w:val="14"/>
                <w:color w:val="auto"/>
              </w:rPr>
              <w:t>9/14/2021</w:t>
            </w:r>
            <w:r>
              <w:rPr>
                <w:rFonts w:ascii="Times New Roman" w:cs="Times New Roman" w:eastAsia="Times New Roman" w:hAnsi="Times New Roman"/>
                <w:sz w:val="21"/>
                <w:szCs w:val="21"/>
                <w:color w:val="auto"/>
                <w:vertAlign w:val="superscript"/>
              </w:rPr>
              <w:t>(17)</w:t>
            </w:r>
          </w:p>
        </w:tc>
        <w:tc>
          <w:tcPr>
            <w:tcW w:w="320" w:type="dxa"/>
            <w:vAlign w:val="bottom"/>
            <w:shd w:val="clear" w:color="auto" w:fill="E7ECFC"/>
          </w:tcPr>
          <w:p>
            <w:pPr>
              <w:spacing w:after="0"/>
              <w:rPr>
                <w:sz w:val="16"/>
                <w:szCs w:val="16"/>
                <w:color w:val="auto"/>
              </w:rPr>
            </w:pPr>
          </w:p>
        </w:tc>
        <w:tc>
          <w:tcPr>
            <w:tcW w:w="1260" w:type="dxa"/>
            <w:vAlign w:val="bottom"/>
            <w:gridSpan w:val="2"/>
            <w:shd w:val="clear" w:color="auto" w:fill="E7ECFC"/>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39,150</w:t>
            </w:r>
          </w:p>
        </w:tc>
        <w:tc>
          <w:tcPr>
            <w:tcW w:w="360" w:type="dxa"/>
            <w:vAlign w:val="bottom"/>
            <w:shd w:val="clear" w:color="auto" w:fill="E7ECFC"/>
          </w:tcPr>
          <w:p>
            <w:pPr>
              <w:spacing w:after="0"/>
              <w:rPr>
                <w:sz w:val="16"/>
                <w:szCs w:val="16"/>
                <w:color w:val="auto"/>
              </w:rPr>
            </w:pPr>
          </w:p>
        </w:tc>
        <w:tc>
          <w:tcPr>
            <w:tcW w:w="8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430,259</w:t>
            </w:r>
          </w:p>
        </w:tc>
        <w:tc>
          <w:tcPr>
            <w:tcW w:w="360" w:type="dxa"/>
            <w:vAlign w:val="bottom"/>
            <w:shd w:val="clear" w:color="auto" w:fill="E7ECFC"/>
          </w:tcPr>
          <w:p>
            <w:pPr>
              <w:spacing w:after="0"/>
              <w:rPr>
                <w:sz w:val="16"/>
                <w:szCs w:val="16"/>
                <w:color w:val="auto"/>
              </w:rPr>
            </w:pPr>
          </w:p>
        </w:tc>
        <w:tc>
          <w:tcPr>
            <w:tcW w:w="1020" w:type="dxa"/>
            <w:vAlign w:val="bottom"/>
            <w:shd w:val="clear" w:color="auto" w:fill="E7ECFC"/>
          </w:tcPr>
          <w:p>
            <w:pPr>
              <w:spacing w:after="0"/>
              <w:rPr>
                <w:sz w:val="16"/>
                <w:szCs w:val="16"/>
                <w:color w:val="auto"/>
              </w:rPr>
            </w:pPr>
          </w:p>
        </w:tc>
        <w:tc>
          <w:tcPr>
            <w:tcW w:w="360" w:type="dxa"/>
            <w:vAlign w:val="bottom"/>
            <w:shd w:val="clear" w:color="auto" w:fill="E7ECFC"/>
          </w:tcPr>
          <w:p>
            <w:pPr>
              <w:spacing w:after="0"/>
              <w:rPr>
                <w:sz w:val="16"/>
                <w:szCs w:val="16"/>
                <w:color w:val="auto"/>
              </w:rPr>
            </w:pPr>
          </w:p>
        </w:tc>
        <w:tc>
          <w:tcPr>
            <w:tcW w:w="1040" w:type="dxa"/>
            <w:vAlign w:val="bottom"/>
            <w:shd w:val="clear" w:color="auto" w:fill="E7ECFC"/>
          </w:tcPr>
          <w:p>
            <w:pPr>
              <w:spacing w:after="0"/>
              <w:rPr>
                <w:sz w:val="16"/>
                <w:szCs w:val="16"/>
                <w:color w:val="auto"/>
              </w:rPr>
            </w:pPr>
          </w:p>
        </w:tc>
        <w:tc>
          <w:tcPr>
            <w:tcW w:w="40" w:type="dxa"/>
            <w:vAlign w:val="bottom"/>
            <w:shd w:val="clear" w:color="auto" w:fill="E7EC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E7ECFC"/>
          </w:tcPr>
          <w:p>
            <w:pPr>
              <w:spacing w:after="0"/>
              <w:rPr>
                <w:sz w:val="18"/>
                <w:szCs w:val="18"/>
                <w:color w:val="auto"/>
              </w:rPr>
            </w:pPr>
          </w:p>
        </w:tc>
        <w:tc>
          <w:tcPr>
            <w:tcW w:w="3260" w:type="dxa"/>
            <w:vAlign w:val="bottom"/>
            <w:shd w:val="clear" w:color="auto" w:fill="E7ECFC"/>
          </w:tcPr>
          <w:p>
            <w:pPr>
              <w:spacing w:after="0"/>
              <w:rPr>
                <w:sz w:val="18"/>
                <w:szCs w:val="18"/>
                <w:color w:val="auto"/>
              </w:rPr>
            </w:pPr>
          </w:p>
        </w:tc>
        <w:tc>
          <w:tcPr>
            <w:tcW w:w="100" w:type="dxa"/>
            <w:vAlign w:val="bottom"/>
            <w:shd w:val="clear" w:color="auto" w:fill="E7ECFC"/>
          </w:tcPr>
          <w:p>
            <w:pPr>
              <w:spacing w:after="0"/>
              <w:rPr>
                <w:sz w:val="18"/>
                <w:szCs w:val="18"/>
                <w:color w:val="auto"/>
              </w:rPr>
            </w:pPr>
          </w:p>
        </w:tc>
        <w:tc>
          <w:tcPr>
            <w:tcW w:w="60" w:type="dxa"/>
            <w:vAlign w:val="bottom"/>
            <w:shd w:val="clear" w:color="auto" w:fill="E7ECFC"/>
          </w:tcPr>
          <w:p>
            <w:pPr>
              <w:spacing w:after="0"/>
              <w:rPr>
                <w:sz w:val="18"/>
                <w:szCs w:val="18"/>
                <w:color w:val="auto"/>
              </w:rPr>
            </w:pPr>
          </w:p>
        </w:tc>
        <w:tc>
          <w:tcPr>
            <w:tcW w:w="940" w:type="dxa"/>
            <w:vAlign w:val="bottom"/>
            <w:gridSpan w:val="2"/>
            <w:shd w:val="clear" w:color="auto" w:fill="E7ECFC"/>
          </w:tcPr>
          <w:p>
            <w:pPr>
              <w:jc w:val="right"/>
              <w:ind w:right="19"/>
              <w:spacing w:after="0" w:line="217" w:lineRule="exact"/>
              <w:rPr>
                <w:sz w:val="20"/>
                <w:szCs w:val="20"/>
                <w:color w:val="auto"/>
              </w:rPr>
            </w:pPr>
            <w:r>
              <w:rPr>
                <w:rFonts w:ascii="Times New Roman" w:cs="Times New Roman" w:eastAsia="Times New Roman" w:hAnsi="Times New Roman"/>
                <w:sz w:val="16"/>
                <w:szCs w:val="16"/>
                <w:color w:val="auto"/>
                <w:w w:val="91"/>
              </w:rPr>
              <w:t>9/14/2021</w:t>
            </w:r>
            <w:r>
              <w:rPr>
                <w:rFonts w:ascii="Times New Roman" w:cs="Times New Roman" w:eastAsia="Times New Roman" w:hAnsi="Times New Roman"/>
                <w:sz w:val="24"/>
                <w:szCs w:val="24"/>
                <w:color w:val="auto"/>
                <w:w w:val="91"/>
                <w:vertAlign w:val="superscript"/>
              </w:rPr>
              <w:t>(12)</w:t>
            </w:r>
          </w:p>
        </w:tc>
        <w:tc>
          <w:tcPr>
            <w:tcW w:w="320" w:type="dxa"/>
            <w:vAlign w:val="bottom"/>
            <w:shd w:val="clear" w:color="auto" w:fill="E7ECFC"/>
          </w:tcPr>
          <w:p>
            <w:pPr>
              <w:spacing w:after="0"/>
              <w:rPr>
                <w:sz w:val="18"/>
                <w:szCs w:val="18"/>
                <w:color w:val="auto"/>
              </w:rPr>
            </w:pPr>
          </w:p>
        </w:tc>
        <w:tc>
          <w:tcPr>
            <w:tcW w:w="1260" w:type="dxa"/>
            <w:vAlign w:val="bottom"/>
            <w:gridSpan w:val="2"/>
            <w:shd w:val="clear" w:color="auto" w:fill="E7ECFC"/>
          </w:tcPr>
          <w:p>
            <w:pPr>
              <w:jc w:val="right"/>
              <w:ind w:right="459"/>
              <w:spacing w:after="0"/>
              <w:rPr>
                <w:sz w:val="20"/>
                <w:szCs w:val="20"/>
                <w:color w:val="auto"/>
              </w:rPr>
            </w:pPr>
            <w:r>
              <w:rPr>
                <w:rFonts w:ascii="Times New Roman" w:cs="Times New Roman" w:eastAsia="Times New Roman" w:hAnsi="Times New Roman"/>
                <w:sz w:val="16"/>
                <w:szCs w:val="16"/>
                <w:color w:val="auto"/>
              </w:rPr>
              <w:t>PSUs</w:t>
            </w:r>
          </w:p>
        </w:tc>
        <w:tc>
          <w:tcPr>
            <w:tcW w:w="680" w:type="dxa"/>
            <w:vAlign w:val="bottom"/>
            <w:shd w:val="clear" w:color="auto" w:fill="E7ECFC"/>
          </w:tcPr>
          <w:p>
            <w:pPr>
              <w:spacing w:after="0"/>
              <w:rPr>
                <w:sz w:val="18"/>
                <w:szCs w:val="18"/>
                <w:color w:val="auto"/>
              </w:rPr>
            </w:pPr>
          </w:p>
        </w:tc>
        <w:tc>
          <w:tcPr>
            <w:tcW w:w="360" w:type="dxa"/>
            <w:vAlign w:val="bottom"/>
            <w:shd w:val="clear" w:color="auto" w:fill="E7ECFC"/>
          </w:tcPr>
          <w:p>
            <w:pPr>
              <w:spacing w:after="0"/>
              <w:rPr>
                <w:sz w:val="18"/>
                <w:szCs w:val="18"/>
                <w:color w:val="auto"/>
              </w:rPr>
            </w:pPr>
          </w:p>
        </w:tc>
        <w:tc>
          <w:tcPr>
            <w:tcW w:w="860" w:type="dxa"/>
            <w:vAlign w:val="bottom"/>
            <w:shd w:val="clear" w:color="auto" w:fill="E7ECFC"/>
          </w:tcPr>
          <w:p>
            <w:pPr>
              <w:spacing w:after="0"/>
              <w:rPr>
                <w:sz w:val="18"/>
                <w:szCs w:val="18"/>
                <w:color w:val="auto"/>
              </w:rPr>
            </w:pPr>
          </w:p>
        </w:tc>
        <w:tc>
          <w:tcPr>
            <w:tcW w:w="360" w:type="dxa"/>
            <w:vAlign w:val="bottom"/>
            <w:shd w:val="clear" w:color="auto" w:fill="E7ECFC"/>
          </w:tcPr>
          <w:p>
            <w:pPr>
              <w:spacing w:after="0"/>
              <w:rPr>
                <w:sz w:val="18"/>
                <w:szCs w:val="18"/>
                <w:color w:val="auto"/>
              </w:rPr>
            </w:pPr>
          </w:p>
        </w:tc>
        <w:tc>
          <w:tcPr>
            <w:tcW w:w="1380" w:type="dxa"/>
            <w:vAlign w:val="bottom"/>
            <w:gridSpan w:val="2"/>
            <w:shd w:val="clear" w:color="auto" w:fill="E7ECFC"/>
          </w:tcPr>
          <w:p>
            <w:pPr>
              <w:jc w:val="right"/>
              <w:ind w:right="360"/>
              <w:spacing w:after="0"/>
              <w:rPr>
                <w:sz w:val="20"/>
                <w:szCs w:val="20"/>
                <w:color w:val="auto"/>
              </w:rPr>
            </w:pPr>
            <w:r>
              <w:rPr>
                <w:rFonts w:ascii="Times New Roman" w:cs="Times New Roman" w:eastAsia="Times New Roman" w:hAnsi="Times New Roman"/>
                <w:sz w:val="16"/>
                <w:szCs w:val="16"/>
                <w:color w:val="auto"/>
              </w:rPr>
              <w:t>18,981</w:t>
            </w:r>
          </w:p>
        </w:tc>
        <w:tc>
          <w:tcPr>
            <w:tcW w:w="104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6"/>
                <w:szCs w:val="16"/>
                <w:color w:val="auto"/>
              </w:rPr>
              <w:t>208,601</w:t>
            </w:r>
          </w:p>
        </w:tc>
        <w:tc>
          <w:tcPr>
            <w:tcW w:w="40" w:type="dxa"/>
            <w:vAlign w:val="bottom"/>
            <w:shd w:val="clear" w:color="auto" w:fill="E7EC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Kate Shamsuddin Jensen</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19"/>
              <w:spacing w:after="0" w:line="189" w:lineRule="exact"/>
              <w:rPr>
                <w:sz w:val="20"/>
                <w:szCs w:val="20"/>
                <w:color w:val="auto"/>
              </w:rPr>
            </w:pPr>
            <w:r>
              <w:rPr>
                <w:rFonts w:ascii="Times New Roman" w:cs="Times New Roman" w:eastAsia="Times New Roman" w:hAnsi="Times New Roman"/>
                <w:sz w:val="14"/>
                <w:szCs w:val="14"/>
                <w:color w:val="auto"/>
              </w:rPr>
              <w:t>9/18/2019</w:t>
            </w:r>
            <w:r>
              <w:rPr>
                <w:rFonts w:ascii="Times New Roman" w:cs="Times New Roman" w:eastAsia="Times New Roman" w:hAnsi="Times New Roman"/>
                <w:sz w:val="21"/>
                <w:szCs w:val="21"/>
                <w:color w:val="auto"/>
                <w:vertAlign w:val="superscript"/>
              </w:rPr>
              <w:t>(18)</w:t>
            </w:r>
          </w:p>
        </w:tc>
        <w:tc>
          <w:tcPr>
            <w:tcW w:w="320" w:type="dxa"/>
            <w:vAlign w:val="bottom"/>
          </w:tcPr>
          <w:p>
            <w:pPr>
              <w:spacing w:after="0"/>
              <w:rPr>
                <w:sz w:val="16"/>
                <w:szCs w:val="16"/>
                <w:color w:val="auto"/>
              </w:rPr>
            </w:pPr>
          </w:p>
        </w:tc>
        <w:tc>
          <w:tcPr>
            <w:tcW w:w="1260" w:type="dxa"/>
            <w:vAlign w:val="bottom"/>
            <w:gridSpan w:val="2"/>
          </w:tcPr>
          <w:p>
            <w:pPr>
              <w:jc w:val="right"/>
              <w:ind w:right="319"/>
              <w:spacing w:after="0" w:line="189" w:lineRule="exact"/>
              <w:rPr>
                <w:sz w:val="20"/>
                <w:szCs w:val="20"/>
                <w:color w:val="auto"/>
              </w:rPr>
            </w:pPr>
            <w:r>
              <w:rPr>
                <w:rFonts w:ascii="Times New Roman" w:cs="Times New Roman" w:eastAsia="Times New Roman" w:hAnsi="Times New Roman"/>
                <w:sz w:val="14"/>
                <w:szCs w:val="14"/>
                <w:color w:val="auto"/>
              </w:rPr>
              <w:t>LLC Units</w:t>
            </w:r>
            <w:r>
              <w:rPr>
                <w:rFonts w:ascii="Times New Roman" w:cs="Times New Roman" w:eastAsia="Times New Roman" w:hAnsi="Times New Roman"/>
                <w:sz w:val="21"/>
                <w:szCs w:val="21"/>
                <w:color w:val="auto"/>
                <w:vertAlign w:val="superscript"/>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88,182</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969,120</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00" w:type="dxa"/>
            <w:vAlign w:val="bottom"/>
            <w:gridSpan w:val="4"/>
          </w:tcPr>
          <w:p>
            <w:pPr>
              <w:jc w:val="right"/>
              <w:ind w:right="19"/>
              <w:spacing w:after="0" w:line="202"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3"/>
                <w:szCs w:val="23"/>
                <w:color w:val="auto"/>
                <w:vertAlign w:val="superscript"/>
              </w:rPr>
              <w:t>(19)</w:t>
            </w:r>
          </w:p>
        </w:tc>
        <w:tc>
          <w:tcPr>
            <w:tcW w:w="32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39,150</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430,259</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gridSpan w:val="4"/>
          </w:tcPr>
          <w:p>
            <w:pPr>
              <w:jc w:val="right"/>
              <w:ind w:right="19"/>
              <w:spacing w:after="0" w:line="217"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4"/>
                <w:szCs w:val="24"/>
                <w:color w:val="auto"/>
                <w:vertAlign w:val="superscript"/>
              </w:rPr>
              <w:t>(12)</w:t>
            </w:r>
          </w:p>
        </w:tc>
        <w:tc>
          <w:tcPr>
            <w:tcW w:w="320" w:type="dxa"/>
            <w:vAlign w:val="bottom"/>
          </w:tcPr>
          <w:p>
            <w:pPr>
              <w:spacing w:after="0"/>
              <w:rPr>
                <w:sz w:val="18"/>
                <w:szCs w:val="18"/>
                <w:color w:val="auto"/>
              </w:rPr>
            </w:pPr>
          </w:p>
        </w:tc>
        <w:tc>
          <w:tcPr>
            <w:tcW w:w="12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PSUs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18,981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E7ECFC"/>
          </w:tcPr>
          <w:p>
            <w:pPr>
              <w:spacing w:after="0"/>
              <w:rPr>
                <w:sz w:val="20"/>
                <w:szCs w:val="20"/>
                <w:color w:val="auto"/>
              </w:rPr>
            </w:pPr>
            <w:r>
              <w:rPr>
                <w:rFonts w:ascii="Times New Roman" w:cs="Times New Roman" w:eastAsia="Times New Roman" w:hAnsi="Times New Roman"/>
                <w:sz w:val="18"/>
                <w:szCs w:val="18"/>
                <w:color w:val="auto"/>
              </w:rPr>
              <w:t>David Samuels</w:t>
            </w:r>
          </w:p>
        </w:tc>
        <w:tc>
          <w:tcPr>
            <w:tcW w:w="1100" w:type="dxa"/>
            <w:vAlign w:val="bottom"/>
            <w:gridSpan w:val="4"/>
            <w:shd w:val="clear" w:color="auto" w:fill="E7ECFC"/>
          </w:tcPr>
          <w:p>
            <w:pPr>
              <w:ind w:left="820"/>
              <w:spacing w:after="0"/>
              <w:rPr>
                <w:sz w:val="20"/>
                <w:szCs w:val="20"/>
                <w:color w:val="auto"/>
              </w:rPr>
            </w:pPr>
            <w:r>
              <w:rPr>
                <w:rFonts w:ascii="Times New Roman" w:cs="Times New Roman" w:eastAsia="Times New Roman" w:hAnsi="Times New Roman"/>
                <w:sz w:val="13"/>
                <w:szCs w:val="13"/>
                <w:color w:val="auto"/>
              </w:rPr>
              <w:t>(20)</w:t>
            </w:r>
          </w:p>
        </w:tc>
        <w:tc>
          <w:tcPr>
            <w:tcW w:w="320" w:type="dxa"/>
            <w:vAlign w:val="bottom"/>
            <w:shd w:val="clear" w:color="auto" w:fill="E7ECFC"/>
          </w:tcPr>
          <w:p>
            <w:pPr>
              <w:spacing w:after="0"/>
              <w:rPr>
                <w:sz w:val="18"/>
                <w:szCs w:val="18"/>
                <w:color w:val="auto"/>
              </w:rPr>
            </w:pPr>
          </w:p>
        </w:tc>
        <w:tc>
          <w:tcPr>
            <w:tcW w:w="740" w:type="dxa"/>
            <w:vAlign w:val="bottom"/>
            <w:shd w:val="clear" w:color="auto" w:fill="E7ECFC"/>
          </w:tcPr>
          <w:p>
            <w:pPr>
              <w:spacing w:after="0"/>
              <w:rPr>
                <w:sz w:val="18"/>
                <w:szCs w:val="18"/>
                <w:color w:val="auto"/>
              </w:rPr>
            </w:pPr>
          </w:p>
        </w:tc>
        <w:tc>
          <w:tcPr>
            <w:tcW w:w="520" w:type="dxa"/>
            <w:vAlign w:val="bottom"/>
            <w:shd w:val="clear" w:color="auto" w:fill="E7ECFC"/>
          </w:tcPr>
          <w:p>
            <w:pPr>
              <w:spacing w:after="0"/>
              <w:rPr>
                <w:sz w:val="18"/>
                <w:szCs w:val="18"/>
                <w:color w:val="auto"/>
              </w:rPr>
            </w:pPr>
          </w:p>
        </w:tc>
        <w:tc>
          <w:tcPr>
            <w:tcW w:w="680" w:type="dxa"/>
            <w:vAlign w:val="bottom"/>
            <w:shd w:val="clear" w:color="auto" w:fill="E7ECFC"/>
          </w:tcPr>
          <w:p>
            <w:pPr>
              <w:spacing w:after="0"/>
              <w:rPr>
                <w:sz w:val="18"/>
                <w:szCs w:val="18"/>
                <w:color w:val="auto"/>
              </w:rPr>
            </w:pPr>
          </w:p>
        </w:tc>
        <w:tc>
          <w:tcPr>
            <w:tcW w:w="360" w:type="dxa"/>
            <w:vAlign w:val="bottom"/>
            <w:shd w:val="clear" w:color="auto" w:fill="E7ECFC"/>
          </w:tcPr>
          <w:p>
            <w:pPr>
              <w:spacing w:after="0"/>
              <w:rPr>
                <w:sz w:val="18"/>
                <w:szCs w:val="18"/>
                <w:color w:val="auto"/>
              </w:rPr>
            </w:pPr>
          </w:p>
        </w:tc>
        <w:tc>
          <w:tcPr>
            <w:tcW w:w="860" w:type="dxa"/>
            <w:vAlign w:val="bottom"/>
            <w:shd w:val="clear" w:color="auto" w:fill="E7ECFC"/>
          </w:tcPr>
          <w:p>
            <w:pPr>
              <w:spacing w:after="0"/>
              <w:rPr>
                <w:sz w:val="18"/>
                <w:szCs w:val="18"/>
                <w:color w:val="auto"/>
              </w:rPr>
            </w:pPr>
          </w:p>
        </w:tc>
        <w:tc>
          <w:tcPr>
            <w:tcW w:w="360" w:type="dxa"/>
            <w:vAlign w:val="bottom"/>
            <w:shd w:val="clear" w:color="auto" w:fill="E7ECFC"/>
          </w:tcPr>
          <w:p>
            <w:pPr>
              <w:spacing w:after="0"/>
              <w:rPr>
                <w:sz w:val="18"/>
                <w:szCs w:val="18"/>
                <w:color w:val="auto"/>
              </w:rPr>
            </w:pPr>
          </w:p>
        </w:tc>
        <w:tc>
          <w:tcPr>
            <w:tcW w:w="1020" w:type="dxa"/>
            <w:vAlign w:val="bottom"/>
            <w:shd w:val="clear" w:color="auto" w:fill="E7ECFC"/>
          </w:tcPr>
          <w:p>
            <w:pPr>
              <w:spacing w:after="0"/>
              <w:rPr>
                <w:sz w:val="18"/>
                <w:szCs w:val="18"/>
                <w:color w:val="auto"/>
              </w:rPr>
            </w:pPr>
          </w:p>
        </w:tc>
        <w:tc>
          <w:tcPr>
            <w:tcW w:w="360" w:type="dxa"/>
            <w:vAlign w:val="bottom"/>
            <w:shd w:val="clear" w:color="auto" w:fill="E7ECFC"/>
          </w:tcPr>
          <w:p>
            <w:pPr>
              <w:spacing w:after="0"/>
              <w:rPr>
                <w:sz w:val="18"/>
                <w:szCs w:val="18"/>
                <w:color w:val="auto"/>
              </w:rPr>
            </w:pPr>
          </w:p>
        </w:tc>
        <w:tc>
          <w:tcPr>
            <w:tcW w:w="1040" w:type="dxa"/>
            <w:vAlign w:val="bottom"/>
            <w:shd w:val="clear" w:color="auto" w:fill="E7ECFC"/>
          </w:tcPr>
          <w:p>
            <w:pPr>
              <w:spacing w:after="0"/>
              <w:rPr>
                <w:sz w:val="18"/>
                <w:szCs w:val="18"/>
                <w:color w:val="auto"/>
              </w:rPr>
            </w:pPr>
          </w:p>
        </w:tc>
        <w:tc>
          <w:tcPr>
            <w:tcW w:w="40" w:type="dxa"/>
            <w:vAlign w:val="bottom"/>
            <w:shd w:val="clear" w:color="auto" w:fill="E7EC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LLC Units were granted pursuant to the 2019 Plan and all RSUs and PSUs were granted pursuant to the 2021 Plan.</w:t>
      </w:r>
    </w:p>
    <w:p>
      <w:pPr>
        <w:spacing w:after="0" w:line="26" w:lineRule="exact"/>
        <w:rPr>
          <w:rFonts w:ascii="Times New Roman" w:cs="Times New Roman" w:eastAsia="Times New Roman" w:hAnsi="Times New Roman"/>
          <w:sz w:val="16"/>
          <w:szCs w:val="16"/>
          <w:color w:val="auto"/>
        </w:rPr>
      </w:pPr>
    </w:p>
    <w:p>
      <w:pPr>
        <w:ind w:left="424" w:hanging="424"/>
        <w:spacing w:after="0"/>
        <w:tabs>
          <w:tab w:leader="none" w:pos="42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using the closing price of our Class A common stock on December 30, 2022 ($10.99), the last trading day of our 2022 fiscal year.</w:t>
      </w:r>
    </w:p>
    <w:p>
      <w:pPr>
        <w:spacing w:after="0" w:line="18" w:lineRule="exact"/>
        <w:rPr>
          <w:rFonts w:ascii="Times New Roman" w:cs="Times New Roman" w:eastAsia="Times New Roman" w:hAnsi="Times New Roman"/>
          <w:sz w:val="16"/>
          <w:szCs w:val="16"/>
          <w:color w:val="auto"/>
        </w:rPr>
      </w:pPr>
    </w:p>
    <w:p>
      <w:pPr>
        <w:ind w:left="424" w:right="80" w:hanging="424"/>
        <w:spacing w:after="0" w:line="264" w:lineRule="auto"/>
        <w:tabs>
          <w:tab w:leader="none" w:pos="42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LLC Units in AIDH Management Holdings, LLC, 3,724 of which vest in equal installments on each of September 15, 2023 and September 15, 2024, and 104,757 of which vest in equal installments on each of June 1, 2023, June 1, 2024, and June 1, 2025, in each case subject to Mr. Musslewhite’s continued service through the applicable vesting date.</w:t>
      </w:r>
    </w:p>
    <w:p>
      <w:pPr>
        <w:ind w:left="424" w:right="20" w:hanging="424"/>
        <w:spacing w:after="0" w:line="264" w:lineRule="auto"/>
        <w:tabs>
          <w:tab w:leader="none" w:pos="42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Once vested, LLC Units in AIDH Management Holdings, LLC may be exchanged for LLC Units of AIDH Topco, LLC on a one-for-one basis, which are then exchangeable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w:t>
      </w:r>
    </w:p>
    <w:p>
      <w:pPr>
        <w:ind w:left="424" w:hanging="424"/>
        <w:spacing w:after="0"/>
        <w:tabs>
          <w:tab w:leader="none" w:pos="42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27,097 shares, representing 6.25% of the total shares subject to the award, vested on January 7, 2023 and April 7, 2023 and vest quarterly on</w:t>
      </w:r>
    </w:p>
    <w:p>
      <w:pPr>
        <w:spacing w:after="0" w:line="18" w:lineRule="exact"/>
        <w:rPr>
          <w:rFonts w:ascii="Times New Roman" w:cs="Times New Roman" w:eastAsia="Times New Roman" w:hAnsi="Times New Roman"/>
          <w:sz w:val="16"/>
          <w:szCs w:val="16"/>
          <w:color w:val="auto"/>
        </w:rPr>
      </w:pPr>
    </w:p>
    <w:p>
      <w:pPr>
        <w:ind w:left="42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July 7, October 7, January 7, and April 7 through October 7, 2025, in each case subject to Mr. Musslewhite’s continued service through the applicable vesting date.</w:t>
      </w:r>
    </w:p>
    <w:p>
      <w:pPr>
        <w:spacing w:after="0" w:line="18" w:lineRule="exact"/>
        <w:rPr>
          <w:rFonts w:ascii="Times New Roman" w:cs="Times New Roman" w:eastAsia="Times New Roman" w:hAnsi="Times New Roman"/>
          <w:sz w:val="16"/>
          <w:szCs w:val="16"/>
          <w:color w:val="auto"/>
        </w:rPr>
      </w:pPr>
    </w:p>
    <w:p>
      <w:pPr>
        <w:ind w:left="424" w:hanging="424"/>
        <w:spacing w:after="0"/>
        <w:tabs>
          <w:tab w:leader="none" w:pos="42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18,038 shares, representing 8.33% of the total shares subject to the award, vested on January 7, 2023 and April 7, 2023 and vest quarterly on</w:t>
      </w:r>
    </w:p>
    <w:p>
      <w:pPr>
        <w:spacing w:after="0" w:line="18" w:lineRule="exact"/>
        <w:rPr>
          <w:rFonts w:ascii="Times New Roman" w:cs="Times New Roman" w:eastAsia="Times New Roman" w:hAnsi="Times New Roman"/>
          <w:sz w:val="16"/>
          <w:szCs w:val="16"/>
          <w:color w:val="auto"/>
        </w:rPr>
      </w:pPr>
    </w:p>
    <w:p>
      <w:pPr>
        <w:ind w:left="42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July 7, October 7, January 7, and April 7 through October 7, 2024, in each case subject to Mr. Musslewhite’s continued service through the applicable vesting date.</w:t>
      </w:r>
    </w:p>
    <w:p>
      <w:pPr>
        <w:spacing w:after="0" w:line="18" w:lineRule="exact"/>
        <w:rPr>
          <w:rFonts w:ascii="Times New Roman" w:cs="Times New Roman" w:eastAsia="Times New Roman" w:hAnsi="Times New Roman"/>
          <w:sz w:val="16"/>
          <w:szCs w:val="16"/>
          <w:color w:val="auto"/>
        </w:rPr>
      </w:pPr>
    </w:p>
    <w:p>
      <w:pPr>
        <w:ind w:left="424" w:right="160" w:hanging="424"/>
        <w:spacing w:after="0" w:line="276" w:lineRule="auto"/>
        <w:tabs>
          <w:tab w:leader="none" w:pos="42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99,997 shares, representing 30% of the total shares subject to the award, vest on May 4, 2023, followed by quarterly vesting of approximately 23,333 shares, representing 7.00% of the total shares subject to the award, on August 4, November 4, February 4, and May 4 through November 4, 2025, in each case subject to Mr. Musslewhite’s continued service through the applicable vesting date.</w:t>
      </w:r>
    </w:p>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4"/>
          </w:cols>
          <w:pgMar w:left="436" w:top="293" w:right="439" w:bottom="1440" w:gutter="0" w:footer="0" w:header="0"/>
        </w:sectPr>
      </w:pPr>
    </w:p>
    <w:bookmarkStart w:id="50" w:name="page51"/>
    <w:bookmarkEnd w:id="50"/>
    <w:p>
      <w:pPr>
        <w:ind w:left="424" w:right="520" w:hanging="424"/>
        <w:spacing w:after="0" w:line="267"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20,833 shares, representing 25% of the total shares subject to the award, vest May 4, 2023, followed by quarterly vesting of approximately 5,209 shares, representing 6.25% of the total shares subject to the award, on August 4, November 4, February 4, and May 4 through May 4, 2026, in each case subject to Mr. Musslewhite’s continued service through the applicable vesting date.</w:t>
      </w:r>
    </w:p>
    <w:p>
      <w:pPr>
        <w:spacing w:after="0" w:line="1" w:lineRule="exact"/>
        <w:rPr>
          <w:rFonts w:ascii="Times New Roman" w:cs="Times New Roman" w:eastAsia="Times New Roman" w:hAnsi="Times New Roman"/>
          <w:sz w:val="16"/>
          <w:szCs w:val="16"/>
          <w:color w:val="auto"/>
        </w:rPr>
      </w:pPr>
    </w:p>
    <w:p>
      <w:pPr>
        <w:ind w:left="424" w:right="60"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amounts and values in this row represent the total number of Promotion PSUs awarded to Mr. Musslewhite at the target level for the 2022-2024 performance period, which remain subject to the achievement of the applicable performance goals, multiplied by a market value of $10.99 per share, the closing market price of a share of our Class A common stock on December 30, 2022. In calculating the number of Promotion PSUs and their value, we are required by SEC rules to compare our performance through 2022 under the Promotion PSU grant against the threshold, target, and maximum performance levels for the grant and report in these columns the applicable potential share number and payout amount. If the performance is between levels, we are required to report the potential payout at the next highest level. Based on performance through the end of the first year of the 2022-2024 performance period, we have reported the Promotion PSUs at the target award level for this performance period.</w:t>
      </w:r>
    </w:p>
    <w:p>
      <w:pPr>
        <w:ind w:left="424"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LLC Units in AIDH Topco, LLC, 285,030 of which vest in equal installments on each of September 15, 2023 and September 15, 2024, and 106,886 of which vest in July 16, 2023, in each case subject to Mr. Krantz’s continued service through the applicable vesting date. Once vested, LLC Units in AIDH Topco, LLC are exchangeable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w:t>
      </w:r>
    </w:p>
    <w:p>
      <w:pPr>
        <w:ind w:left="424" w:right="140"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9,028 shares, representing 6.25% of the total shares subject to the award, vested on March 14, 2023 and vest quarterly on June 14, September 14, December 14, and March 14 through September 14, 2025, in each case subject to Mr. Krantz’s continued service through the applicable vesting date.</w:t>
      </w:r>
    </w:p>
    <w:p>
      <w:pPr>
        <w:ind w:left="424" w:right="40"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amounts and values in this row represent the total number of 2021 PSUs awarded to the named executive officer at the threshold level for the 2022 performance period, which remained subject to the achievement of the applicable performance goals, multiplied by a market value of $10.99 per share, the closing market price of a share of our Class A common stock on December 30, 2022. In calculating the number of 2021 PSUs and their value, we are required by SEC rules to compare our performance through 2022 under the 2021 PSU grant against the threshold, target and maximum performance levels for the grant and report in these columns the applicable potential share number and payout amount. If the performance is between levels, we are required to report the potential payout at the next highest level. Based on performance through the end of the 2022 performance period, we have reported the 2021 PSUs at the threshold award level for this performance period. One-third of the 2021 PSUs that had satisfied the applicable performance goals would have vested on each of January 1, 2023, January 1, 2024, and January 1, 2025 subject to the named executive officer’s continued service through each applicable vesting date. However, as discussed in “Compensation Discussion and Analysis—2022 Executive Compensation Program – Long-Term Equity Incentives—2021 PSUs” above, actual performance for these PSUs fell below threshold and as such, the PSUs were forfeited.</w:t>
      </w:r>
    </w:p>
    <w:p>
      <w:pPr>
        <w:spacing w:after="0" w:line="1" w:lineRule="exact"/>
        <w:rPr>
          <w:rFonts w:ascii="Times New Roman" w:cs="Times New Roman" w:eastAsia="Times New Roman" w:hAnsi="Times New Roman"/>
          <w:sz w:val="16"/>
          <w:szCs w:val="16"/>
          <w:color w:val="auto"/>
        </w:rPr>
      </w:pPr>
    </w:p>
    <w:p>
      <w:pPr>
        <w:jc w:val="both"/>
        <w:ind w:left="424" w:right="80"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136,575 shares, representing 25% of the total shares subject to the award, vest on November 3, 2023, followed by quarterly vesting of 34,144 shares, representing 6.25% of the total shares subject to the award, on February 3, May 3, August 3, and November 3 through November 3, 2026, in each case subject to Mr. Maack’s continued service through the applicable vesting date.</w:t>
      </w:r>
    </w:p>
    <w:p>
      <w:pPr>
        <w:jc w:val="both"/>
        <w:ind w:left="424" w:right="440"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LLC Units in AIDH Management Holdings, LLC, 162,275 of which vest in equal installments on each of September 15, 2023 and September 15, 2024, and 182,560 of which vest in equal installments on each of March 15, 2023, March 15, 2024, and March 15, 2025, in each case subject to Mr. Booth’s continued service through the applicable vesting date.</w:t>
      </w:r>
    </w:p>
    <w:p>
      <w:pPr>
        <w:ind w:left="424" w:right="140"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3,386 shares, representing 6.25% of the total shares subject to the award, vested on March 14, 2023 and vest quarterly on June 14, September 14, December 14, and March 14 through September 14, 2025, in each case subject to Mr. Booth’s continued service through the applicable vesting date.</w:t>
      </w:r>
    </w:p>
    <w:p>
      <w:pPr>
        <w:ind w:left="424" w:right="60"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LLC Units in AIDH Management Holdings, LLC, 64,132 of which vest in equal installments on each of September 15, 2023 and September 15, 2024, and 24,049 of which vest on July 16, 2023, in each case subject to Mr. Mirisola’s continued service through the applicable vesting date.</w:t>
      </w:r>
    </w:p>
    <w:p>
      <w:pPr>
        <w:ind w:left="424" w:right="140" w:hanging="424"/>
        <w:spacing w:after="0" w:line="264"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3,559 shares, representing 6.25% of the total shares subject to the award, vested on March 14, 2023 and vest quarterly on June 14, September 14, December 14, and March 14 through September 14, 2025, in each case subject to Mr. Mirisola’s continued service through the applicable vesting date.</w:t>
      </w:r>
    </w:p>
    <w:p>
      <w:pPr>
        <w:ind w:left="424" w:right="60" w:hanging="424"/>
        <w:spacing w:after="0" w:line="288" w:lineRule="auto"/>
        <w:tabs>
          <w:tab w:leader="none" w:pos="4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LLC Units in AIDH Management Holdings, LLC, 64,132 of which vest in equal installments on each of September 15, 2023 and September 15, 2024, and 24,050 of which vest on July 16, 2023, in each case subject to Ms. Shamsuddin’s continued service through the applicable vesting date.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301" w:right="459" w:bottom="1440" w:gutter="0" w:footer="0" w:header="0"/>
        </w:sectPr>
      </w:pPr>
    </w:p>
    <w:bookmarkStart w:id="51" w:name="page52"/>
    <w:bookmarkEnd w:id="51"/>
    <w:p>
      <w:pPr>
        <w:ind w:left="424" w:right="100" w:hanging="424"/>
        <w:spacing w:after="0" w:line="269" w:lineRule="auto"/>
        <w:tabs>
          <w:tab w:leader="none" w:pos="42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Approximately 3,559 shares, representing 6.25% of the total shares subject to the award, vested on March 14, 2023 and vest quarterly on June 14, September 14, December 14, and March 14 through September 14, 2025, in each case subject to Ms. Shamsuddin’s continued service through the applicable vesting date.</w:t>
      </w:r>
    </w:p>
    <w:p>
      <w:pPr>
        <w:ind w:left="424" w:right="60" w:hanging="424"/>
        <w:spacing w:after="0" w:line="288" w:lineRule="auto"/>
        <w:tabs>
          <w:tab w:leader="none" w:pos="42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Samuels’ employment ended on December 31, 2022, on which date all of his then-outstanding equity was either accelerated or forfeited as provided pursuant to the Samuels Separation Agreement described above.</w:t>
      </w: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2022</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shares of our Class A common stock acquired on vesting of stock awards granted to our NEOs and the aggregate value realized upon such vesting during the year ended December 31, 2022. The Company did not have any outstanding stock options, vested or unvested, during the year ended December 31, 2022.</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8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8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240" w:type="dxa"/>
            <w:vAlign w:val="bottom"/>
            <w:vMerge w:val="restart"/>
          </w:tcPr>
          <w:p>
            <w:pPr>
              <w:spacing w:after="0"/>
              <w:rPr>
                <w:sz w:val="12"/>
                <w:szCs w:val="12"/>
                <w:color w:val="auto"/>
              </w:rPr>
            </w:pPr>
          </w:p>
        </w:tc>
        <w:tc>
          <w:tcPr>
            <w:tcW w:w="18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5"/>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D1FCFC"/>
            </w:tcBorders>
            <w:gridSpan w:val="2"/>
            <w:shd w:val="clear" w:color="auto" w:fill="D1FCFC"/>
          </w:tcPr>
          <w:p>
            <w:pPr>
              <w:spacing w:after="0" w:line="203" w:lineRule="exact"/>
              <w:rPr>
                <w:sz w:val="20"/>
                <w:szCs w:val="20"/>
                <w:color w:val="auto"/>
              </w:rPr>
            </w:pPr>
            <w:r>
              <w:rPr>
                <w:rFonts w:ascii="Times New Roman" w:cs="Times New Roman" w:eastAsia="Times New Roman" w:hAnsi="Times New Roman"/>
                <w:sz w:val="18"/>
                <w:szCs w:val="18"/>
                <w:color w:val="auto"/>
              </w:rPr>
              <w:t>Robert Musslewhite</w:t>
            </w:r>
          </w:p>
        </w:tc>
        <w:tc>
          <w:tcPr>
            <w:tcW w:w="102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217,319</w:t>
            </w:r>
          </w:p>
        </w:tc>
        <w:tc>
          <w:tcPr>
            <w:tcW w:w="780" w:type="dxa"/>
            <w:vAlign w:val="bottom"/>
            <w:tcBorders>
              <w:top w:val="single" w:sz="8" w:color="D1FCFC"/>
            </w:tcBorders>
            <w:shd w:val="clear" w:color="auto" w:fill="D1FCFC"/>
          </w:tcPr>
          <w:p>
            <w:pPr>
              <w:spacing w:after="0"/>
              <w:rPr>
                <w:sz w:val="17"/>
                <w:szCs w:val="17"/>
                <w:color w:val="auto"/>
              </w:rPr>
            </w:pPr>
          </w:p>
        </w:tc>
        <w:tc>
          <w:tcPr>
            <w:tcW w:w="120" w:type="dxa"/>
            <w:vAlign w:val="bottom"/>
            <w:tcBorders>
              <w:top w:val="single" w:sz="8" w:color="auto"/>
            </w:tcBorders>
            <w:shd w:val="clear" w:color="auto" w:fill="D1FCFC"/>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3,379,664</w:t>
            </w:r>
          </w:p>
        </w:tc>
        <w:tc>
          <w:tcPr>
            <w:tcW w:w="4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Krantz</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294,539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6,207,753</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800" w:type="dxa"/>
            <w:vAlign w:val="bottom"/>
            <w:gridSpan w:val="2"/>
            <w:shd w:val="clear" w:color="auto" w:fill="D1FCFC"/>
          </w:tcPr>
          <w:p>
            <w:pPr>
              <w:jc w:val="right"/>
              <w:ind w:right="780"/>
              <w:spacing w:after="0"/>
              <w:rPr>
                <w:sz w:val="20"/>
                <w:szCs w:val="20"/>
                <w:color w:val="auto"/>
              </w:rPr>
            </w:pPr>
            <w:r>
              <w:rPr>
                <w:rFonts w:ascii="Times New Roman" w:cs="Times New Roman" w:eastAsia="Times New Roman" w:hAnsi="Times New Roman"/>
                <w:sz w:val="18"/>
                <w:szCs w:val="18"/>
                <w:color w:val="auto"/>
              </w:rPr>
              <w:t>158,918</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3,087,172</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73,911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1,534,385</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800" w:type="dxa"/>
            <w:vAlign w:val="bottom"/>
            <w:gridSpan w:val="2"/>
            <w:shd w:val="clear" w:color="auto" w:fill="D1FCFC"/>
          </w:tcPr>
          <w:p>
            <w:pPr>
              <w:jc w:val="right"/>
              <w:ind w:right="780"/>
              <w:spacing w:after="0"/>
              <w:rPr>
                <w:sz w:val="20"/>
                <w:szCs w:val="20"/>
                <w:color w:val="auto"/>
              </w:rPr>
            </w:pPr>
            <w:r>
              <w:rPr>
                <w:rFonts w:ascii="Times New Roman" w:cs="Times New Roman" w:eastAsia="Times New Roman" w:hAnsi="Times New Roman"/>
                <w:sz w:val="18"/>
                <w:szCs w:val="18"/>
                <w:color w:val="auto"/>
              </w:rPr>
              <w:t>73,910</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1,534,361</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David Samuels</w:t>
            </w:r>
          </w:p>
        </w:tc>
        <w:tc>
          <w:tcPr>
            <w:tcW w:w="1800" w:type="dxa"/>
            <w:vAlign w:val="bottom"/>
            <w:gridSpan w:val="2"/>
            <w:shd w:val="clear" w:color="auto" w:fill="D1FCFC"/>
          </w:tcPr>
          <w:p>
            <w:pPr>
              <w:jc w:val="right"/>
              <w:ind w:right="780"/>
              <w:spacing w:after="0"/>
              <w:rPr>
                <w:sz w:val="20"/>
                <w:szCs w:val="20"/>
                <w:color w:val="auto"/>
              </w:rPr>
            </w:pPr>
            <w:r>
              <w:rPr>
                <w:rFonts w:ascii="Times New Roman" w:cs="Times New Roman" w:eastAsia="Times New Roman" w:hAnsi="Times New Roman"/>
                <w:sz w:val="18"/>
                <w:szCs w:val="18"/>
                <w:color w:val="auto"/>
              </w:rPr>
              <w:t>187,073</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2,775,080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based on the number of shares of our Class A common stock underlying the RSUs that vested and into which the LLC Units that vested are exchangeable multiplied by the closing market price of our Class A common stock on the vesting date.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 the event of a qualifying termination of employment and/or the occurrence of a change in control of the Company, certain of our NEOs are entitled to payments and benefits under their employment agreements and/or their outstanding equity incentive awards. For a detailed summary of these payments and benefits, see the narrative description following the table below.</w:t>
      </w:r>
    </w:p>
    <w:p>
      <w:pPr>
        <w:spacing w:after="0" w:line="176" w:lineRule="exact"/>
        <w:rPr>
          <w:sz w:val="20"/>
          <w:szCs w:val="20"/>
          <w:color w:val="auto"/>
        </w:rPr>
      </w:pPr>
    </w:p>
    <w:p>
      <w:pPr>
        <w:ind w:left="4" w:right="180"/>
        <w:spacing w:after="0" w:line="281" w:lineRule="auto"/>
        <w:rPr>
          <w:sz w:val="20"/>
          <w:szCs w:val="20"/>
          <w:color w:val="auto"/>
        </w:rPr>
      </w:pPr>
      <w:r>
        <w:rPr>
          <w:rFonts w:ascii="Times New Roman" w:cs="Times New Roman" w:eastAsia="Times New Roman" w:hAnsi="Times New Roman"/>
          <w:sz w:val="17"/>
          <w:szCs w:val="17"/>
          <w:color w:val="auto"/>
        </w:rPr>
        <w:t>The following table sets forth the payments that each of our NEOs would have been entitled to upon a qualifying termination of employment by the Company and/or occurrence of a change in control of the Company, in each case assuming the relevant event happened on December 31, 2022. Amounts shown do not include (i) accrued but unpaid salary or bonus and vested benefits and (ii) other benefits earned or accrued by the NEO during his or her tenure that are available to all salaried employees and that do not discriminate in scope, terms, or operation in favor of executive officers.</w:t>
      </w:r>
    </w:p>
    <w:p>
      <w:pPr>
        <w:spacing w:after="0" w:line="9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4"/>
          </w:cols>
          <w:pgMar w:left="436" w:top="301" w:right="499" w:bottom="1440" w:gutter="0" w:footer="0" w:header="0"/>
        </w:sectPr>
      </w:pPr>
    </w:p>
    <w:bookmarkStart w:id="52" w:name="page53"/>
    <w:bookmarkEnd w:id="52"/>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Samuels’ employment with the Company ended effective December 31, 2022 and he is not included in the table below. Amounts actually paid to Mr. Samuels in connection with his departure from the Company are reflected in the Summary Compensation table above and described in the narrative description following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2"/>
          </w:tcPr>
          <w:p>
            <w:pPr>
              <w:jc w:val="center"/>
              <w:ind w:right="673"/>
              <w:spacing w:after="0"/>
              <w:rPr>
                <w:sz w:val="20"/>
                <w:szCs w:val="20"/>
                <w:color w:val="auto"/>
              </w:rPr>
            </w:pPr>
            <w:r>
              <w:rPr>
                <w:rFonts w:ascii="Times New Roman" w:cs="Times New Roman" w:eastAsia="Times New Roman" w:hAnsi="Times New Roman"/>
                <w:sz w:val="16"/>
                <w:szCs w:val="16"/>
                <w:b w:val="1"/>
                <w:bCs w:val="1"/>
                <w:color w:val="auto"/>
                <w:w w:val="99"/>
              </w:rPr>
              <w:t>Qualified</w:t>
            </w:r>
          </w:p>
        </w:tc>
        <w:tc>
          <w:tcPr>
            <w:tcW w:w="1780" w:type="dxa"/>
            <w:vAlign w:val="bottom"/>
            <w:gridSpan w:val="2"/>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rPr>
              <w:t>Qualified</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2"/>
          </w:tcPr>
          <w:p>
            <w:pPr>
              <w:jc w:val="center"/>
              <w:ind w:right="673"/>
              <w:spacing w:after="0"/>
              <w:rPr>
                <w:sz w:val="20"/>
                <w:szCs w:val="20"/>
                <w:color w:val="auto"/>
              </w:rPr>
            </w:pPr>
            <w:r>
              <w:rPr>
                <w:rFonts w:ascii="Times New Roman" w:cs="Times New Roman" w:eastAsia="Times New Roman" w:hAnsi="Times New Roman"/>
                <w:sz w:val="16"/>
                <w:szCs w:val="16"/>
                <w:b w:val="1"/>
                <w:bCs w:val="1"/>
                <w:color w:val="auto"/>
                <w:w w:val="97"/>
              </w:rPr>
              <w:t>Termination</w:t>
            </w:r>
          </w:p>
        </w:tc>
        <w:tc>
          <w:tcPr>
            <w:tcW w:w="1780" w:type="dxa"/>
            <w:vAlign w:val="bottom"/>
            <w:gridSpan w:val="2"/>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2"/>
          </w:tcPr>
          <w:p>
            <w:pPr>
              <w:jc w:val="center"/>
              <w:ind w:right="673"/>
              <w:spacing w:after="0"/>
              <w:rPr>
                <w:sz w:val="20"/>
                <w:szCs w:val="20"/>
                <w:color w:val="auto"/>
              </w:rPr>
            </w:pPr>
            <w:r>
              <w:rPr>
                <w:rFonts w:ascii="Times New Roman" w:cs="Times New Roman" w:eastAsia="Times New Roman" w:hAnsi="Times New Roman"/>
                <w:sz w:val="16"/>
                <w:szCs w:val="16"/>
                <w:b w:val="1"/>
                <w:bCs w:val="1"/>
                <w:color w:val="auto"/>
              </w:rPr>
              <w:t>Event Not in</w:t>
            </w:r>
          </w:p>
        </w:tc>
        <w:tc>
          <w:tcPr>
            <w:tcW w:w="1780" w:type="dxa"/>
            <w:vAlign w:val="bottom"/>
            <w:gridSpan w:val="2"/>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rPr>
              <w:t>Event in</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2"/>
          </w:tcPr>
          <w:p>
            <w:pPr>
              <w:jc w:val="center"/>
              <w:ind w:right="673"/>
              <w:spacing w:after="0"/>
              <w:rPr>
                <w:sz w:val="20"/>
                <w:szCs w:val="20"/>
                <w:color w:val="auto"/>
              </w:rPr>
            </w:pPr>
            <w:r>
              <w:rPr>
                <w:rFonts w:ascii="Times New Roman" w:cs="Times New Roman" w:eastAsia="Times New Roman" w:hAnsi="Times New Roman"/>
                <w:sz w:val="16"/>
                <w:szCs w:val="16"/>
                <w:b w:val="1"/>
                <w:bCs w:val="1"/>
                <w:color w:val="auto"/>
                <w:w w:val="99"/>
              </w:rPr>
              <w:t>Connection with</w:t>
            </w:r>
          </w:p>
        </w:tc>
        <w:tc>
          <w:tcPr>
            <w:tcW w:w="1780" w:type="dxa"/>
            <w:vAlign w:val="bottom"/>
            <w:gridSpan w:val="2"/>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rPr>
              <w:t>Connection with</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Qualified</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2"/>
          </w:tcPr>
          <w:p>
            <w:pPr>
              <w:jc w:val="center"/>
              <w:ind w:right="673"/>
              <w:spacing w:after="0"/>
              <w:rPr>
                <w:sz w:val="20"/>
                <w:szCs w:val="20"/>
                <w:color w:val="auto"/>
              </w:rPr>
            </w:pPr>
            <w:r>
              <w:rPr>
                <w:rFonts w:ascii="Times New Roman" w:cs="Times New Roman" w:eastAsia="Times New Roman" w:hAnsi="Times New Roman"/>
                <w:sz w:val="16"/>
                <w:szCs w:val="16"/>
                <w:b w:val="1"/>
                <w:bCs w:val="1"/>
                <w:color w:val="auto"/>
              </w:rPr>
              <w:t>a Change in</w:t>
            </w:r>
          </w:p>
        </w:tc>
        <w:tc>
          <w:tcPr>
            <w:tcW w:w="1780" w:type="dxa"/>
            <w:vAlign w:val="bottom"/>
            <w:gridSpan w:val="2"/>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rPr>
              <w:t>a Change in</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0" w:type="dxa"/>
            <w:vAlign w:val="bottom"/>
          </w:tcPr>
          <w:p>
            <w:pPr>
              <w:spacing w:after="0"/>
              <w:rPr>
                <w:sz w:val="1"/>
                <w:szCs w:val="1"/>
                <w:color w:val="auto"/>
              </w:rPr>
            </w:pPr>
          </w:p>
        </w:tc>
      </w:tr>
      <w:tr>
        <w:trPr>
          <w:trHeight w:val="203"/>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20" w:type="dxa"/>
            <w:vAlign w:val="bottom"/>
          </w:tcPr>
          <w:p>
            <w:pPr>
              <w:spacing w:after="0"/>
              <w:rPr>
                <w:sz w:val="17"/>
                <w:szCs w:val="17"/>
                <w:color w:val="auto"/>
              </w:rPr>
            </w:pPr>
          </w:p>
        </w:tc>
        <w:tc>
          <w:tcPr>
            <w:tcW w:w="296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400" w:type="dxa"/>
            <w:vAlign w:val="bottom"/>
          </w:tcPr>
          <w:p>
            <w:pPr>
              <w:spacing w:after="0"/>
              <w:rPr>
                <w:sz w:val="17"/>
                <w:szCs w:val="17"/>
                <w:color w:val="auto"/>
              </w:rPr>
            </w:pPr>
          </w:p>
        </w:tc>
        <w:tc>
          <w:tcPr>
            <w:tcW w:w="1900" w:type="dxa"/>
            <w:vAlign w:val="bottom"/>
            <w:gridSpan w:val="2"/>
          </w:tcPr>
          <w:p>
            <w:pPr>
              <w:jc w:val="center"/>
              <w:ind w:right="673"/>
              <w:spacing w:after="0" w:line="203" w:lineRule="exact"/>
              <w:rPr>
                <w:sz w:val="20"/>
                <w:szCs w:val="20"/>
                <w:color w:val="auto"/>
              </w:rPr>
            </w:pPr>
            <w:r>
              <w:rPr>
                <w:rFonts w:ascii="Times New Roman" w:cs="Times New Roman" w:eastAsia="Times New Roman" w:hAnsi="Times New Roman"/>
                <w:sz w:val="16"/>
                <w:szCs w:val="16"/>
                <w:b w:val="1"/>
                <w:bCs w:val="1"/>
                <w:color w:val="auto"/>
                <w:w w:val="95"/>
              </w:rPr>
              <w:t>Control</w:t>
            </w:r>
            <w:r>
              <w:rPr>
                <w:rFonts w:ascii="Times New Roman" w:cs="Times New Roman" w:eastAsia="Times New Roman" w:hAnsi="Times New Roman"/>
                <w:sz w:val="23"/>
                <w:szCs w:val="23"/>
                <w:b w:val="1"/>
                <w:bCs w:val="1"/>
                <w:color w:val="auto"/>
                <w:w w:val="95"/>
                <w:vertAlign w:val="superscript"/>
              </w:rPr>
              <w:t>(1)</w:t>
            </w:r>
          </w:p>
        </w:tc>
        <w:tc>
          <w:tcPr>
            <w:tcW w:w="1780" w:type="dxa"/>
            <w:vAlign w:val="bottom"/>
            <w:gridSpan w:val="2"/>
          </w:tcPr>
          <w:p>
            <w:pPr>
              <w:jc w:val="center"/>
              <w:ind w:right="573"/>
              <w:spacing w:after="0" w:line="203" w:lineRule="exact"/>
              <w:rPr>
                <w:sz w:val="20"/>
                <w:szCs w:val="20"/>
                <w:color w:val="auto"/>
              </w:rPr>
            </w:pPr>
            <w:r>
              <w:rPr>
                <w:rFonts w:ascii="Times New Roman" w:cs="Times New Roman" w:eastAsia="Times New Roman" w:hAnsi="Times New Roman"/>
                <w:sz w:val="16"/>
                <w:szCs w:val="16"/>
                <w:b w:val="1"/>
                <w:bCs w:val="1"/>
                <w:color w:val="auto"/>
                <w:w w:val="92"/>
              </w:rPr>
              <w:t>Control</w:t>
            </w:r>
            <w:r>
              <w:rPr>
                <w:rFonts w:ascii="Times New Roman" w:cs="Times New Roman" w:eastAsia="Times New Roman" w:hAnsi="Times New Roman"/>
                <w:sz w:val="23"/>
                <w:szCs w:val="23"/>
                <w:b w:val="1"/>
                <w:bCs w:val="1"/>
                <w:color w:val="auto"/>
                <w:w w:val="92"/>
                <w:vertAlign w:val="superscript"/>
              </w:rPr>
              <w:t>(1)</w:t>
            </w:r>
          </w:p>
        </w:tc>
        <w:tc>
          <w:tcPr>
            <w:tcW w:w="1180" w:type="dxa"/>
            <w:vAlign w:val="bottom"/>
            <w:gridSpan w:val="2"/>
          </w:tcPr>
          <w:p>
            <w:pPr>
              <w:jc w:val="right"/>
              <w:ind w:right="400"/>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Event</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205"/>
        </w:trPr>
        <w:tc>
          <w:tcPr>
            <w:tcW w:w="24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vMerge w:val="continue"/>
          </w:tcPr>
          <w:p>
            <w:pPr>
              <w:spacing w:after="0"/>
              <w:rPr>
                <w:sz w:val="17"/>
                <w:szCs w:val="17"/>
                <w:color w:val="auto"/>
              </w:rPr>
            </w:pPr>
          </w:p>
        </w:tc>
        <w:tc>
          <w:tcPr>
            <w:tcW w:w="1560" w:type="dxa"/>
            <w:vAlign w:val="bottom"/>
            <w:gridSpan w:val="2"/>
          </w:tcPr>
          <w:p>
            <w:pPr>
              <w:jc w:val="center"/>
              <w:ind w:left="314"/>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E7ECFC"/>
            </w:tcBorders>
            <w:shd w:val="clear" w:color="auto" w:fill="000000"/>
          </w:tcPr>
          <w:p>
            <w:pPr>
              <w:spacing w:after="0" w:line="20" w:lineRule="exact"/>
              <w:rPr>
                <w:sz w:val="1"/>
                <w:szCs w:val="1"/>
                <w:color w:val="auto"/>
              </w:rPr>
            </w:pPr>
          </w:p>
        </w:tc>
        <w:tc>
          <w:tcPr>
            <w:tcW w:w="2080" w:type="dxa"/>
            <w:vAlign w:val="bottom"/>
            <w:tcBorders>
              <w:bottom w:val="single" w:sz="8" w:color="E7ECFC"/>
            </w:tcBorders>
          </w:tcPr>
          <w:p>
            <w:pPr>
              <w:spacing w:after="0" w:line="20" w:lineRule="exact"/>
              <w:rPr>
                <w:sz w:val="1"/>
                <w:szCs w:val="1"/>
                <w:color w:val="auto"/>
              </w:rPr>
            </w:pPr>
          </w:p>
        </w:tc>
        <w:tc>
          <w:tcPr>
            <w:tcW w:w="320" w:type="dxa"/>
            <w:vAlign w:val="bottom"/>
            <w:tcBorders>
              <w:bottom w:val="single" w:sz="8" w:color="E7ECFC"/>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E7ECFC"/>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E7EC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E7EC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E7EC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gridSpan w:val="2"/>
            <w:shd w:val="clear" w:color="auto" w:fill="E7ECFC"/>
          </w:tcPr>
          <w:p>
            <w:pPr>
              <w:spacing w:after="0" w:line="203" w:lineRule="exact"/>
              <w:rPr>
                <w:sz w:val="20"/>
                <w:szCs w:val="20"/>
                <w:color w:val="auto"/>
              </w:rPr>
            </w:pPr>
            <w:r>
              <w:rPr>
                <w:rFonts w:ascii="Times New Roman" w:cs="Times New Roman" w:eastAsia="Times New Roman" w:hAnsi="Times New Roman"/>
                <w:sz w:val="18"/>
                <w:szCs w:val="18"/>
                <w:color w:val="auto"/>
              </w:rPr>
              <w:t>Robert Musslewhite</w:t>
            </w:r>
          </w:p>
        </w:tc>
        <w:tc>
          <w:tcPr>
            <w:tcW w:w="320" w:type="dxa"/>
            <w:vAlign w:val="bottom"/>
            <w:shd w:val="clear" w:color="auto" w:fill="E7ECFC"/>
          </w:tcPr>
          <w:p>
            <w:pPr>
              <w:spacing w:after="0"/>
              <w:rPr>
                <w:sz w:val="17"/>
                <w:szCs w:val="17"/>
                <w:color w:val="auto"/>
              </w:rPr>
            </w:pPr>
          </w:p>
        </w:tc>
        <w:tc>
          <w:tcPr>
            <w:tcW w:w="2960" w:type="dxa"/>
            <w:vAlign w:val="bottom"/>
            <w:shd w:val="clear" w:color="auto" w:fill="E7ECFC"/>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w:t>
            </w:r>
          </w:p>
        </w:tc>
        <w:tc>
          <w:tcPr>
            <w:tcW w:w="400" w:type="dxa"/>
            <w:vAlign w:val="bottom"/>
            <w:shd w:val="clear" w:color="auto" w:fill="E7ECFC"/>
          </w:tcPr>
          <w:p>
            <w:pPr>
              <w:spacing w:after="0"/>
              <w:rPr>
                <w:sz w:val="17"/>
                <w:szCs w:val="17"/>
                <w:color w:val="auto"/>
              </w:rPr>
            </w:pPr>
          </w:p>
        </w:tc>
        <w:tc>
          <w:tcPr>
            <w:tcW w:w="1160" w:type="dxa"/>
            <w:vAlign w:val="bottom"/>
            <w:shd w:val="clear" w:color="auto" w:fill="E7ECFC"/>
          </w:tcPr>
          <w:p>
            <w:pPr>
              <w:jc w:val="right"/>
              <w:spacing w:after="0" w:line="203" w:lineRule="exact"/>
              <w:rPr>
                <w:sz w:val="20"/>
                <w:szCs w:val="20"/>
                <w:color w:val="auto"/>
              </w:rPr>
            </w:pPr>
            <w:r>
              <w:rPr>
                <w:rFonts w:ascii="Times New Roman" w:cs="Times New Roman" w:eastAsia="Times New Roman" w:hAnsi="Times New Roman"/>
                <w:sz w:val="18"/>
                <w:szCs w:val="18"/>
                <w:color w:val="auto"/>
              </w:rPr>
              <w:t>429,000</w:t>
            </w:r>
          </w:p>
        </w:tc>
        <w:tc>
          <w:tcPr>
            <w:tcW w:w="740" w:type="dxa"/>
            <w:vAlign w:val="bottom"/>
            <w:shd w:val="clear" w:color="auto" w:fill="E7ECFC"/>
          </w:tcPr>
          <w:p>
            <w:pPr>
              <w:jc w:val="right"/>
              <w:ind w:right="513"/>
              <w:spacing w:after="0"/>
              <w:rPr>
                <w:sz w:val="20"/>
                <w:szCs w:val="20"/>
                <w:color w:val="auto"/>
              </w:rPr>
            </w:pPr>
            <w:r>
              <w:rPr>
                <w:rFonts w:ascii="Times New Roman" w:cs="Times New Roman" w:eastAsia="Times New Roman" w:hAnsi="Times New Roman"/>
                <w:sz w:val="13"/>
                <w:szCs w:val="13"/>
                <w:color w:val="auto"/>
                <w:w w:val="92"/>
              </w:rPr>
              <w:t>(3)</w:t>
            </w:r>
          </w:p>
        </w:tc>
        <w:tc>
          <w:tcPr>
            <w:tcW w:w="1140" w:type="dxa"/>
            <w:vAlign w:val="bottom"/>
            <w:shd w:val="clear" w:color="auto" w:fill="E7ECFC"/>
          </w:tcPr>
          <w:p>
            <w:pPr>
              <w:jc w:val="right"/>
              <w:spacing w:after="0" w:line="203" w:lineRule="exact"/>
              <w:rPr>
                <w:sz w:val="20"/>
                <w:szCs w:val="20"/>
                <w:color w:val="auto"/>
              </w:rPr>
            </w:pPr>
            <w:r>
              <w:rPr>
                <w:rFonts w:ascii="Times New Roman" w:cs="Times New Roman" w:eastAsia="Times New Roman" w:hAnsi="Times New Roman"/>
                <w:sz w:val="18"/>
                <w:szCs w:val="18"/>
                <w:color w:val="auto"/>
              </w:rPr>
              <w:t>643,500</w:t>
            </w:r>
          </w:p>
        </w:tc>
        <w:tc>
          <w:tcPr>
            <w:tcW w:w="640" w:type="dxa"/>
            <w:vAlign w:val="bottom"/>
            <w:shd w:val="clear" w:color="auto" w:fill="E7ECFC"/>
          </w:tcPr>
          <w:p>
            <w:pPr>
              <w:jc w:val="right"/>
              <w:ind w:right="413"/>
              <w:spacing w:after="0"/>
              <w:rPr>
                <w:sz w:val="20"/>
                <w:szCs w:val="20"/>
                <w:color w:val="auto"/>
              </w:rPr>
            </w:pPr>
            <w:r>
              <w:rPr>
                <w:rFonts w:ascii="Times New Roman" w:cs="Times New Roman" w:eastAsia="Times New Roman" w:hAnsi="Times New Roman"/>
                <w:sz w:val="13"/>
                <w:szCs w:val="13"/>
                <w:color w:val="auto"/>
                <w:w w:val="92"/>
              </w:rPr>
              <w:t>(4)</w:t>
            </w:r>
          </w:p>
        </w:tc>
        <w:tc>
          <w:tcPr>
            <w:tcW w:w="860" w:type="dxa"/>
            <w:vAlign w:val="bottom"/>
            <w:shd w:val="clear" w:color="auto" w:fill="E7EC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7E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color w:val="auto"/>
              </w:rPr>
              <w:t>Lump Sum Bonus Payment</w:t>
            </w:r>
          </w:p>
        </w:tc>
        <w:tc>
          <w:tcPr>
            <w:tcW w:w="2300" w:type="dxa"/>
            <w:vAlign w:val="bottom"/>
            <w:gridSpan w:val="3"/>
            <w:shd w:val="clear" w:color="auto" w:fill="E7ECFC"/>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257,400</w:t>
            </w:r>
            <w:r>
              <w:rPr>
                <w:rFonts w:ascii="Times New Roman" w:cs="Times New Roman" w:eastAsia="Times New Roman" w:hAnsi="Times New Roman"/>
                <w:sz w:val="25"/>
                <w:szCs w:val="25"/>
                <w:color w:val="auto"/>
                <w:vertAlign w:val="superscript"/>
              </w:rPr>
              <w:t>(5)</w:t>
            </w:r>
          </w:p>
        </w:tc>
        <w:tc>
          <w:tcPr>
            <w:tcW w:w="1780" w:type="dxa"/>
            <w:vAlign w:val="bottom"/>
            <w:gridSpan w:val="2"/>
            <w:shd w:val="clear" w:color="auto" w:fill="E7ECFC"/>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386,100</w:t>
            </w:r>
            <w:r>
              <w:rPr>
                <w:rFonts w:ascii="Times New Roman" w:cs="Times New Roman" w:eastAsia="Times New Roman" w:hAnsi="Times New Roman"/>
                <w:sz w:val="25"/>
                <w:szCs w:val="25"/>
                <w:color w:val="auto"/>
                <w:vertAlign w:val="superscript"/>
              </w:rPr>
              <w:t>(6)</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400" w:type="dxa"/>
            <w:vAlign w:val="bottom"/>
            <w:shd w:val="clear" w:color="auto" w:fill="E7ECFC"/>
          </w:tcPr>
          <w:p>
            <w:pPr>
              <w:spacing w:after="0"/>
              <w:rPr>
                <w:sz w:val="18"/>
                <w:szCs w:val="18"/>
                <w:color w:val="auto"/>
              </w:rPr>
            </w:pPr>
          </w:p>
        </w:tc>
        <w:tc>
          <w:tcPr>
            <w:tcW w:w="1900" w:type="dxa"/>
            <w:vAlign w:val="bottom"/>
            <w:gridSpan w:val="2"/>
            <w:shd w:val="clear" w:color="auto" w:fill="E7ECFC"/>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23,478</w:t>
            </w:r>
            <w:r>
              <w:rPr>
                <w:rFonts w:ascii="Times New Roman" w:cs="Times New Roman" w:eastAsia="Times New Roman" w:hAnsi="Times New Roman"/>
                <w:sz w:val="25"/>
                <w:szCs w:val="25"/>
                <w:color w:val="auto"/>
                <w:vertAlign w:val="superscript"/>
              </w:rPr>
              <w:t>(7)</w:t>
            </w:r>
          </w:p>
        </w:tc>
        <w:tc>
          <w:tcPr>
            <w:tcW w:w="1780" w:type="dxa"/>
            <w:vAlign w:val="bottom"/>
            <w:gridSpan w:val="2"/>
            <w:shd w:val="clear" w:color="auto" w:fill="E7ECFC"/>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35,217</w:t>
            </w:r>
            <w:r>
              <w:rPr>
                <w:rFonts w:ascii="Times New Roman" w:cs="Times New Roman" w:eastAsia="Times New Roman" w:hAnsi="Times New Roman"/>
                <w:sz w:val="25"/>
                <w:szCs w:val="25"/>
                <w:color w:val="auto"/>
                <w:vertAlign w:val="superscript"/>
              </w:rPr>
              <w:t>(8)</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5"/>
                <w:szCs w:val="25"/>
                <w:color w:val="auto"/>
                <w:vertAlign w:val="superscript"/>
              </w:rPr>
              <w:t>(9)</w:t>
            </w:r>
          </w:p>
        </w:tc>
        <w:tc>
          <w:tcPr>
            <w:tcW w:w="400" w:type="dxa"/>
            <w:vAlign w:val="bottom"/>
            <w:shd w:val="clear" w:color="auto" w:fill="E7ECFC"/>
          </w:tcPr>
          <w:p>
            <w:pPr>
              <w:spacing w:after="0"/>
              <w:rPr>
                <w:sz w:val="18"/>
                <w:szCs w:val="18"/>
                <w:color w:val="auto"/>
              </w:rPr>
            </w:pPr>
          </w:p>
        </w:tc>
        <w:tc>
          <w:tcPr>
            <w:tcW w:w="1900" w:type="dxa"/>
            <w:vAlign w:val="bottom"/>
            <w:gridSpan w:val="2"/>
            <w:shd w:val="clear" w:color="auto" w:fill="E7ECFC"/>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4,343,567</w:t>
            </w:r>
            <w:r>
              <w:rPr>
                <w:rFonts w:ascii="Times New Roman" w:cs="Times New Roman" w:eastAsia="Times New Roman" w:hAnsi="Times New Roman"/>
                <w:sz w:val="25"/>
                <w:szCs w:val="25"/>
                <w:color w:val="auto"/>
                <w:vertAlign w:val="superscript"/>
              </w:rPr>
              <w:t>(10)</w:t>
            </w:r>
          </w:p>
        </w:tc>
        <w:tc>
          <w:tcPr>
            <w:tcW w:w="1780" w:type="dxa"/>
            <w:vAlign w:val="bottom"/>
            <w:gridSpan w:val="2"/>
            <w:shd w:val="clear" w:color="auto" w:fill="E7ECFC"/>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12,304,393</w:t>
            </w:r>
            <w:r>
              <w:rPr>
                <w:rFonts w:ascii="Times New Roman" w:cs="Times New Roman" w:eastAsia="Times New Roman" w:hAnsi="Times New Roman"/>
                <w:sz w:val="25"/>
                <w:szCs w:val="25"/>
                <w:color w:val="auto"/>
                <w:vertAlign w:val="superscript"/>
              </w:rPr>
              <w:t>(11)</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1,192,206</w:t>
            </w:r>
          </w:p>
        </w:tc>
        <w:tc>
          <w:tcPr>
            <w:tcW w:w="0" w:type="dxa"/>
            <w:vAlign w:val="bottom"/>
          </w:tcPr>
          <w:p>
            <w:pPr>
              <w:spacing w:after="0"/>
              <w:rPr>
                <w:sz w:val="1"/>
                <w:szCs w:val="1"/>
                <w:color w:val="auto"/>
              </w:rPr>
            </w:pPr>
          </w:p>
        </w:tc>
      </w:tr>
      <w:tr>
        <w:trPr>
          <w:trHeight w:val="256"/>
        </w:trPr>
        <w:tc>
          <w:tcPr>
            <w:tcW w:w="400" w:type="dxa"/>
            <w:vAlign w:val="bottom"/>
            <w:shd w:val="clear" w:color="auto" w:fill="E7ECFC"/>
          </w:tcPr>
          <w:p>
            <w:pPr>
              <w:spacing w:after="0"/>
              <w:rPr>
                <w:sz w:val="22"/>
                <w:szCs w:val="22"/>
                <w:color w:val="auto"/>
              </w:rPr>
            </w:pPr>
          </w:p>
        </w:tc>
        <w:tc>
          <w:tcPr>
            <w:tcW w:w="2080" w:type="dxa"/>
            <w:vAlign w:val="bottom"/>
            <w:shd w:val="clear" w:color="auto" w:fill="E7ECFC"/>
          </w:tcPr>
          <w:p>
            <w:pPr>
              <w:spacing w:after="0"/>
              <w:rPr>
                <w:sz w:val="22"/>
                <w:szCs w:val="22"/>
                <w:color w:val="auto"/>
              </w:rPr>
            </w:pPr>
          </w:p>
        </w:tc>
        <w:tc>
          <w:tcPr>
            <w:tcW w:w="320" w:type="dxa"/>
            <w:vAlign w:val="bottom"/>
            <w:shd w:val="clear" w:color="auto" w:fill="E7ECFC"/>
          </w:tcPr>
          <w:p>
            <w:pPr>
              <w:spacing w:after="0"/>
              <w:rPr>
                <w:sz w:val="22"/>
                <w:szCs w:val="22"/>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400" w:type="dxa"/>
            <w:vAlign w:val="bottom"/>
            <w:shd w:val="clear" w:color="auto" w:fill="E7ECFC"/>
          </w:tcPr>
          <w:p>
            <w:pPr>
              <w:spacing w:after="0"/>
              <w:rPr>
                <w:sz w:val="22"/>
                <w:szCs w:val="22"/>
                <w:color w:val="auto"/>
              </w:rPr>
            </w:pPr>
          </w:p>
        </w:tc>
        <w:tc>
          <w:tcPr>
            <w:tcW w:w="11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8"/>
                <w:szCs w:val="18"/>
                <w:color w:val="auto"/>
              </w:rPr>
              <w:t>5,053,445</w:t>
            </w:r>
          </w:p>
        </w:tc>
        <w:tc>
          <w:tcPr>
            <w:tcW w:w="740" w:type="dxa"/>
            <w:vAlign w:val="bottom"/>
            <w:shd w:val="clear" w:color="auto" w:fill="E7ECFC"/>
          </w:tcPr>
          <w:p>
            <w:pPr>
              <w:spacing w:after="0"/>
              <w:rPr>
                <w:sz w:val="22"/>
                <w:szCs w:val="22"/>
                <w:color w:val="auto"/>
              </w:rPr>
            </w:pPr>
          </w:p>
        </w:tc>
        <w:tc>
          <w:tcPr>
            <w:tcW w:w="1780" w:type="dxa"/>
            <w:vAlign w:val="bottom"/>
            <w:gridSpan w:val="2"/>
            <w:shd w:val="clear" w:color="auto" w:fill="E7ECFC"/>
          </w:tcPr>
          <w:p>
            <w:pPr>
              <w:jc w:val="right"/>
              <w:ind w:right="573"/>
              <w:spacing w:after="0"/>
              <w:rPr>
                <w:sz w:val="20"/>
                <w:szCs w:val="20"/>
                <w:color w:val="auto"/>
              </w:rPr>
            </w:pPr>
            <w:r>
              <w:rPr>
                <w:rFonts w:ascii="Times New Roman" w:cs="Times New Roman" w:eastAsia="Times New Roman" w:hAnsi="Times New Roman"/>
                <w:sz w:val="18"/>
                <w:szCs w:val="18"/>
                <w:color w:val="auto"/>
              </w:rPr>
              <w:t>13,369,210</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1,192,206</w:t>
            </w:r>
          </w:p>
        </w:tc>
        <w:tc>
          <w:tcPr>
            <w:tcW w:w="0" w:type="dxa"/>
            <w:vAlign w:val="bottom"/>
          </w:tcPr>
          <w:p>
            <w:pPr>
              <w:spacing w:after="0"/>
              <w:rPr>
                <w:sz w:val="1"/>
                <w:szCs w:val="1"/>
                <w:color w:val="auto"/>
              </w:rPr>
            </w:pPr>
          </w:p>
        </w:tc>
      </w:tr>
      <w:tr>
        <w:trPr>
          <w:trHeight w:val="192"/>
        </w:trPr>
        <w:tc>
          <w:tcPr>
            <w:tcW w:w="2480" w:type="dxa"/>
            <w:vAlign w:val="bottom"/>
            <w:tcBorders>
              <w:top w:val="single" w:sz="8" w:color="E7ECFC"/>
            </w:tcBorders>
            <w:gridSpan w:val="2"/>
          </w:tcPr>
          <w:p>
            <w:pPr>
              <w:spacing w:after="0" w:line="192" w:lineRule="exact"/>
              <w:rPr>
                <w:sz w:val="20"/>
                <w:szCs w:val="20"/>
                <w:color w:val="auto"/>
              </w:rPr>
            </w:pPr>
            <w:r>
              <w:rPr>
                <w:rFonts w:ascii="Times New Roman" w:cs="Times New Roman" w:eastAsia="Times New Roman" w:hAnsi="Times New Roman"/>
                <w:sz w:val="18"/>
                <w:szCs w:val="18"/>
                <w:color w:val="auto"/>
              </w:rPr>
              <w:t>Jason Krantz</w:t>
            </w:r>
          </w:p>
        </w:tc>
        <w:tc>
          <w:tcPr>
            <w:tcW w:w="320" w:type="dxa"/>
            <w:vAlign w:val="bottom"/>
            <w:tcBorders>
              <w:top w:val="single" w:sz="8" w:color="E7ECFC"/>
            </w:tcBorders>
          </w:tcPr>
          <w:p>
            <w:pPr>
              <w:spacing w:after="0"/>
              <w:rPr>
                <w:sz w:val="16"/>
                <w:szCs w:val="16"/>
                <w:color w:val="auto"/>
              </w:rPr>
            </w:pPr>
          </w:p>
        </w:tc>
        <w:tc>
          <w:tcPr>
            <w:tcW w:w="2960" w:type="dxa"/>
            <w:vAlign w:val="bottom"/>
            <w:tcBorders>
              <w:top w:val="single" w:sz="8" w:color="E7ECFC"/>
            </w:tcBorders>
          </w:tcPr>
          <w:p>
            <w:pPr>
              <w:spacing w:after="0" w:line="192" w:lineRule="exact"/>
              <w:rPr>
                <w:sz w:val="20"/>
                <w:szCs w:val="20"/>
                <w:color w:val="auto"/>
              </w:rPr>
            </w:pPr>
            <w:r>
              <w:rPr>
                <w:rFonts w:ascii="Times New Roman" w:cs="Times New Roman" w:eastAsia="Times New Roman" w:hAnsi="Times New Roman"/>
                <w:sz w:val="18"/>
                <w:szCs w:val="18"/>
                <w:color w:val="auto"/>
              </w:rPr>
              <w:t>Cash Severance Payment (Salary)</w:t>
            </w:r>
          </w:p>
        </w:tc>
        <w:tc>
          <w:tcPr>
            <w:tcW w:w="400" w:type="dxa"/>
            <w:vAlign w:val="bottom"/>
            <w:tcBorders>
              <w:top w:val="single" w:sz="8" w:color="E7ECFC"/>
            </w:tcBorders>
          </w:tcPr>
          <w:p>
            <w:pPr>
              <w:spacing w:after="0"/>
              <w:rPr>
                <w:sz w:val="16"/>
                <w:szCs w:val="16"/>
                <w:color w:val="auto"/>
              </w:rPr>
            </w:pPr>
          </w:p>
        </w:tc>
        <w:tc>
          <w:tcPr>
            <w:tcW w:w="1160" w:type="dxa"/>
            <w:vAlign w:val="bottom"/>
            <w:tcBorders>
              <w:top w:val="single" w:sz="8" w:color="auto"/>
            </w:tcBorders>
          </w:tcPr>
          <w:p>
            <w:pPr>
              <w:jc w:val="right"/>
              <w:ind w:right="13"/>
              <w:spacing w:after="0" w:line="19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E7ECFC"/>
            </w:tcBorders>
          </w:tcPr>
          <w:p>
            <w:pPr>
              <w:spacing w:after="0"/>
              <w:rPr>
                <w:sz w:val="16"/>
                <w:szCs w:val="16"/>
                <w:color w:val="auto"/>
              </w:rPr>
            </w:pPr>
          </w:p>
        </w:tc>
        <w:tc>
          <w:tcPr>
            <w:tcW w:w="11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E7ECFC"/>
            </w:tcBorders>
          </w:tcPr>
          <w:p>
            <w:pPr>
              <w:spacing w:after="0"/>
              <w:rPr>
                <w:sz w:val="16"/>
                <w:szCs w:val="16"/>
                <w:color w:val="auto"/>
              </w:rPr>
            </w:pPr>
          </w:p>
        </w:tc>
        <w:tc>
          <w:tcPr>
            <w:tcW w:w="86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7EC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Lump Sum Bonus Payment</w:t>
            </w:r>
          </w:p>
        </w:tc>
        <w:tc>
          <w:tcPr>
            <w:tcW w:w="400" w:type="dxa"/>
            <w:vAlign w:val="bottom"/>
          </w:tcPr>
          <w:p>
            <w:pPr>
              <w:spacing w:after="0"/>
              <w:rPr>
                <w:sz w:val="18"/>
                <w:szCs w:val="18"/>
                <w:color w:val="auto"/>
              </w:rPr>
            </w:pPr>
          </w:p>
        </w:tc>
        <w:tc>
          <w:tcPr>
            <w:tcW w:w="1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COBRA Payments</w:t>
            </w:r>
          </w:p>
        </w:tc>
        <w:tc>
          <w:tcPr>
            <w:tcW w:w="400" w:type="dxa"/>
            <w:vAlign w:val="bottom"/>
          </w:tcPr>
          <w:p>
            <w:pPr>
              <w:spacing w:after="0"/>
              <w:rPr>
                <w:sz w:val="18"/>
                <w:szCs w:val="18"/>
                <w:color w:val="auto"/>
              </w:rPr>
            </w:pPr>
          </w:p>
        </w:tc>
        <w:tc>
          <w:tcPr>
            <w:tcW w:w="1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ind w:left="320"/>
              <w:spacing w:after="0" w:line="212"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4"/>
                <w:szCs w:val="24"/>
                <w:color w:val="auto"/>
                <w:vertAlign w:val="superscript"/>
              </w:rPr>
              <w:t>(9)</w:t>
            </w:r>
          </w:p>
        </w:tc>
        <w:tc>
          <w:tcPr>
            <w:tcW w:w="400" w:type="dxa"/>
            <w:vAlign w:val="bottom"/>
          </w:tcPr>
          <w:p>
            <w:pPr>
              <w:spacing w:after="0"/>
              <w:rPr>
                <w:sz w:val="18"/>
                <w:szCs w:val="18"/>
                <w:color w:val="auto"/>
              </w:rPr>
            </w:pPr>
          </w:p>
        </w:tc>
        <w:tc>
          <w:tcPr>
            <w:tcW w:w="1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53"/>
              <w:spacing w:after="0" w:line="212" w:lineRule="exact"/>
              <w:rPr>
                <w:sz w:val="20"/>
                <w:szCs w:val="20"/>
                <w:color w:val="auto"/>
              </w:rPr>
            </w:pPr>
            <w:r>
              <w:rPr>
                <w:rFonts w:ascii="Times New Roman" w:cs="Times New Roman" w:eastAsia="Times New Roman" w:hAnsi="Times New Roman"/>
                <w:sz w:val="17"/>
                <w:szCs w:val="17"/>
                <w:color w:val="auto"/>
              </w:rPr>
              <w:t>5,398,541</w:t>
            </w:r>
            <w:r>
              <w:rPr>
                <w:rFonts w:ascii="Times New Roman" w:cs="Times New Roman" w:eastAsia="Times New Roman" w:hAnsi="Times New Roman"/>
                <w:sz w:val="24"/>
                <w:szCs w:val="24"/>
                <w:color w:val="auto"/>
                <w:vertAlign w:val="superscript"/>
              </w:rPr>
              <w:t>(11)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4,307,157</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400" w:type="dxa"/>
            <w:vAlign w:val="bottom"/>
          </w:tcPr>
          <w:p>
            <w:pPr>
              <w:spacing w:after="0"/>
              <w:rPr>
                <w:sz w:val="20"/>
                <w:szCs w:val="20"/>
                <w:color w:val="auto"/>
              </w:rPr>
            </w:pPr>
          </w:p>
        </w:tc>
        <w:tc>
          <w:tcPr>
            <w:tcW w:w="1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573"/>
              <w:spacing w:after="0"/>
              <w:rPr>
                <w:sz w:val="20"/>
                <w:szCs w:val="20"/>
                <w:color w:val="auto"/>
              </w:rPr>
            </w:pPr>
            <w:r>
              <w:rPr>
                <w:rFonts w:ascii="Times New Roman" w:cs="Times New Roman" w:eastAsia="Times New Roman" w:hAnsi="Times New Roman"/>
                <w:sz w:val="18"/>
                <w:szCs w:val="18"/>
                <w:color w:val="auto"/>
              </w:rPr>
              <w:t>5,398,541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4,307,157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gridSpan w:val="2"/>
            <w:shd w:val="clear" w:color="auto" w:fill="E7ECFC"/>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color w:val="auto"/>
              </w:rPr>
              <w:t>Cash Severance Payment (Salary)</w:t>
            </w:r>
          </w:p>
        </w:tc>
        <w:tc>
          <w:tcPr>
            <w:tcW w:w="2300" w:type="dxa"/>
            <w:vAlign w:val="bottom"/>
            <w:gridSpan w:val="3"/>
            <w:shd w:val="clear" w:color="auto" w:fill="E7ECFC"/>
          </w:tcPr>
          <w:p>
            <w:pPr>
              <w:jc w:val="right"/>
              <w:ind w:right="513"/>
              <w:spacing w:after="0" w:line="210" w:lineRule="exact"/>
              <w:rPr>
                <w:sz w:val="20"/>
                <w:szCs w:val="20"/>
                <w:color w:val="auto"/>
              </w:rPr>
            </w:pPr>
            <w:r>
              <w:rPr>
                <w:rFonts w:ascii="Times New Roman" w:cs="Times New Roman" w:eastAsia="Times New Roman" w:hAnsi="Times New Roman"/>
                <w:sz w:val="17"/>
                <w:szCs w:val="17"/>
                <w:color w:val="auto"/>
              </w:rPr>
              <w:t>400,000</w:t>
            </w:r>
            <w:r>
              <w:rPr>
                <w:rFonts w:ascii="Times New Roman" w:cs="Times New Roman" w:eastAsia="Times New Roman" w:hAnsi="Times New Roman"/>
                <w:sz w:val="24"/>
                <w:szCs w:val="24"/>
                <w:color w:val="auto"/>
                <w:vertAlign w:val="superscript"/>
              </w:rPr>
              <w:t>(3)</w:t>
            </w:r>
          </w:p>
        </w:tc>
        <w:tc>
          <w:tcPr>
            <w:tcW w:w="1780" w:type="dxa"/>
            <w:vAlign w:val="bottom"/>
            <w:gridSpan w:val="2"/>
            <w:shd w:val="clear" w:color="auto" w:fill="E7ECFC"/>
          </w:tcPr>
          <w:p>
            <w:pPr>
              <w:jc w:val="right"/>
              <w:ind w:right="413"/>
              <w:spacing w:after="0" w:line="210" w:lineRule="exact"/>
              <w:rPr>
                <w:sz w:val="20"/>
                <w:szCs w:val="20"/>
                <w:color w:val="auto"/>
              </w:rPr>
            </w:pPr>
            <w:r>
              <w:rPr>
                <w:rFonts w:ascii="Times New Roman" w:cs="Times New Roman" w:eastAsia="Times New Roman" w:hAnsi="Times New Roman"/>
                <w:sz w:val="17"/>
                <w:szCs w:val="17"/>
                <w:color w:val="auto"/>
              </w:rPr>
              <w:t>600,000</w:t>
            </w:r>
            <w:r>
              <w:rPr>
                <w:rFonts w:ascii="Times New Roman" w:cs="Times New Roman" w:eastAsia="Times New Roman" w:hAnsi="Times New Roman"/>
                <w:sz w:val="24"/>
                <w:szCs w:val="24"/>
                <w:color w:val="auto"/>
                <w:vertAlign w:val="superscript"/>
              </w:rPr>
              <w:t>(4)</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color w:val="auto"/>
              </w:rPr>
              <w:t>Lump Sum Bonus Payment</w:t>
            </w:r>
          </w:p>
        </w:tc>
        <w:tc>
          <w:tcPr>
            <w:tcW w:w="2300" w:type="dxa"/>
            <w:vAlign w:val="bottom"/>
            <w:gridSpan w:val="3"/>
            <w:shd w:val="clear" w:color="auto" w:fill="E7ECFC"/>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280,000</w:t>
            </w:r>
            <w:r>
              <w:rPr>
                <w:rFonts w:ascii="Times New Roman" w:cs="Times New Roman" w:eastAsia="Times New Roman" w:hAnsi="Times New Roman"/>
                <w:sz w:val="25"/>
                <w:szCs w:val="25"/>
                <w:color w:val="auto"/>
                <w:vertAlign w:val="superscript"/>
              </w:rPr>
              <w:t>(5)</w:t>
            </w:r>
          </w:p>
        </w:tc>
        <w:tc>
          <w:tcPr>
            <w:tcW w:w="1780" w:type="dxa"/>
            <w:vAlign w:val="bottom"/>
            <w:gridSpan w:val="2"/>
            <w:shd w:val="clear" w:color="auto" w:fill="E7ECFC"/>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420,000</w:t>
            </w:r>
            <w:r>
              <w:rPr>
                <w:rFonts w:ascii="Times New Roman" w:cs="Times New Roman" w:eastAsia="Times New Roman" w:hAnsi="Times New Roman"/>
                <w:sz w:val="25"/>
                <w:szCs w:val="25"/>
                <w:color w:val="auto"/>
                <w:vertAlign w:val="superscript"/>
              </w:rPr>
              <w:t>(6)</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400" w:type="dxa"/>
            <w:vAlign w:val="bottom"/>
            <w:shd w:val="clear" w:color="auto" w:fill="E7ECFC"/>
          </w:tcPr>
          <w:p>
            <w:pPr>
              <w:spacing w:after="0"/>
              <w:rPr>
                <w:sz w:val="18"/>
                <w:szCs w:val="18"/>
                <w:color w:val="auto"/>
              </w:rPr>
            </w:pPr>
          </w:p>
        </w:tc>
        <w:tc>
          <w:tcPr>
            <w:tcW w:w="1900" w:type="dxa"/>
            <w:vAlign w:val="bottom"/>
            <w:gridSpan w:val="2"/>
            <w:shd w:val="clear" w:color="auto" w:fill="E7ECFC"/>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23,478</w:t>
            </w:r>
            <w:r>
              <w:rPr>
                <w:rFonts w:ascii="Times New Roman" w:cs="Times New Roman" w:eastAsia="Times New Roman" w:hAnsi="Times New Roman"/>
                <w:sz w:val="25"/>
                <w:szCs w:val="25"/>
                <w:color w:val="auto"/>
                <w:vertAlign w:val="superscript"/>
              </w:rPr>
              <w:t>(7)</w:t>
            </w:r>
          </w:p>
        </w:tc>
        <w:tc>
          <w:tcPr>
            <w:tcW w:w="1780" w:type="dxa"/>
            <w:vAlign w:val="bottom"/>
            <w:gridSpan w:val="2"/>
            <w:shd w:val="clear" w:color="auto" w:fill="E7ECFC"/>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35,217</w:t>
            </w:r>
            <w:r>
              <w:rPr>
                <w:rFonts w:ascii="Times New Roman" w:cs="Times New Roman" w:eastAsia="Times New Roman" w:hAnsi="Times New Roman"/>
                <w:sz w:val="25"/>
                <w:szCs w:val="25"/>
                <w:color w:val="auto"/>
                <w:vertAlign w:val="superscript"/>
              </w:rPr>
              <w:t>(8)</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5"/>
                <w:szCs w:val="25"/>
                <w:color w:val="auto"/>
                <w:vertAlign w:val="superscript"/>
              </w:rPr>
              <w:t>(9)</w:t>
            </w:r>
          </w:p>
        </w:tc>
        <w:tc>
          <w:tcPr>
            <w:tcW w:w="400" w:type="dxa"/>
            <w:vAlign w:val="bottom"/>
            <w:shd w:val="clear" w:color="auto" w:fill="E7ECFC"/>
          </w:tcPr>
          <w:p>
            <w:pPr>
              <w:spacing w:after="0"/>
              <w:rPr>
                <w:sz w:val="18"/>
                <w:szCs w:val="18"/>
                <w:color w:val="auto"/>
              </w:rPr>
            </w:pPr>
          </w:p>
        </w:tc>
        <w:tc>
          <w:tcPr>
            <w:tcW w:w="1900" w:type="dxa"/>
            <w:vAlign w:val="bottom"/>
            <w:gridSpan w:val="2"/>
            <w:shd w:val="clear" w:color="auto" w:fill="E7ECFC"/>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1,500,959</w:t>
            </w:r>
            <w:r>
              <w:rPr>
                <w:rFonts w:ascii="Times New Roman" w:cs="Times New Roman" w:eastAsia="Times New Roman" w:hAnsi="Times New Roman"/>
                <w:sz w:val="25"/>
                <w:szCs w:val="25"/>
                <w:color w:val="auto"/>
                <w:vertAlign w:val="superscript"/>
              </w:rPr>
              <w:t>(10)</w:t>
            </w:r>
          </w:p>
        </w:tc>
        <w:tc>
          <w:tcPr>
            <w:tcW w:w="1780" w:type="dxa"/>
            <w:vAlign w:val="bottom"/>
            <w:gridSpan w:val="2"/>
            <w:shd w:val="clear" w:color="auto" w:fill="E7ECFC"/>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6,003,870</w:t>
            </w:r>
            <w:r>
              <w:rPr>
                <w:rFonts w:ascii="Times New Roman" w:cs="Times New Roman" w:eastAsia="Times New Roman" w:hAnsi="Times New Roman"/>
                <w:sz w:val="25"/>
                <w:szCs w:val="25"/>
                <w:color w:val="auto"/>
                <w:vertAlign w:val="superscript"/>
              </w:rPr>
              <w:t>(11)</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shd w:val="clear" w:color="auto" w:fill="E7ECFC"/>
          </w:tcPr>
          <w:p>
            <w:pPr>
              <w:spacing w:after="0"/>
              <w:rPr>
                <w:sz w:val="20"/>
                <w:szCs w:val="20"/>
                <w:color w:val="auto"/>
              </w:rPr>
            </w:pPr>
          </w:p>
        </w:tc>
        <w:tc>
          <w:tcPr>
            <w:tcW w:w="2080" w:type="dxa"/>
            <w:vAlign w:val="bottom"/>
            <w:shd w:val="clear" w:color="auto" w:fill="E7ECFC"/>
          </w:tcPr>
          <w:p>
            <w:pPr>
              <w:spacing w:after="0"/>
              <w:rPr>
                <w:sz w:val="20"/>
                <w:szCs w:val="20"/>
                <w:color w:val="auto"/>
              </w:rPr>
            </w:pPr>
          </w:p>
        </w:tc>
        <w:tc>
          <w:tcPr>
            <w:tcW w:w="320" w:type="dxa"/>
            <w:vAlign w:val="bottom"/>
            <w:shd w:val="clear" w:color="auto" w:fill="E7ECFC"/>
          </w:tcPr>
          <w:p>
            <w:pPr>
              <w:spacing w:after="0"/>
              <w:rPr>
                <w:sz w:val="20"/>
                <w:szCs w:val="20"/>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400" w:type="dxa"/>
            <w:vAlign w:val="bottom"/>
            <w:shd w:val="clear" w:color="auto" w:fill="E7ECFC"/>
          </w:tcPr>
          <w:p>
            <w:pPr>
              <w:spacing w:after="0"/>
              <w:rPr>
                <w:sz w:val="20"/>
                <w:szCs w:val="20"/>
                <w:color w:val="auto"/>
              </w:rPr>
            </w:pPr>
          </w:p>
        </w:tc>
        <w:tc>
          <w:tcPr>
            <w:tcW w:w="1160" w:type="dxa"/>
            <w:vAlign w:val="bottom"/>
            <w:shd w:val="clear" w:color="auto" w:fill="E7ECFC"/>
          </w:tcPr>
          <w:p>
            <w:pPr>
              <w:jc w:val="right"/>
              <w:spacing w:after="0"/>
              <w:rPr>
                <w:sz w:val="20"/>
                <w:szCs w:val="20"/>
                <w:color w:val="auto"/>
              </w:rPr>
            </w:pPr>
            <w:r>
              <w:rPr>
                <w:rFonts w:ascii="Times New Roman" w:cs="Times New Roman" w:eastAsia="Times New Roman" w:hAnsi="Times New Roman"/>
                <w:sz w:val="18"/>
                <w:szCs w:val="18"/>
                <w:color w:val="auto"/>
              </w:rPr>
              <w:t>2,204,437</w:t>
            </w:r>
          </w:p>
        </w:tc>
        <w:tc>
          <w:tcPr>
            <w:tcW w:w="740" w:type="dxa"/>
            <w:vAlign w:val="bottom"/>
            <w:shd w:val="clear" w:color="auto" w:fill="E7ECFC"/>
          </w:tcPr>
          <w:p>
            <w:pPr>
              <w:spacing w:after="0"/>
              <w:rPr>
                <w:sz w:val="20"/>
                <w:szCs w:val="20"/>
                <w:color w:val="auto"/>
              </w:rPr>
            </w:pPr>
          </w:p>
        </w:tc>
        <w:tc>
          <w:tcPr>
            <w:tcW w:w="1780" w:type="dxa"/>
            <w:vAlign w:val="bottom"/>
            <w:gridSpan w:val="2"/>
            <w:shd w:val="clear" w:color="auto" w:fill="E7ECFC"/>
          </w:tcPr>
          <w:p>
            <w:pPr>
              <w:jc w:val="right"/>
              <w:ind w:right="573"/>
              <w:spacing w:after="0"/>
              <w:rPr>
                <w:sz w:val="20"/>
                <w:szCs w:val="20"/>
                <w:color w:val="auto"/>
              </w:rPr>
            </w:pPr>
            <w:r>
              <w:rPr>
                <w:rFonts w:ascii="Times New Roman" w:cs="Times New Roman" w:eastAsia="Times New Roman" w:hAnsi="Times New Roman"/>
                <w:sz w:val="18"/>
                <w:szCs w:val="18"/>
                <w:color w:val="auto"/>
              </w:rPr>
              <w:t>7,059,087</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Borders>
              <w:top w:val="single" w:sz="8" w:color="E7ECFC"/>
            </w:tcBorders>
            <w:shd w:val="clear" w:color="auto" w:fill="E7ECFC"/>
          </w:tcPr>
          <w:p>
            <w:pPr>
              <w:spacing w:after="0" w:line="20" w:lineRule="exact"/>
              <w:rPr>
                <w:sz w:val="1"/>
                <w:szCs w:val="1"/>
                <w:color w:val="auto"/>
              </w:rPr>
            </w:pPr>
          </w:p>
        </w:tc>
        <w:tc>
          <w:tcPr>
            <w:tcW w:w="2080" w:type="dxa"/>
            <w:vAlign w:val="bottom"/>
            <w:tcBorders>
              <w:top w:val="single" w:sz="8" w:color="E7ECFC"/>
            </w:tcBorders>
            <w:shd w:val="clear" w:color="auto" w:fill="E7ECFC"/>
          </w:tcPr>
          <w:p>
            <w:pPr>
              <w:spacing w:after="0" w:line="20" w:lineRule="exact"/>
              <w:rPr>
                <w:sz w:val="1"/>
                <w:szCs w:val="1"/>
                <w:color w:val="auto"/>
              </w:rPr>
            </w:pPr>
          </w:p>
        </w:tc>
        <w:tc>
          <w:tcPr>
            <w:tcW w:w="320" w:type="dxa"/>
            <w:vAlign w:val="bottom"/>
            <w:tcBorders>
              <w:top w:val="single" w:sz="8" w:color="E7ECFC"/>
            </w:tcBorders>
            <w:shd w:val="clear" w:color="auto" w:fill="E7ECFC"/>
          </w:tcPr>
          <w:p>
            <w:pPr>
              <w:spacing w:after="0" w:line="20" w:lineRule="exact"/>
              <w:rPr>
                <w:sz w:val="1"/>
                <w:szCs w:val="1"/>
                <w:color w:val="auto"/>
              </w:rPr>
            </w:pPr>
          </w:p>
        </w:tc>
        <w:tc>
          <w:tcPr>
            <w:tcW w:w="2960" w:type="dxa"/>
            <w:vAlign w:val="bottom"/>
            <w:tcBorders>
              <w:top w:val="single" w:sz="8" w:color="E7ECFC"/>
            </w:tcBorders>
            <w:shd w:val="clear" w:color="auto" w:fill="E7ECFC"/>
          </w:tcPr>
          <w:p>
            <w:pPr>
              <w:spacing w:after="0" w:line="20" w:lineRule="exact"/>
              <w:rPr>
                <w:sz w:val="1"/>
                <w:szCs w:val="1"/>
                <w:color w:val="auto"/>
              </w:rPr>
            </w:pPr>
          </w:p>
        </w:tc>
        <w:tc>
          <w:tcPr>
            <w:tcW w:w="400" w:type="dxa"/>
            <w:vAlign w:val="bottom"/>
            <w:tcBorders>
              <w:top w:val="single" w:sz="8" w:color="E7ECFC"/>
            </w:tcBorders>
            <w:shd w:val="clear" w:color="auto" w:fill="E7EC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E7ECFC"/>
            </w:tcBorders>
            <w:shd w:val="clear" w:color="auto" w:fill="E7EC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E7ECFC"/>
            </w:tcBorders>
            <w:shd w:val="clear" w:color="auto" w:fill="E7EC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7ECFC"/>
            </w:tcBorders>
            <w:shd w:val="clear" w:color="auto" w:fill="E7EC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Richard Booth</w:t>
            </w:r>
          </w:p>
        </w:tc>
        <w:tc>
          <w:tcPr>
            <w:tcW w:w="320" w:type="dxa"/>
            <w:vAlign w:val="bottom"/>
          </w:tcPr>
          <w:p>
            <w:pPr>
              <w:spacing w:after="0"/>
              <w:rPr>
                <w:sz w:val="16"/>
                <w:szCs w:val="16"/>
                <w:color w:val="auto"/>
              </w:rPr>
            </w:pPr>
          </w:p>
        </w:tc>
        <w:tc>
          <w:tcPr>
            <w:tcW w:w="2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Cash Severance Payment (Salary)</w:t>
            </w:r>
          </w:p>
        </w:tc>
        <w:tc>
          <w:tcPr>
            <w:tcW w:w="40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350,000</w:t>
            </w:r>
          </w:p>
        </w:tc>
        <w:tc>
          <w:tcPr>
            <w:tcW w:w="740" w:type="dxa"/>
            <w:vAlign w:val="bottom"/>
          </w:tcPr>
          <w:p>
            <w:pPr>
              <w:jc w:val="right"/>
              <w:ind w:right="513"/>
              <w:spacing w:after="0"/>
              <w:rPr>
                <w:sz w:val="20"/>
                <w:szCs w:val="20"/>
                <w:color w:val="auto"/>
              </w:rPr>
            </w:pPr>
            <w:r>
              <w:rPr>
                <w:rFonts w:ascii="Times New Roman" w:cs="Times New Roman" w:eastAsia="Times New Roman" w:hAnsi="Times New Roman"/>
                <w:sz w:val="13"/>
                <w:szCs w:val="13"/>
                <w:color w:val="auto"/>
                <w:w w:val="92"/>
              </w:rPr>
              <w:t>(3)</w:t>
            </w:r>
          </w:p>
        </w:tc>
        <w:tc>
          <w:tcPr>
            <w:tcW w:w="1780" w:type="dxa"/>
            <w:vAlign w:val="bottom"/>
            <w:gridSpan w:val="2"/>
          </w:tcPr>
          <w:p>
            <w:pPr>
              <w:jc w:val="right"/>
              <w:ind w:right="413"/>
              <w:spacing w:after="0" w:line="191" w:lineRule="exact"/>
              <w:rPr>
                <w:sz w:val="20"/>
                <w:szCs w:val="20"/>
                <w:color w:val="auto"/>
              </w:rPr>
            </w:pPr>
            <w:r>
              <w:rPr>
                <w:rFonts w:ascii="Times New Roman" w:cs="Times New Roman" w:eastAsia="Times New Roman" w:hAnsi="Times New Roman"/>
                <w:sz w:val="16"/>
                <w:szCs w:val="16"/>
                <w:color w:val="auto"/>
              </w:rPr>
              <w:t>350,000</w:t>
            </w:r>
            <w:r>
              <w:rPr>
                <w:rFonts w:ascii="Times New Roman" w:cs="Times New Roman" w:eastAsia="Times New Roman" w:hAnsi="Times New Roman"/>
                <w:sz w:val="22"/>
                <w:szCs w:val="22"/>
                <w:color w:val="auto"/>
                <w:vertAlign w:val="superscript"/>
              </w:rPr>
              <w:t>(3)</w:t>
            </w:r>
          </w:p>
        </w:tc>
        <w:tc>
          <w:tcPr>
            <w:tcW w:w="1180" w:type="dxa"/>
            <w:vAlign w:val="bottom"/>
            <w:gridSpan w:val="2"/>
          </w:tcPr>
          <w:p>
            <w:pPr>
              <w:jc w:val="right"/>
              <w:ind w:right="400"/>
              <w:spacing w:after="0" w:line="19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Lump Sum Bonus Payment</w:t>
            </w:r>
          </w:p>
        </w:tc>
        <w:tc>
          <w:tcPr>
            <w:tcW w:w="2300" w:type="dxa"/>
            <w:vAlign w:val="bottom"/>
            <w:gridSpan w:val="3"/>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201,250</w:t>
            </w:r>
            <w:r>
              <w:rPr>
                <w:rFonts w:ascii="Times New Roman" w:cs="Times New Roman" w:eastAsia="Times New Roman" w:hAnsi="Times New Roman"/>
                <w:sz w:val="25"/>
                <w:szCs w:val="25"/>
                <w:color w:val="auto"/>
                <w:vertAlign w:val="superscript"/>
              </w:rPr>
              <w:t>(12)</w:t>
            </w:r>
          </w:p>
        </w:tc>
        <w:tc>
          <w:tcPr>
            <w:tcW w:w="1780" w:type="dxa"/>
            <w:vAlign w:val="bottom"/>
            <w:gridSpan w:val="2"/>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201,250</w:t>
            </w:r>
            <w:r>
              <w:rPr>
                <w:rFonts w:ascii="Times New Roman" w:cs="Times New Roman" w:eastAsia="Times New Roman" w:hAnsi="Times New Roman"/>
                <w:sz w:val="25"/>
                <w:szCs w:val="25"/>
                <w:color w:val="auto"/>
                <w:vertAlign w:val="superscript"/>
              </w:rPr>
              <w:t>(12)</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COBRA Payments</w:t>
            </w:r>
          </w:p>
        </w:tc>
        <w:tc>
          <w:tcPr>
            <w:tcW w:w="400" w:type="dxa"/>
            <w:vAlign w:val="bottom"/>
          </w:tcPr>
          <w:p>
            <w:pPr>
              <w:spacing w:after="0"/>
              <w:rPr>
                <w:sz w:val="18"/>
                <w:szCs w:val="18"/>
                <w:color w:val="auto"/>
              </w:rPr>
            </w:pPr>
          </w:p>
        </w:tc>
        <w:tc>
          <w:tcPr>
            <w:tcW w:w="1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ind w:left="320"/>
              <w:spacing w:after="0" w:line="212"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4"/>
                <w:szCs w:val="24"/>
                <w:color w:val="auto"/>
                <w:vertAlign w:val="superscript"/>
              </w:rPr>
              <w:t>(9)</w:t>
            </w:r>
          </w:p>
        </w:tc>
        <w:tc>
          <w:tcPr>
            <w:tcW w:w="2300" w:type="dxa"/>
            <w:vAlign w:val="bottom"/>
            <w:gridSpan w:val="3"/>
          </w:tcPr>
          <w:p>
            <w:pPr>
              <w:jc w:val="right"/>
              <w:ind w:right="453"/>
              <w:spacing w:after="0" w:line="212" w:lineRule="exact"/>
              <w:rPr>
                <w:sz w:val="20"/>
                <w:szCs w:val="20"/>
                <w:color w:val="auto"/>
              </w:rPr>
            </w:pPr>
            <w:r>
              <w:rPr>
                <w:rFonts w:ascii="Times New Roman" w:cs="Times New Roman" w:eastAsia="Times New Roman" w:hAnsi="Times New Roman"/>
                <w:sz w:val="17"/>
                <w:szCs w:val="17"/>
                <w:color w:val="auto"/>
              </w:rPr>
              <w:t>1,709,308</w:t>
            </w:r>
            <w:r>
              <w:rPr>
                <w:rFonts w:ascii="Times New Roman" w:cs="Times New Roman" w:eastAsia="Times New Roman" w:hAnsi="Times New Roman"/>
                <w:sz w:val="24"/>
                <w:szCs w:val="24"/>
                <w:color w:val="auto"/>
                <w:vertAlign w:val="superscript"/>
              </w:rPr>
              <w:t>(10)</w:t>
            </w:r>
          </w:p>
        </w:tc>
        <w:tc>
          <w:tcPr>
            <w:tcW w:w="1780" w:type="dxa"/>
            <w:vAlign w:val="bottom"/>
            <w:gridSpan w:val="2"/>
          </w:tcPr>
          <w:p>
            <w:pPr>
              <w:jc w:val="right"/>
              <w:ind w:right="353"/>
              <w:spacing w:after="0" w:line="212" w:lineRule="exact"/>
              <w:rPr>
                <w:sz w:val="20"/>
                <w:szCs w:val="20"/>
                <w:color w:val="auto"/>
              </w:rPr>
            </w:pPr>
            <w:r>
              <w:rPr>
                <w:rFonts w:ascii="Times New Roman" w:cs="Times New Roman" w:eastAsia="Times New Roman" w:hAnsi="Times New Roman"/>
                <w:sz w:val="17"/>
                <w:szCs w:val="17"/>
                <w:color w:val="auto"/>
              </w:rPr>
              <w:t>4,199,015</w:t>
            </w:r>
            <w:r>
              <w:rPr>
                <w:rFonts w:ascii="Times New Roman" w:cs="Times New Roman" w:eastAsia="Times New Roman" w:hAnsi="Times New Roman"/>
                <w:sz w:val="24"/>
                <w:szCs w:val="24"/>
                <w:color w:val="auto"/>
                <w:vertAlign w:val="superscript"/>
              </w:rPr>
              <w:t>(11)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3,789,737</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2300" w:type="dxa"/>
            <w:vAlign w:val="bottom"/>
            <w:gridSpan w:val="3"/>
          </w:tcPr>
          <w:p>
            <w:pPr>
              <w:jc w:val="right"/>
              <w:ind w:right="673"/>
              <w:spacing w:after="0"/>
              <w:rPr>
                <w:sz w:val="20"/>
                <w:szCs w:val="20"/>
                <w:color w:val="auto"/>
              </w:rPr>
            </w:pPr>
            <w:r>
              <w:rPr>
                <w:rFonts w:ascii="Times New Roman" w:cs="Times New Roman" w:eastAsia="Times New Roman" w:hAnsi="Times New Roman"/>
                <w:sz w:val="18"/>
                <w:szCs w:val="18"/>
                <w:color w:val="auto"/>
              </w:rPr>
              <w:t>2,260,558</w:t>
            </w:r>
          </w:p>
        </w:tc>
        <w:tc>
          <w:tcPr>
            <w:tcW w:w="1780" w:type="dxa"/>
            <w:vAlign w:val="bottom"/>
            <w:gridSpan w:val="2"/>
          </w:tcPr>
          <w:p>
            <w:pPr>
              <w:jc w:val="right"/>
              <w:ind w:right="573"/>
              <w:spacing w:after="0"/>
              <w:rPr>
                <w:sz w:val="20"/>
                <w:szCs w:val="20"/>
                <w:color w:val="auto"/>
              </w:rPr>
            </w:pPr>
            <w:r>
              <w:rPr>
                <w:rFonts w:ascii="Times New Roman" w:cs="Times New Roman" w:eastAsia="Times New Roman" w:hAnsi="Times New Roman"/>
                <w:sz w:val="18"/>
                <w:szCs w:val="18"/>
                <w:color w:val="auto"/>
              </w:rPr>
              <w:t>4,750,265</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3,789,737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gridSpan w:val="2"/>
            <w:shd w:val="clear" w:color="auto" w:fill="E7ECFC"/>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color w:val="auto"/>
              </w:rPr>
              <w:t>Cash Severance Payment (Salary)</w:t>
            </w:r>
          </w:p>
        </w:tc>
        <w:tc>
          <w:tcPr>
            <w:tcW w:w="400" w:type="dxa"/>
            <w:vAlign w:val="bottom"/>
            <w:shd w:val="clear" w:color="auto" w:fill="E7ECFC"/>
          </w:tcPr>
          <w:p>
            <w:pPr>
              <w:spacing w:after="0"/>
              <w:rPr>
                <w:sz w:val="18"/>
                <w:szCs w:val="18"/>
                <w:color w:val="auto"/>
              </w:rPr>
            </w:pPr>
          </w:p>
        </w:tc>
        <w:tc>
          <w:tcPr>
            <w:tcW w:w="1900" w:type="dxa"/>
            <w:vAlign w:val="bottom"/>
            <w:gridSpan w:val="2"/>
            <w:shd w:val="clear" w:color="auto" w:fill="E7EC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7ECFC"/>
          </w:tcPr>
          <w:p>
            <w:pPr>
              <w:jc w:val="right"/>
              <w:ind w:right="413"/>
              <w:spacing w:after="0" w:line="210" w:lineRule="exact"/>
              <w:rPr>
                <w:sz w:val="20"/>
                <w:szCs w:val="20"/>
                <w:color w:val="auto"/>
              </w:rPr>
            </w:pPr>
            <w:r>
              <w:rPr>
                <w:rFonts w:ascii="Times New Roman" w:cs="Times New Roman" w:eastAsia="Times New Roman" w:hAnsi="Times New Roman"/>
                <w:sz w:val="17"/>
                <w:szCs w:val="17"/>
                <w:color w:val="auto"/>
              </w:rPr>
              <w:t>300,000</w:t>
            </w:r>
            <w:r>
              <w:rPr>
                <w:rFonts w:ascii="Times New Roman" w:cs="Times New Roman" w:eastAsia="Times New Roman" w:hAnsi="Times New Roman"/>
                <w:sz w:val="24"/>
                <w:szCs w:val="24"/>
                <w:color w:val="auto"/>
                <w:vertAlign w:val="superscript"/>
              </w:rPr>
              <w:t>(3)</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color w:val="auto"/>
              </w:rPr>
              <w:t>Lump Sum Bonus Payment</w:t>
            </w:r>
          </w:p>
        </w:tc>
        <w:tc>
          <w:tcPr>
            <w:tcW w:w="400" w:type="dxa"/>
            <w:vAlign w:val="bottom"/>
            <w:shd w:val="clear" w:color="auto" w:fill="E7ECFC"/>
          </w:tcPr>
          <w:p>
            <w:pPr>
              <w:spacing w:after="0"/>
              <w:rPr>
                <w:sz w:val="18"/>
                <w:szCs w:val="18"/>
                <w:color w:val="auto"/>
              </w:rPr>
            </w:pPr>
          </w:p>
        </w:tc>
        <w:tc>
          <w:tcPr>
            <w:tcW w:w="1900" w:type="dxa"/>
            <w:vAlign w:val="bottom"/>
            <w:gridSpan w:val="2"/>
            <w:shd w:val="clear" w:color="auto" w:fill="E7EC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7ECFC"/>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125,000</w:t>
            </w:r>
            <w:r>
              <w:rPr>
                <w:rFonts w:ascii="Times New Roman" w:cs="Times New Roman" w:eastAsia="Times New Roman" w:hAnsi="Times New Roman"/>
                <w:sz w:val="25"/>
                <w:szCs w:val="25"/>
                <w:color w:val="auto"/>
                <w:vertAlign w:val="superscript"/>
              </w:rPr>
              <w:t>(12)</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400" w:type="dxa"/>
            <w:vAlign w:val="bottom"/>
            <w:shd w:val="clear" w:color="auto" w:fill="E7ECFC"/>
          </w:tcPr>
          <w:p>
            <w:pPr>
              <w:spacing w:after="0"/>
              <w:rPr>
                <w:sz w:val="18"/>
                <w:szCs w:val="18"/>
                <w:color w:val="auto"/>
              </w:rPr>
            </w:pPr>
          </w:p>
        </w:tc>
        <w:tc>
          <w:tcPr>
            <w:tcW w:w="1900" w:type="dxa"/>
            <w:vAlign w:val="bottom"/>
            <w:gridSpan w:val="2"/>
            <w:shd w:val="clear" w:color="auto" w:fill="E7EC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7ECFC"/>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23,478</w:t>
            </w:r>
            <w:r>
              <w:rPr>
                <w:rFonts w:ascii="Times New Roman" w:cs="Times New Roman" w:eastAsia="Times New Roman" w:hAnsi="Times New Roman"/>
                <w:sz w:val="25"/>
                <w:szCs w:val="25"/>
                <w:color w:val="auto"/>
                <w:vertAlign w:val="superscript"/>
              </w:rPr>
              <w:t>(7)</w:t>
            </w:r>
          </w:p>
        </w:tc>
        <w:tc>
          <w:tcPr>
            <w:tcW w:w="1180" w:type="dxa"/>
            <w:vAlign w:val="bottom"/>
            <w:gridSpan w:val="2"/>
            <w:shd w:val="clear" w:color="auto" w:fill="E7EC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E7ECFC"/>
          </w:tcPr>
          <w:p>
            <w:pPr>
              <w:spacing w:after="0"/>
              <w:rPr>
                <w:sz w:val="18"/>
                <w:szCs w:val="18"/>
                <w:color w:val="auto"/>
              </w:rPr>
            </w:pPr>
          </w:p>
        </w:tc>
        <w:tc>
          <w:tcPr>
            <w:tcW w:w="208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2960" w:type="dxa"/>
            <w:vAlign w:val="bottom"/>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5"/>
                <w:szCs w:val="25"/>
                <w:color w:val="auto"/>
                <w:vertAlign w:val="superscript"/>
              </w:rPr>
              <w:t>(9)</w:t>
            </w:r>
          </w:p>
        </w:tc>
        <w:tc>
          <w:tcPr>
            <w:tcW w:w="400" w:type="dxa"/>
            <w:vAlign w:val="bottom"/>
            <w:shd w:val="clear" w:color="auto" w:fill="E7ECFC"/>
          </w:tcPr>
          <w:p>
            <w:pPr>
              <w:spacing w:after="0"/>
              <w:rPr>
                <w:sz w:val="18"/>
                <w:szCs w:val="18"/>
                <w:color w:val="auto"/>
              </w:rPr>
            </w:pPr>
          </w:p>
        </w:tc>
        <w:tc>
          <w:tcPr>
            <w:tcW w:w="1900" w:type="dxa"/>
            <w:vAlign w:val="bottom"/>
            <w:gridSpan w:val="2"/>
            <w:shd w:val="clear" w:color="auto" w:fill="E7EC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7ECFC"/>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1,399,368</w:t>
            </w:r>
            <w:r>
              <w:rPr>
                <w:rFonts w:ascii="Times New Roman" w:cs="Times New Roman" w:eastAsia="Times New Roman" w:hAnsi="Times New Roman"/>
                <w:sz w:val="25"/>
                <w:szCs w:val="25"/>
                <w:color w:val="auto"/>
                <w:vertAlign w:val="superscript"/>
              </w:rPr>
              <w:t>(11)</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969,109</w:t>
            </w:r>
          </w:p>
        </w:tc>
        <w:tc>
          <w:tcPr>
            <w:tcW w:w="0" w:type="dxa"/>
            <w:vAlign w:val="bottom"/>
          </w:tcPr>
          <w:p>
            <w:pPr>
              <w:spacing w:after="0"/>
              <w:rPr>
                <w:sz w:val="1"/>
                <w:szCs w:val="1"/>
                <w:color w:val="auto"/>
              </w:rPr>
            </w:pPr>
          </w:p>
        </w:tc>
      </w:tr>
      <w:tr>
        <w:trPr>
          <w:trHeight w:val="256"/>
        </w:trPr>
        <w:tc>
          <w:tcPr>
            <w:tcW w:w="400" w:type="dxa"/>
            <w:vAlign w:val="bottom"/>
            <w:shd w:val="clear" w:color="auto" w:fill="E7ECFC"/>
          </w:tcPr>
          <w:p>
            <w:pPr>
              <w:spacing w:after="0"/>
              <w:rPr>
                <w:sz w:val="22"/>
                <w:szCs w:val="22"/>
                <w:color w:val="auto"/>
              </w:rPr>
            </w:pPr>
          </w:p>
        </w:tc>
        <w:tc>
          <w:tcPr>
            <w:tcW w:w="2080" w:type="dxa"/>
            <w:vAlign w:val="bottom"/>
            <w:shd w:val="clear" w:color="auto" w:fill="E7ECFC"/>
          </w:tcPr>
          <w:p>
            <w:pPr>
              <w:spacing w:after="0"/>
              <w:rPr>
                <w:sz w:val="22"/>
                <w:szCs w:val="22"/>
                <w:color w:val="auto"/>
              </w:rPr>
            </w:pPr>
          </w:p>
        </w:tc>
        <w:tc>
          <w:tcPr>
            <w:tcW w:w="320" w:type="dxa"/>
            <w:vAlign w:val="bottom"/>
            <w:shd w:val="clear" w:color="auto" w:fill="E7ECFC"/>
          </w:tcPr>
          <w:p>
            <w:pPr>
              <w:spacing w:after="0"/>
              <w:rPr>
                <w:sz w:val="22"/>
                <w:szCs w:val="22"/>
                <w:color w:val="auto"/>
              </w:rPr>
            </w:pPr>
          </w:p>
        </w:tc>
        <w:tc>
          <w:tcPr>
            <w:tcW w:w="2960" w:type="dxa"/>
            <w:vAlign w:val="bottom"/>
            <w:shd w:val="clear" w:color="auto" w:fill="E7ECFC"/>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400" w:type="dxa"/>
            <w:vAlign w:val="bottom"/>
            <w:shd w:val="clear" w:color="auto" w:fill="E7ECFC"/>
          </w:tcPr>
          <w:p>
            <w:pPr>
              <w:spacing w:after="0"/>
              <w:rPr>
                <w:sz w:val="22"/>
                <w:szCs w:val="22"/>
                <w:color w:val="auto"/>
              </w:rPr>
            </w:pPr>
          </w:p>
        </w:tc>
        <w:tc>
          <w:tcPr>
            <w:tcW w:w="1160" w:type="dxa"/>
            <w:vAlign w:val="bottom"/>
            <w:shd w:val="clear" w:color="auto" w:fill="E7EC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7ECFC"/>
          </w:tcPr>
          <w:p>
            <w:pPr>
              <w:spacing w:after="0"/>
              <w:rPr>
                <w:sz w:val="22"/>
                <w:szCs w:val="22"/>
                <w:color w:val="auto"/>
              </w:rPr>
            </w:pPr>
          </w:p>
        </w:tc>
        <w:tc>
          <w:tcPr>
            <w:tcW w:w="1780" w:type="dxa"/>
            <w:vAlign w:val="bottom"/>
            <w:gridSpan w:val="2"/>
            <w:shd w:val="clear" w:color="auto" w:fill="E7ECFC"/>
          </w:tcPr>
          <w:p>
            <w:pPr>
              <w:jc w:val="right"/>
              <w:ind w:right="573"/>
              <w:spacing w:after="0"/>
              <w:rPr>
                <w:sz w:val="20"/>
                <w:szCs w:val="20"/>
                <w:color w:val="auto"/>
              </w:rPr>
            </w:pPr>
            <w:r>
              <w:rPr>
                <w:rFonts w:ascii="Times New Roman" w:cs="Times New Roman" w:eastAsia="Times New Roman" w:hAnsi="Times New Roman"/>
                <w:sz w:val="18"/>
                <w:szCs w:val="18"/>
                <w:color w:val="auto"/>
              </w:rPr>
              <w:t>1,847,846</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969,109</w:t>
            </w:r>
          </w:p>
        </w:tc>
        <w:tc>
          <w:tcPr>
            <w:tcW w:w="0" w:type="dxa"/>
            <w:vAlign w:val="bottom"/>
          </w:tcPr>
          <w:p>
            <w:pPr>
              <w:spacing w:after="0"/>
              <w:rPr>
                <w:sz w:val="1"/>
                <w:szCs w:val="1"/>
                <w:color w:val="auto"/>
              </w:rPr>
            </w:pPr>
          </w:p>
        </w:tc>
      </w:tr>
      <w:tr>
        <w:trPr>
          <w:trHeight w:val="359"/>
        </w:trPr>
        <w:tc>
          <w:tcPr>
            <w:tcW w:w="400" w:type="dxa"/>
            <w:vAlign w:val="bottom"/>
            <w:tcBorders>
              <w:top w:val="single" w:sz="8" w:color="E7ECFC"/>
            </w:tcBorders>
          </w:tcPr>
          <w:p>
            <w:pPr>
              <w:spacing w:after="0"/>
              <w:rPr>
                <w:sz w:val="24"/>
                <w:szCs w:val="24"/>
                <w:color w:val="auto"/>
              </w:rPr>
            </w:pPr>
          </w:p>
        </w:tc>
        <w:tc>
          <w:tcPr>
            <w:tcW w:w="2080" w:type="dxa"/>
            <w:vAlign w:val="bottom"/>
            <w:tcBorders>
              <w:top w:val="single" w:sz="8" w:color="E7ECFC"/>
            </w:tcBorders>
          </w:tcPr>
          <w:p>
            <w:pPr>
              <w:spacing w:after="0"/>
              <w:rPr>
                <w:sz w:val="24"/>
                <w:szCs w:val="24"/>
                <w:color w:val="auto"/>
              </w:rPr>
            </w:pPr>
          </w:p>
        </w:tc>
        <w:tc>
          <w:tcPr>
            <w:tcW w:w="3280" w:type="dxa"/>
            <w:vAlign w:val="bottom"/>
            <w:tcBorders>
              <w:top w:val="single" w:sz="8" w:color="E7ECFC"/>
            </w:tcBorders>
            <w:gridSpan w:val="2"/>
          </w:tcPr>
          <w:p>
            <w:pPr>
              <w:ind w:left="2940"/>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Borders>
              <w:top w:val="single" w:sz="8" w:color="E7EC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740" w:type="dxa"/>
            <w:vAlign w:val="bottom"/>
            <w:tcBorders>
              <w:top w:val="single" w:sz="8" w:color="E7EC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E7EC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Borders>
              <w:top w:val="single" w:sz="8" w:color="E7ECF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Qualified</w:t>
            </w:r>
          </w:p>
        </w:tc>
        <w:tc>
          <w:tcPr>
            <w:tcW w:w="740" w:type="dxa"/>
            <w:vAlign w:val="bottom"/>
          </w:tcPr>
          <w:p>
            <w:pPr>
              <w:spacing w:after="0"/>
              <w:rPr>
                <w:sz w:val="17"/>
                <w:szCs w:val="17"/>
                <w:color w:val="auto"/>
              </w:rPr>
            </w:pPr>
          </w:p>
        </w:tc>
        <w:tc>
          <w:tcPr>
            <w:tcW w:w="1800" w:type="dxa"/>
            <w:vAlign w:val="bottom"/>
            <w:gridSpan w:val="2"/>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w w:val="99"/>
              </w:rPr>
              <w:t>Qualified</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740" w:type="dxa"/>
            <w:vAlign w:val="bottom"/>
          </w:tcPr>
          <w:p>
            <w:pPr>
              <w:spacing w:after="0"/>
              <w:rPr>
                <w:sz w:val="17"/>
                <w:szCs w:val="17"/>
                <w:color w:val="auto"/>
              </w:rPr>
            </w:pPr>
          </w:p>
        </w:tc>
        <w:tc>
          <w:tcPr>
            <w:tcW w:w="1800" w:type="dxa"/>
            <w:vAlign w:val="bottom"/>
            <w:gridSpan w:val="2"/>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Event Not in</w:t>
            </w:r>
          </w:p>
        </w:tc>
        <w:tc>
          <w:tcPr>
            <w:tcW w:w="740" w:type="dxa"/>
            <w:vAlign w:val="bottom"/>
          </w:tcPr>
          <w:p>
            <w:pPr>
              <w:spacing w:after="0"/>
              <w:rPr>
                <w:sz w:val="17"/>
                <w:szCs w:val="17"/>
                <w:color w:val="auto"/>
              </w:rPr>
            </w:pPr>
          </w:p>
        </w:tc>
        <w:tc>
          <w:tcPr>
            <w:tcW w:w="1800" w:type="dxa"/>
            <w:vAlign w:val="bottom"/>
            <w:gridSpan w:val="2"/>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rPr>
              <w:t>Event in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without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Connection with</w:t>
            </w:r>
          </w:p>
        </w:tc>
        <w:tc>
          <w:tcPr>
            <w:tcW w:w="740" w:type="dxa"/>
            <w:vAlign w:val="bottom"/>
          </w:tcPr>
          <w:p>
            <w:pPr>
              <w:spacing w:after="0"/>
              <w:rPr>
                <w:sz w:val="17"/>
                <w:szCs w:val="17"/>
                <w:color w:val="auto"/>
              </w:rPr>
            </w:pPr>
          </w:p>
        </w:tc>
        <w:tc>
          <w:tcPr>
            <w:tcW w:w="1800" w:type="dxa"/>
            <w:vAlign w:val="bottom"/>
            <w:gridSpan w:val="2"/>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rPr>
              <w:t>Connection with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Qualified</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 Change in</w:t>
            </w:r>
          </w:p>
        </w:tc>
        <w:tc>
          <w:tcPr>
            <w:tcW w:w="740" w:type="dxa"/>
            <w:vAlign w:val="bottom"/>
          </w:tcPr>
          <w:p>
            <w:pPr>
              <w:spacing w:after="0"/>
              <w:rPr>
                <w:sz w:val="17"/>
                <w:szCs w:val="17"/>
                <w:color w:val="auto"/>
              </w:rPr>
            </w:pPr>
          </w:p>
        </w:tc>
        <w:tc>
          <w:tcPr>
            <w:tcW w:w="1800" w:type="dxa"/>
            <w:vAlign w:val="bottom"/>
            <w:gridSpan w:val="2"/>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rPr>
              <w:t>a Change in</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0" w:type="dxa"/>
            <w:vAlign w:val="bottom"/>
          </w:tcPr>
          <w:p>
            <w:pPr>
              <w:spacing w:after="0"/>
              <w:rPr>
                <w:sz w:val="1"/>
                <w:szCs w:val="1"/>
                <w:color w:val="auto"/>
              </w:rPr>
            </w:pPr>
          </w:p>
        </w:tc>
      </w:tr>
      <w:tr>
        <w:trPr>
          <w:trHeight w:val="203"/>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28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16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95"/>
              </w:rPr>
              <w:t>Control</w:t>
            </w:r>
            <w:r>
              <w:rPr>
                <w:rFonts w:ascii="Times New Roman" w:cs="Times New Roman" w:eastAsia="Times New Roman" w:hAnsi="Times New Roman"/>
                <w:sz w:val="23"/>
                <w:szCs w:val="23"/>
                <w:b w:val="1"/>
                <w:bCs w:val="1"/>
                <w:color w:val="auto"/>
                <w:w w:val="95"/>
                <w:vertAlign w:val="superscript"/>
              </w:rPr>
              <w:t>(1)</w:t>
            </w:r>
          </w:p>
        </w:tc>
        <w:tc>
          <w:tcPr>
            <w:tcW w:w="740" w:type="dxa"/>
            <w:vAlign w:val="bottom"/>
          </w:tcPr>
          <w:p>
            <w:pPr>
              <w:spacing w:after="0"/>
              <w:rPr>
                <w:sz w:val="17"/>
                <w:szCs w:val="17"/>
                <w:color w:val="auto"/>
              </w:rPr>
            </w:pPr>
          </w:p>
        </w:tc>
        <w:tc>
          <w:tcPr>
            <w:tcW w:w="1800" w:type="dxa"/>
            <w:vAlign w:val="bottom"/>
            <w:gridSpan w:val="2"/>
          </w:tcPr>
          <w:p>
            <w:pPr>
              <w:jc w:val="center"/>
              <w:ind w:right="573"/>
              <w:spacing w:after="0" w:line="203" w:lineRule="exact"/>
              <w:rPr>
                <w:sz w:val="20"/>
                <w:szCs w:val="20"/>
                <w:color w:val="auto"/>
              </w:rPr>
            </w:pPr>
            <w:r>
              <w:rPr>
                <w:rFonts w:ascii="Times New Roman" w:cs="Times New Roman" w:eastAsia="Times New Roman" w:hAnsi="Times New Roman"/>
                <w:sz w:val="16"/>
                <w:szCs w:val="16"/>
                <w:b w:val="1"/>
                <w:bCs w:val="1"/>
                <w:color w:val="auto"/>
                <w:w w:val="95"/>
              </w:rPr>
              <w:t>Control</w:t>
            </w:r>
            <w:r>
              <w:rPr>
                <w:rFonts w:ascii="Times New Roman" w:cs="Times New Roman" w:eastAsia="Times New Roman" w:hAnsi="Times New Roman"/>
                <w:sz w:val="23"/>
                <w:szCs w:val="23"/>
                <w:b w:val="1"/>
                <w:bCs w:val="1"/>
                <w:color w:val="auto"/>
                <w:w w:val="95"/>
                <w:vertAlign w:val="superscript"/>
              </w:rPr>
              <w:t>(1)</w:t>
            </w:r>
          </w:p>
        </w:tc>
        <w:tc>
          <w:tcPr>
            <w:tcW w:w="88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Event</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225"/>
        </w:trPr>
        <w:tc>
          <w:tcPr>
            <w:tcW w:w="2840" w:type="dxa"/>
            <w:vAlign w:val="bottom"/>
            <w:gridSpan w:val="2"/>
            <w:vMerge w:val="continue"/>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Kate</w:t>
            </w:r>
          </w:p>
        </w:tc>
        <w:tc>
          <w:tcPr>
            <w:tcW w:w="24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Shamsuddin Jensen</w:t>
            </w:r>
          </w:p>
        </w:tc>
        <w:tc>
          <w:tcPr>
            <w:tcW w:w="2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Cash Severance Payment (Salary)</w:t>
            </w:r>
          </w:p>
        </w:tc>
        <w:tc>
          <w:tcPr>
            <w:tcW w:w="320" w:type="dxa"/>
            <w:vAlign w:val="bottom"/>
          </w:tcPr>
          <w:p>
            <w:pPr>
              <w:spacing w:after="0"/>
              <w:rPr>
                <w:sz w:val="16"/>
                <w:szCs w:val="16"/>
                <w:color w:val="auto"/>
              </w:rPr>
            </w:pPr>
          </w:p>
        </w:tc>
        <w:tc>
          <w:tcPr>
            <w:tcW w:w="1160" w:type="dxa"/>
            <w:vAlign w:val="bottom"/>
            <w:tcBorders>
              <w:top w:val="single" w:sz="8" w:color="auto"/>
            </w:tcBorders>
          </w:tcPr>
          <w:p>
            <w:pPr>
              <w:ind w:left="880"/>
              <w:spacing w:after="0" w:line="18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6"/>
                <w:szCs w:val="16"/>
                <w:color w:val="auto"/>
              </w:rPr>
            </w:pPr>
          </w:p>
        </w:tc>
        <w:tc>
          <w:tcPr>
            <w:tcW w:w="11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300,000</w:t>
            </w:r>
          </w:p>
        </w:tc>
        <w:tc>
          <w:tcPr>
            <w:tcW w:w="64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2"/>
              </w:rPr>
              <w:t>(3)</w:t>
            </w:r>
          </w:p>
        </w:tc>
        <w:tc>
          <w:tcPr>
            <w:tcW w:w="860" w:type="dxa"/>
            <w:vAlign w:val="bottom"/>
            <w:tcBorders>
              <w:top w:val="single" w:sz="8" w:color="auto"/>
            </w:tcBorders>
          </w:tcPr>
          <w:p>
            <w:pPr>
              <w:ind w:left="600"/>
              <w:spacing w:after="0" w:line="18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Lump Sum Bonus Payment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3"/>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5"/>
                <w:szCs w:val="25"/>
                <w:color w:val="auto"/>
                <w:vertAlign w:val="superscript"/>
              </w:rPr>
              <w:t>(12)</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3"/>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23,478</w:t>
            </w:r>
            <w:r>
              <w:rPr>
                <w:rFonts w:ascii="Times New Roman" w:cs="Times New Roman" w:eastAsia="Times New Roman" w:hAnsi="Times New Roman"/>
                <w:sz w:val="25"/>
                <w:szCs w:val="25"/>
                <w:color w:val="auto"/>
                <w:vertAlign w:val="superscript"/>
              </w:rPr>
              <w:t>(7)</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80" w:type="dxa"/>
            <w:vAlign w:val="bottom"/>
            <w:gridSpan w:val="2"/>
          </w:tcPr>
          <w:p>
            <w:pPr>
              <w:spacing w:after="0" w:line="212"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4"/>
                <w:szCs w:val="24"/>
                <w:color w:val="auto"/>
                <w:vertAlign w:val="superscript"/>
              </w:rPr>
              <w:t>(9)</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3"/>
          </w:tcPr>
          <w:p>
            <w:pPr>
              <w:jc w:val="right"/>
              <w:ind w:right="353"/>
              <w:spacing w:after="0" w:line="212" w:lineRule="exact"/>
              <w:rPr>
                <w:sz w:val="20"/>
                <w:szCs w:val="20"/>
                <w:color w:val="auto"/>
              </w:rPr>
            </w:pPr>
            <w:r>
              <w:rPr>
                <w:rFonts w:ascii="Times New Roman" w:cs="Times New Roman" w:eastAsia="Times New Roman" w:hAnsi="Times New Roman"/>
                <w:sz w:val="17"/>
                <w:szCs w:val="17"/>
                <w:color w:val="auto"/>
              </w:rPr>
              <w:t>1,399,379</w:t>
            </w:r>
            <w:r>
              <w:rPr>
                <w:rFonts w:ascii="Times New Roman" w:cs="Times New Roman" w:eastAsia="Times New Roman" w:hAnsi="Times New Roman"/>
                <w:sz w:val="24"/>
                <w:szCs w:val="24"/>
                <w:color w:val="auto"/>
                <w:vertAlign w:val="superscript"/>
              </w:rPr>
              <w:t>(11)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969,109</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3"/>
          </w:tcPr>
          <w:p>
            <w:pPr>
              <w:jc w:val="right"/>
              <w:ind w:right="573"/>
              <w:spacing w:after="0"/>
              <w:rPr>
                <w:sz w:val="20"/>
                <w:szCs w:val="20"/>
                <w:color w:val="auto"/>
              </w:rPr>
            </w:pPr>
            <w:r>
              <w:rPr>
                <w:rFonts w:ascii="Times New Roman" w:cs="Times New Roman" w:eastAsia="Times New Roman" w:hAnsi="Times New Roman"/>
                <w:sz w:val="18"/>
                <w:szCs w:val="18"/>
                <w:color w:val="auto"/>
              </w:rPr>
              <w:t>1,822,857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969,109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52"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Musslewhite, Mr. Maack, and Mr. Booth, a “Qualified Termination Event” includes a termination other than for Cause (as defined in the 2021 Plan or respective employment agreement, as applicable and described below) or a termination of employment for Good Reason (as defined in the respective employment agreement and described below). Such event is considered to occur “in connection” with a Change in Control (as defined in the 2021 Equity Incentive Plan, 2019 Equity Incentive Plan, respective employment agreement, or Change in Control Severance Plan, as applicable and described elsewhere herein) for purposes of the severance benefits included in the table above (i) in the case of Mr. Musslewhite, if it occurs within 3 months prior and 13 months following the Change in Control, (ii) in the case of Mr. Booth, if it occurs upon or within 24 months of the Change in Control, (iii) in the case of Mr. Maack, if it occurs within 3 months prior and 18 months following the Change in Control, and (iv) in the case of Mr. Mirisola and Ms. Shamsuddin (A) with respect to the treatment of outstanding equity awards, within 24 months of the Change in Control and (B) for all other purposes, within 3 months prior and 18 months following the Change in Control.</w:t>
      </w:r>
    </w:p>
    <w:p>
      <w:pPr>
        <w:spacing w:after="0" w:line="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acceleration of the vesting of all LLC Units.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continuation of regular payments of 12 months of then-current base salary.</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continuation of regular payments of 18 months of then-current base salary.</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lump-sum payment equal to the greater of “target” or the average bonus paid over the prior two years.</w:t>
      </w:r>
    </w:p>
    <w:p>
      <w:pPr>
        <w:spacing w:after="0" w:line="9" w:lineRule="exact"/>
        <w:rPr>
          <w:rFonts w:ascii="Times New Roman" w:cs="Times New Roman" w:eastAsia="Times New Roman" w:hAnsi="Times New Roman"/>
          <w:sz w:val="18"/>
          <w:szCs w:val="18"/>
          <w:color w:val="auto"/>
        </w:rPr>
      </w:pPr>
    </w:p>
    <w:p>
      <w:pPr>
        <w:ind w:left="424" w:right="300" w:hanging="424"/>
        <w:spacing w:after="0" w:line="250"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payment of 1.5 times the executive’s annual bonus at a level equal to the greater of the annual bonus at “target” or the average of the bonuses paid in the last two calendar years (if such history exists) to be earned by the executive during the twelve-month period following the date of termination.</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 months of COBRA payments.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 months of COBRA payments.</w:t>
      </w:r>
    </w:p>
    <w:p>
      <w:pPr>
        <w:spacing w:after="0" w:line="9"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SEC rules, the value of accelerated RSU and LLC Unit awards is calculated by multiplying the number of shares subject to acceleration by $10.99, the closing price of our Class A common stock on December 30, 2022, the last trading day of the fiscal year.</w:t>
      </w:r>
    </w:p>
    <w:p>
      <w:pPr>
        <w:ind w:left="424" w:right="20" w:hanging="424"/>
        <w:spacing w:after="0" w:line="251"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Messrs. Musslewhite and Booth, represents acceleration of the vesting of all LLC Units and time-based RSUs that would have vested during the twelve-month period following the termination. Mr. Maack did not have any PSUs as of December 31, 2022. In the event of a Qualified Termination Event, (I) Mr. Musslewhite’s Promotion PSUs would remain outstanding and eligible to vest based on actual performance, to the extent the performance goals were capable of being achieved during the twelve-month period following the termination date; otherwise, the Promotion PSUs would be forfeited and (ii) Mr. Booth’s then-outstanding PSUs would be forfeited. Because the performance period applicable to the Promotion PSUs ends on December 31, 2024, outside of the twelve-month period following the hypothetical termination date of December 31, 2022, the Promotion PSUs would have been forfeited in connection with such a termination. As such, we have not reported any value for such performance-based awards in this table.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99" w:right="459" w:bottom="1440" w:gutter="0" w:footer="0" w:header="0"/>
        </w:sectPr>
      </w:pPr>
    </w:p>
    <w:bookmarkStart w:id="54" w:name="page55"/>
    <w:bookmarkEnd w:id="54"/>
    <w:p>
      <w:pPr>
        <w:ind w:left="424" w:right="120" w:hanging="424"/>
        <w:spacing w:after="0" w:line="253"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all NEOs, represents acceleration of the vesting of all LLC Units and time-based RSUs. In the event of a Qualified Termination Event in connection with a Change in Control, (i) Mr. Musslewhite’s Promotion PSUs would vest at the greater of (A) actual achievement of the performance goal (if capable of being measured immediately prior to the time of the occurrence of the Change in Control or termination of employment) or (B) target and (ii) the 2021 PSUs held by Messrs. Krantz, Booth, and Mirisola and Ms. Shamsuddin would vest (A) for any completed performance period, based on actual performance, or (B) for any partial or future performance period, at the greater of the target level or actual performance. For purposes of this table, we have assumed that the performance conditions for the Promotion PSUs are deemed satisfied at the target level. Based on actual performance for the completed performance period, we have not reported any value for the 2021 PSUs in this table.</w:t>
      </w: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lump-sum payment equal to the “target” bonus in effect for the named executive officer for the year in which the termination occurs.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Equity Arrangements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Pursuant to the 2021 Plan, if any of Mr. Krantz, Mr. Booth, Mr. Mirisola, or Ms. Shamsuddin’s service is terminated upon or within 24 months following a “Change in Control” (as defined in the 2021 Plan) without “Cause” (as defined in the 2021 Plan) or upon other circumstances as determined by the HCM and Compensation Committee, the unvested portion (if any) of all outstanding RSUs held by such executive will immediately vest and be paid in full upon termination, with any applicable performance conditions deemed achieved (i) for any completed performance period, based on actual performance, or (ii) for any partial or future performance period, at the greater of the target level or actual performance, in each case as determined by the HCM and Compensation Committee.</w:t>
      </w:r>
    </w:p>
    <w:p>
      <w:pPr>
        <w:spacing w:after="0" w:line="187"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Pursuant to the 2019 Plan, we granted Class B Units to Mr. Musslewhite, Mr. Krantz, Mr. Booth, Mr. Mirisola, and Ms. Shamsuddin, which have been converted into LLC Units in AIDH Management Holdings, LLC (and AIDH Topco, LLC in the case of Mr. Krantz) as described above under “Narrative Discussion of the Summary Compensation Table and Grants of Plan-Based Awards Table – Equity Compensation” and “Compensation Discussion and Analysis – Components of Our Executive Compensation Program – Equity Compensation”. Upon the consummation of a “Change in Control”, as defined in and pursuant to the relevant award agreement, all of the unvested LLC Units held by Mr. Krantz, Mr. Booth, Mr. Mirisola, and</w:t>
      </w:r>
    </w:p>
    <w:p>
      <w:pPr>
        <w:spacing w:after="0" w:line="3" w:lineRule="exact"/>
        <w:rPr>
          <w:sz w:val="20"/>
          <w:szCs w:val="20"/>
          <w:color w:val="auto"/>
        </w:rPr>
      </w:pPr>
    </w:p>
    <w:p>
      <w:pPr>
        <w:ind w:left="4" w:right="80"/>
        <w:spacing w:after="0" w:line="260" w:lineRule="auto"/>
        <w:rPr>
          <w:sz w:val="20"/>
          <w:szCs w:val="20"/>
          <w:color w:val="auto"/>
        </w:rPr>
      </w:pPr>
      <w:r>
        <w:rPr>
          <w:rFonts w:ascii="Times New Roman" w:cs="Times New Roman" w:eastAsia="Times New Roman" w:hAnsi="Times New Roman"/>
          <w:sz w:val="18"/>
          <w:szCs w:val="18"/>
          <w:color w:val="auto"/>
        </w:rPr>
        <w:t>Ms. Shamsuddin will become vested as of immediately prior to such Change in Control, subject to such executive’s continued service on the date of the Change in Control.</w:t>
      </w:r>
    </w:p>
    <w:p>
      <w:pPr>
        <w:spacing w:after="0" w:line="18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The acceleration of Mr. Musslewhite’s, Mr. Maack’s, and Mr. Booth’s equity awards in connection with termination or change of control is further provided for pursuant to such executives’ employment agreements, as described below.</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Robert Musslewhite</w:t>
      </w:r>
    </w:p>
    <w:p>
      <w:pPr>
        <w:spacing w:after="0" w:line="119" w:lineRule="exact"/>
        <w:rPr>
          <w:sz w:val="20"/>
          <w:szCs w:val="20"/>
          <w:color w:val="auto"/>
        </w:rPr>
      </w:pPr>
    </w:p>
    <w:p>
      <w:pPr>
        <w:ind w:left="4" w:right="300"/>
        <w:spacing w:after="0" w:line="272" w:lineRule="auto"/>
        <w:rPr>
          <w:sz w:val="20"/>
          <w:szCs w:val="20"/>
          <w:color w:val="auto"/>
        </w:rPr>
      </w:pPr>
      <w:r>
        <w:rPr>
          <w:rFonts w:ascii="Times New Roman" w:cs="Times New Roman" w:eastAsia="Times New Roman" w:hAnsi="Times New Roman"/>
          <w:sz w:val="17"/>
          <w:szCs w:val="17"/>
          <w:color w:val="auto"/>
        </w:rPr>
        <w:t>If we terminate Mr. Musslewhite’s employment without “Cause” (as defined below and other than as a result of death or Disability (as defined in the Employment Agreement)) or Mr. Musslewhite terminates his employment for “Good Reason” (as defined below) then, subject to his execution of a general release of claims and certain other conditions set forth in the Musslewhite Employment Agreement, we must provide Mr. Musslewhite with</w:t>
      </w:r>
    </w:p>
    <w:p>
      <w:pPr>
        <w:spacing w:after="0" w:line="2" w:lineRule="exact"/>
        <w:rPr>
          <w:sz w:val="20"/>
          <w:szCs w:val="20"/>
          <w:color w:val="auto"/>
        </w:rPr>
      </w:pPr>
    </w:p>
    <w:p>
      <w:pPr>
        <w:ind w:left="4" w:right="60" w:hanging="4"/>
        <w:spacing w:after="0" w:line="253"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regular payments of base salary for a period of twelve months; (ii) payment of the annual bonus to be earned by Mr. Musslewhite during the twelve month period following the date of termination of employment at the greater of “target” or the average bonus paid over the prior two years, payable in a lump sum; (iii) acceleration of the vesting of all forms of time-based equity awarded to Mr. Musslewhite by the Company at any time, that would otherwise have vested during the twelve-month period following the termination date; (iv) for performance-based equity awards, to the extent performance goals are capable of being achieved during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97" w:right="459" w:bottom="1440" w:gutter="0" w:footer="0" w:header="0"/>
        </w:sectPr>
      </w:pPr>
    </w:p>
    <w:bookmarkStart w:id="55" w:name="page56"/>
    <w:bookmarkEnd w:id="55"/>
    <w:p>
      <w:pPr>
        <w:ind w:left="4"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twelve-month period following the termination date, such equity awards shall remain outstanding and eligible to vest during such twelve month period and, if such performance goals are not achieved, shall be forfeited; (v) payment for twelve months of COBRA coverage, if applicable; and (vi) the annual bonus earned with respect to the prior fiscal year.</w:t>
      </w:r>
    </w:p>
    <w:p>
      <w:pPr>
        <w:spacing w:after="0" w:line="176"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If during a Change of Control Period (as defined in the Musslewhite Employment Agreement), Mr. Musslewhite’s employment is terminated without Cause, or Mr. Musslewhite terminates his employment with Good Reason, then we must provide Mr. Musslewhite with (i) continuation of regular payments of base salary for a period of eighteen months from the date of termination of employment; (ii) payment of 1.5 times the annual bonus at a level equal to the greater of the annual target bonus or the average of the bonuses paid in the last two calendar years (if such history exists) to be earned by Mr. Musslewhite during the twelve month period following the date of termination of employment, payable in a lump sum; (iii) acceleration of the vesting of all forms of equity awarded to Mr. Musslewhite by the Company or its affiliates at any time, treating for such purposes any performance-based equity awards as achieved at the greater of (A) actual achievement of the performance goal (if capable of being measured immediately prior to the time of the occurrence of the Change in Control or Mr. Musslewhite’s termination of employment) or (B) target; and (iv) payment for eighteen months of COBRA coverage, if applicable.</w:t>
      </w:r>
    </w:p>
    <w:p>
      <w:pPr>
        <w:spacing w:after="0" w:line="188" w:lineRule="exact"/>
        <w:rPr>
          <w:sz w:val="20"/>
          <w:szCs w:val="20"/>
          <w:color w:val="auto"/>
        </w:rPr>
      </w:pPr>
    </w:p>
    <w:p>
      <w:pPr>
        <w:ind w:left="4" w:right="1980"/>
        <w:spacing w:after="0" w:line="282" w:lineRule="auto"/>
        <w:rPr>
          <w:sz w:val="20"/>
          <w:szCs w:val="20"/>
          <w:color w:val="auto"/>
        </w:rPr>
      </w:pPr>
      <w:r>
        <w:rPr>
          <w:rFonts w:ascii="Times New Roman" w:cs="Times New Roman" w:eastAsia="Times New Roman" w:hAnsi="Times New Roman"/>
          <w:sz w:val="18"/>
          <w:szCs w:val="18"/>
          <w:color w:val="auto"/>
        </w:rPr>
        <w:t>The Musslewhite Employment Agreement includes customary provisions requiring confidentiality, assignment of inventions, non-competition, and nonsolicitation of our employees during employment and one year thereafter.</w:t>
      </w:r>
    </w:p>
    <w:p>
      <w:pPr>
        <w:spacing w:after="0" w:line="162"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For purposes of the Musslewhite Employment Agreement, “Cause” means, with respect to Mr. Musslewhite, (i) commission of, or pleading guilty or no contest to, a felony, a gross misdemeanor, or any crime involving moral turpitude; (ii) any unlawful act which is materially injurious or detrimental to the reputation or financial interests of the Company or its affiliates; (iii) theft of property of the Company or its affiliates or falsification of documents of the Company or its affiliates or dishonesty in their preparation; (iv) breach of any material provision of any written policy, handbook, or code of conduct of the Company or its affiliates (including, without limitation, any provision pertaining to harassment, discrimination, or retaliation), or any material provision of any agreement with the Company or its affiliates, including any non-competition, non-solicitation, or confidentiality provisions, or any other similar restrictive covenants to which Mr. Musslewhite is or may become a party with the Company or its affiliates.</w:t>
      </w:r>
    </w:p>
    <w:p>
      <w:pPr>
        <w:spacing w:after="0" w:line="189" w:lineRule="exact"/>
        <w:rPr>
          <w:sz w:val="20"/>
          <w:szCs w:val="20"/>
          <w:color w:val="auto"/>
        </w:rPr>
      </w:pPr>
    </w:p>
    <w:p>
      <w:pPr>
        <w:ind w:left="4" w:right="600"/>
        <w:spacing w:after="0" w:line="276" w:lineRule="auto"/>
        <w:rPr>
          <w:sz w:val="20"/>
          <w:szCs w:val="20"/>
          <w:color w:val="auto"/>
        </w:rPr>
      </w:pPr>
      <w:r>
        <w:rPr>
          <w:rFonts w:ascii="Times New Roman" w:cs="Times New Roman" w:eastAsia="Times New Roman" w:hAnsi="Times New Roman"/>
          <w:sz w:val="17"/>
          <w:szCs w:val="17"/>
          <w:color w:val="auto"/>
        </w:rPr>
        <w:t>For purposes of the Musslewhite Employment Agreement, “Good Reason” means without the written consent of Mr. Musslewhite: (i) a material diminution (of 10% or more) of the Base Salary or target Bonus; (ii) any material breach by the Company of any written agreement between</w:t>
      </w:r>
    </w:p>
    <w:p>
      <w:pPr>
        <w:spacing w:after="0" w:line="1"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Mr. Musslewhite and the Company or its affiliates; (iii) the Company materially changes the location of Mr. Musslewhite’s working arrangements as in effect on May 4, 2022; or (iv) a material diminution of Mr. Musslewhite’s duties, title, authority, or responsibilities (to include any change in reporting that results in Mr. Musslewhite not reporting to the Board), provided that no condition set forth in the preceding (i), (ii), (iii), or (iv) will be deemed good reason unless the Company fails to cure in all material respects the condition(s) giving rise to good reason within 30 days from the date on which Mr. Musslewhite notifies the Company, in writing, of such condition(s).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Richard Booth</w:t>
      </w:r>
    </w:p>
    <w:p>
      <w:pPr>
        <w:spacing w:after="0" w:line="119" w:lineRule="exact"/>
        <w:rPr>
          <w:sz w:val="20"/>
          <w:szCs w:val="20"/>
          <w:color w:val="auto"/>
        </w:rPr>
      </w:pPr>
    </w:p>
    <w:p>
      <w:pPr>
        <w:ind w:left="4" w:right="400"/>
        <w:spacing w:after="0" w:line="276" w:lineRule="auto"/>
        <w:rPr>
          <w:sz w:val="20"/>
          <w:szCs w:val="20"/>
          <w:color w:val="auto"/>
        </w:rPr>
      </w:pPr>
      <w:r>
        <w:rPr>
          <w:rFonts w:ascii="Times New Roman" w:cs="Times New Roman" w:eastAsia="Times New Roman" w:hAnsi="Times New Roman"/>
          <w:sz w:val="17"/>
          <w:szCs w:val="17"/>
          <w:color w:val="auto"/>
        </w:rPr>
        <w:t>If we terminate Mr. Booth’s employment without Cause (as defined below) and other than as a result of death or Disability (as defined in the Booth Employment Agreement)), or Mr. Booth terminates his employment for “Good Reason,” (as defined below) then we must provide Mr. Booth with</w:t>
      </w:r>
    </w:p>
    <w:p>
      <w:pPr>
        <w:spacing w:after="0" w:line="1" w:lineRule="exact"/>
        <w:rPr>
          <w:sz w:val="20"/>
          <w:szCs w:val="20"/>
          <w:color w:val="auto"/>
        </w:rPr>
      </w:pPr>
    </w:p>
    <w:p>
      <w:pPr>
        <w:ind w:left="4" w:hanging="4"/>
        <w:spacing w:after="0" w:line="253" w:lineRule="auto"/>
        <w:tabs>
          <w:tab w:leader="none" w:pos="2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regular payments of salary at the rate in effect on the date of termination for a period of twelve months from the date of termination of employment, payable in accordance with our regular payroll schedule; (ii) payment of the on-target bonus to be earned by Mr. Booth during the twelve month period following the date of termination of employment, within 30 days following the date of termination; and (iii) acceleration of the vesting of all time-based stock options, restricted stock shares, LLC Units, profit interests, or other forms of equity awarded to Mr. Booth by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97" w:right="459" w:bottom="1440" w:gutter="0" w:footer="0" w:header="0"/>
        </w:sectPr>
      </w:pPr>
    </w:p>
    <w:bookmarkStart w:id="56" w:name="page57"/>
    <w:bookmarkEnd w:id="5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Company at any time, that would otherwise have vested during the twelve-month period following the termination date.</w:t>
      </w:r>
    </w:p>
    <w:p>
      <w:pPr>
        <w:spacing w:after="0" w:line="225"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The Booth Employment Agreement includes customary confidentiality provisions, as well as provisions relating to assignment of inventions, and a one-year post-termination non-solicitation of our employees.</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For purposes of the Booth Employment Agreement, “Cause” means that the Mr. Booth has: (i) knowingly and willfully breached any fiduciary duty or any material legal contractual obligation to us, which breach, if curable, is not cured within 15 days after written notice to Mr. Booth thereof or, if cured, recurs; (ii) failed to follow any reasonable directive of the Board, which failure, if curable, is not cured within 15 days after written notice to Mr. Booth thereof or, if cured, recurs; (iii) engaged in gross negligence, fraud, embezzlement, acts of dishonesty or knowing and willful conflict of interest relating to the affairs of the Company or any of our affiliates; (iv) been convicted of or pleaded nolo contendere to (A) any misdemeanor relating to the affairs of the Company or any of our affiliates or (B) any felony (excluding any motor vehicle offense for which a non-custodial sentence is received); or (v) engaged in a willful violation of any federal or state securities laws.</w:t>
      </w:r>
    </w:p>
    <w:p>
      <w:pPr>
        <w:spacing w:after="0" w:line="189" w:lineRule="exact"/>
        <w:rPr>
          <w:sz w:val="20"/>
          <w:szCs w:val="20"/>
          <w:color w:val="auto"/>
        </w:rPr>
      </w:pPr>
    </w:p>
    <w:p>
      <w:pPr>
        <w:ind w:left="4"/>
        <w:spacing w:after="0" w:line="272" w:lineRule="auto"/>
        <w:rPr>
          <w:sz w:val="20"/>
          <w:szCs w:val="20"/>
          <w:color w:val="auto"/>
        </w:rPr>
      </w:pPr>
      <w:r>
        <w:rPr>
          <w:rFonts w:ascii="Times New Roman" w:cs="Times New Roman" w:eastAsia="Times New Roman" w:hAnsi="Times New Roman"/>
          <w:sz w:val="17"/>
          <w:szCs w:val="17"/>
          <w:color w:val="auto"/>
        </w:rPr>
        <w:t>For purposes of the Booth Employment Agreement, “Good Reason” means: (a) a material diminution (of 10% or more) of Mr. Booth’s base salary or target bonus (i.e. the size of the target bonus that Mr. Booth has the opportunity to earn) unless Mr. Booth consents to such reduction; or (b) any material breach by the Company of any written agreement between us and Mr. Booth; or (c) a relocation of the principal office of the Company more than thirty</w:t>
      </w:r>
    </w:p>
    <w:p>
      <w:pPr>
        <w:spacing w:after="0" w:line="2" w:lineRule="exact"/>
        <w:rPr>
          <w:sz w:val="20"/>
          <w:szCs w:val="20"/>
          <w:color w:val="auto"/>
        </w:rPr>
      </w:pPr>
    </w:p>
    <w:p>
      <w:pPr>
        <w:ind w:left="4" w:right="60" w:hanging="4"/>
        <w:spacing w:after="0" w:line="252" w:lineRule="auto"/>
        <w:tabs>
          <w:tab w:leader="none" w:pos="3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 (d) a material diminution of the duties, title, authority or responsibilities of Mr. Booth other than those duties, titles, authority, or responsibilities that are by their nature or specifically identified as temporary; and (e) the failure of the Company to obtain the assumption in writing of its obligations to fully perform the Booth Employment Agreement by any successor to all or substantially all of the of the assets of the Company within 15 days after request by Mr. Booth following a merger, consolidation, sale, or similar transaction, provided that no condition set forth in the preceding will be deemed good reason unless the Company cures the condition(s) giving rise to good reason within 30 days from the date on which Mr. Booth notifies the Company, in writing, of such condition(s).</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Jason Krantz</w:t>
      </w:r>
    </w:p>
    <w:p>
      <w:pPr>
        <w:spacing w:after="0" w:line="11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Mr. Krantz is not, pursuant to the Executive Chairman Agreement or otherwise, entitled to severance or other payments in connection with termination, other than in connection with his equity arrangements as described above, accrued but unpaid salary or bonus and vested benefits and other benefits earned or accrued by Mr. Krantz during his tenure that are available to all salaried employees and that do not discriminate in scope, terms, or operation in favor of Mr. Krantz.</w:t>
      </w:r>
    </w:p>
    <w:p>
      <w:pPr>
        <w:spacing w:after="0" w:line="180" w:lineRule="exact"/>
        <w:rPr>
          <w:sz w:val="20"/>
          <w:szCs w:val="20"/>
          <w:color w:val="auto"/>
        </w:rPr>
      </w:pPr>
    </w:p>
    <w:p>
      <w:pPr>
        <w:ind w:left="4" w:right="800"/>
        <w:spacing w:after="0" w:line="282" w:lineRule="auto"/>
        <w:rPr>
          <w:sz w:val="20"/>
          <w:szCs w:val="20"/>
          <w:color w:val="auto"/>
        </w:rPr>
      </w:pPr>
      <w:r>
        <w:rPr>
          <w:rFonts w:ascii="Times New Roman" w:cs="Times New Roman" w:eastAsia="Times New Roman" w:hAnsi="Times New Roman"/>
          <w:sz w:val="18"/>
          <w:szCs w:val="18"/>
          <w:color w:val="auto"/>
        </w:rPr>
        <w:t>The Executive Chairman Agreement includes customary provisions requiring confidentiality, assignment of inventions, non-competition, and nonsolicitation of our employees during employment and two years thereafter.</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Jonathan Maack</w:t>
      </w:r>
    </w:p>
    <w:p>
      <w:pPr>
        <w:spacing w:after="0" w:line="119"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If we terminate Mr. Maack’s employment without Cause (as defined below) and other than as a result of death or Disability (as defined in the Maack Employment Agreement) or Mr. Maack terminates his employment for Good Reason (as defined below) then, subject to his execution of a general release of claims and certain other conditions set forth in the Employment Agreement, we must provide Mr. Maack with (i) continuation of regular payments of base salary for a period of twelve months; (ii) payment of any annual bonus for a prior fiscal year to the extent earned but not previously paid, plus a lump-sum payment of the annual bonus to be earned by Mr. Maack during the twelve month period following the date of termination of employment at the greater of “target” or the average bonus paid over the prior two years (if such history exists); (iii) accelerated vesting of all forms of equity awarded to Mr. Maack by the Company at any time that are subject to time-based vesting and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4"/>
          </w:cols>
          <w:pgMar w:left="436" w:top="297" w:right="479" w:bottom="1440" w:gutter="0" w:footer="0" w:header="0"/>
        </w:sectPr>
      </w:pPr>
    </w:p>
    <w:bookmarkStart w:id="57" w:name="page58"/>
    <w:bookmarkEnd w:id="57"/>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would otherwise have vested during the twelve-month period following the termination date; and (iv) payment for twelve months of COBRA coverage, if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during a Change of Control Period (as defined in the Maack Employment Agreement), Mr. Maack’s employment is terminated without Cause, or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Maack terminates his employment for Good Reason, then we must provide Mr. Maack with (i) continuation of regular payments of base salary for a period of eighteen months from the date of termination of employment; (ii) payment of any annual bonus for a prior fiscal year to the extent earned but not previously paid, plus a lump-sum payment of 1.5 times the greater of the target annual bonus to be earned by Mr. Maack in the year of termination or the average of the bonuses paid in the last two calendar years (if such history exists); (iii) acceleration of the vesting of all forms of equity awarded to Mr. Maack by the Company at any time; and (iv) payment for eighteen months of COBRA coverage, if applicable.</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Maack Employment Agreement includes customary confidentiality provisions, as well as provisions relating to assignment of inventions, and a one-year post-termination non-solicitation of our employees.</w:t>
      </w:r>
    </w:p>
    <w:p>
      <w:pPr>
        <w:spacing w:after="0" w:line="16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For purposes of the Maack Employment Agreement, “Cause” means, with respect to Mr. Maack, (i) commission of or indictment for, pleading guilty or no contest to, a felony, a gross misdemeanor, or any crime involving moral turpitude; (ii) any unlawful act which is materially injurious or detrimental to the reputation or financial interests of the Company or its affiliates; (iii) theft of property of the Company or its affiliates or falsification of documents of the Company or its affiliates or dishonesty in their preparation; or (iv) breach of any material provision of any agreement with the Company or its affiliates, including any non-competition, non-solicitation, or confidentiality provisions, or any other similar restrictive covenants to which Mr. Maack is or may become a party with the Company or its affiliates. To the extent any breach set forth in this definition of cause can be cured, the Company shall provide written notice to Mr. Maack identifying the breach and Mr. Maack shall have thirty (30) calendar days to cure the breach.</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purposes of the Maack Employment Agreement, “Good Reason” means, without Mr. Maack’s written consent, (a) a material diminution (of 10% or more) of the base salary or target annual bonus (i.e. the size of the target annual bonus that Mr. Maack has the opportunity to earn); or (b) any material breach by the Company of any material written agreement between Mr. Maack and the Company; (c) a material relocation of Mr. Maack’s principal office of employment; or (d) a material diminution of the duties, title, authority, or responsibilities of Mr. Maack (to include any change in reporting that results in Mr. Maack not reporting to the CEO of the Company or to the Board) other than those duties, titles, authority, or responsibilities that are by their nature or specifically identified as temporary, provided that no condition set forth in the preceding (a), (b), (c) or (d) will be deemed good reason unless the Company fails to cure the condition(s) giving rise to good reason within 30 days from the date on which Mr. Maack notifies the Company, in writing, of such condition(s) (the “Cure Period”), and Mr. Maack resigns from employment within thirty (30) days following the expiration of the Cure Period.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Samuels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Mr. Samuels, pursuant to the Samuels Separation Agreement, is entitled to (i) salary continuation for thirty-nine weeks at the same base salary rate as of December 31, 2022, less applicable withholdings and deductions, payable in a lump sum; (ii) a cash bonus for 2022, based on the Company achieving specified performance targets and other requirements which will be determined reasonably and in good faith by the Company’s CEO and the Compensation Committee of the Board, which targets and requirements will be applied equally to the calculation of 2022 bonuses, if any, payable to the Company’s executive team, to be paid at the same time as any 2022 bonuses are paid to the Company’s executive team; (iii) payment for nine months of COBRA coverage, if applicable; (iv) six months of outplacement assistance with the Company’s provider, at the Company’s expense, to be used within twelve months of Mr. Samuels’s departure; and (v) the accelerated vesting as of December 31, 2022 of an aggregate of 108,014 unvested LLC Units and 4,688 unvested RSUs. Mr. Samuels’ remaining unvested equity awards were forfeited as of such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97"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 in Control Severance Plan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Mr. Mirisola and Ms. Shamsuddin participate in our Change in Control Severance Plan (the “CIC Plan”) as Eligible Employees (as defined in the CIC Plan). If during the CIC Period (as defined in the CIC Plan) we terminate their employment without Cause (as defined below) and other than as a result of death or Disability (as defined in the CIC Plan) then, subject to execution of a general release of claims and certain other conditions set forth in the CIC Plan, we must provide them with (i) continuation of regular payments of base salary for a period of twelve months; (ii) payment of their current year annual bonus at “target” performance levels; and (iii) payment for up to twelve months of COBRA coverage, if applicable.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purposes of the CIC Plan, “Cause” means with respect to an Eligible Employee’s termination of service, the following: (a) in the case where there is no 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 (2) gross misconduct or gross negligence in the performance of the Eligible Employee’s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Eligible Employee that defines “cause” (or words of like import, which shall include but not be limited to “gross misconduct”), “cause” as defined under such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NEOs participate, or have an account balance, in any qualified or non-qualified defined benefit plans sponsored by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NEOs participate in any nonqualified deferred compensation plan sponsored by 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93" w:right="479" w:bottom="1440"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ind w:left="4"/>
        <w:spacing w:after="0"/>
        <w:rPr>
          <w:sz w:val="20"/>
          <w:szCs w:val="20"/>
          <w:color w:val="auto"/>
        </w:rPr>
      </w:pPr>
      <w:r>
        <w:rPr>
          <w:rFonts w:ascii="Times New Roman" w:cs="Times New Roman" w:eastAsia="Times New Roman" w:hAnsi="Times New Roman"/>
          <w:sz w:val="18"/>
          <w:szCs w:val="18"/>
          <w:b w:val="1"/>
          <w:bCs w:val="1"/>
          <w:color w:val="auto"/>
        </w:rPr>
        <w:t>Pay-Versus-Performance Table</w:t>
      </w:r>
    </w:p>
    <w:p>
      <w:pPr>
        <w:spacing w:after="0" w:line="121" w:lineRule="exact"/>
        <w:rPr>
          <w:sz w:val="20"/>
          <w:szCs w:val="20"/>
          <w:color w:val="auto"/>
        </w:rPr>
      </w:pPr>
    </w:p>
    <w:p>
      <w:pPr>
        <w:ind w:left="4" w:right="500"/>
        <w:spacing w:after="0" w:line="281"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the section titled “Executive Compensation–Compensation Discussion and Analysis.”</w:t>
      </w:r>
    </w:p>
    <w:p>
      <w:pPr>
        <w:sectPr>
          <w:pgSz w:w="11900" w:h="16838" w:orient="portrait"/>
          <w:cols w:equalWidth="0" w:num="1">
            <w:col w:w="11024"/>
          </w:cols>
          <w:pgMar w:left="436"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1"/>
          <w:szCs w:val="11"/>
          <w:b w:val="1"/>
          <w:bCs w:val="1"/>
          <w:color w:val="auto"/>
        </w:rPr>
        <w:t>Year</w:t>
      </w:r>
      <w:r>
        <w:rPr>
          <w:rFonts w:ascii="Times New Roman" w:cs="Times New Roman" w:eastAsia="Times New Roman" w:hAnsi="Times New Roman"/>
          <w:sz w:val="13"/>
          <w:szCs w:val="13"/>
          <w:b w:val="1"/>
          <w:bCs w:val="1"/>
          <w:color w:val="auto"/>
          <w:vertAlign w:val="superscript"/>
        </w:rPr>
        <w:t>(1)</w:t>
      </w:r>
    </w:p>
    <w:p>
      <w:pPr>
        <w:ind w:left="4"/>
        <w:spacing w:after="0" w:line="236" w:lineRule="auto"/>
        <w:rPr>
          <w:sz w:val="20"/>
          <w:szCs w:val="20"/>
          <w:color w:val="auto"/>
        </w:rPr>
      </w:pPr>
      <w:r>
        <w:rPr>
          <w:rFonts w:ascii="Times New Roman" w:cs="Times New Roman" w:eastAsia="Times New Roman" w:hAnsi="Times New Roman"/>
          <w:sz w:val="13"/>
          <w:szCs w:val="13"/>
          <w:b w:val="1"/>
          <w:bCs w:val="1"/>
          <w:u w:val="single" w:color="auto"/>
          <w:color w:val="auto"/>
        </w:rPr>
        <w:t>(a)</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2022</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2021</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Summary Compensation</w:t>
            </w:r>
          </w:p>
        </w:tc>
        <w:tc>
          <w:tcPr>
            <w:tcW w:w="2060" w:type="dxa"/>
            <w:vAlign w:val="bottom"/>
            <w:gridSpan w:val="3"/>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Compensation Actually</w:t>
            </w:r>
          </w:p>
        </w:tc>
        <w:tc>
          <w:tcPr>
            <w:tcW w:w="2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Value of Initial Fixed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0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3"/>
                <w:szCs w:val="13"/>
                <w:b w:val="1"/>
                <w:bCs w:val="1"/>
                <w:color w:val="auto"/>
                <w:w w:val="93"/>
              </w:rPr>
              <w:t>Table Total for PEO</w:t>
            </w:r>
            <w:r>
              <w:rPr>
                <w:rFonts w:ascii="Times New Roman" w:cs="Times New Roman" w:eastAsia="Times New Roman" w:hAnsi="Times New Roman"/>
                <w:sz w:val="15"/>
                <w:szCs w:val="15"/>
                <w:b w:val="1"/>
                <w:bCs w:val="1"/>
                <w:color w:val="auto"/>
                <w:w w:val="93"/>
                <w:vertAlign w:val="superscript"/>
              </w:rPr>
              <w:t>(2)</w:t>
            </w:r>
          </w:p>
        </w:tc>
        <w:tc>
          <w:tcPr>
            <w:tcW w:w="2060" w:type="dxa"/>
            <w:vAlign w:val="bottom"/>
            <w:gridSpan w:val="3"/>
          </w:tcPr>
          <w:p>
            <w:pPr>
              <w:jc w:val="right"/>
              <w:ind w:right="574"/>
              <w:spacing w:after="0" w:line="149" w:lineRule="exact"/>
              <w:rPr>
                <w:sz w:val="20"/>
                <w:szCs w:val="20"/>
                <w:color w:val="auto"/>
              </w:rPr>
            </w:pPr>
            <w:r>
              <w:rPr>
                <w:rFonts w:ascii="Times New Roman" w:cs="Times New Roman" w:eastAsia="Times New Roman" w:hAnsi="Times New Roman"/>
                <w:sz w:val="13"/>
                <w:szCs w:val="13"/>
                <w:b w:val="1"/>
                <w:bCs w:val="1"/>
                <w:color w:val="auto"/>
              </w:rPr>
              <w:t>Paid to PEO</w:t>
            </w:r>
            <w:r>
              <w:rPr>
                <w:rFonts w:ascii="Times New Roman" w:cs="Times New Roman" w:eastAsia="Times New Roman" w:hAnsi="Times New Roman"/>
                <w:sz w:val="15"/>
                <w:szCs w:val="15"/>
                <w:b w:val="1"/>
                <w:bCs w:val="1"/>
                <w:color w:val="auto"/>
                <w:vertAlign w:val="superscript"/>
              </w:rPr>
              <w:t>(3)</w:t>
            </w:r>
          </w:p>
        </w:tc>
        <w:tc>
          <w:tcPr>
            <w:tcW w:w="2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$100 Investment Based on:</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08"/>
        </w:trPr>
        <w:tc>
          <w:tcPr>
            <w:tcW w:w="8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1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8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Relative</w:t>
            </w:r>
          </w:p>
        </w:tc>
      </w:tr>
      <w:tr>
        <w:trPr>
          <w:trHeight w:val="135"/>
        </w:trPr>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2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r>
      <w:tr>
        <w:trPr>
          <w:trHeight w:val="135"/>
        </w:trPr>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Musslewhite</w:t>
            </w:r>
            <w:r>
              <w:rPr>
                <w:rFonts w:ascii="Times New Roman" w:cs="Times New Roman" w:eastAsia="Times New Roman" w:hAnsi="Times New Roman"/>
                <w:sz w:val="15"/>
                <w:szCs w:val="15"/>
                <w:b w:val="1"/>
                <w:bCs w:val="1"/>
                <w:color w:val="auto"/>
                <w:w w:val="93"/>
                <w:vertAlign w:val="superscript"/>
              </w:rPr>
              <w:t>(2)</w:t>
            </w: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Krantz</w:t>
            </w:r>
            <w:r>
              <w:rPr>
                <w:rFonts w:ascii="Times New Roman" w:cs="Times New Roman" w:eastAsia="Times New Roman" w:hAnsi="Times New Roman"/>
                <w:sz w:val="15"/>
                <w:szCs w:val="15"/>
                <w:b w:val="1"/>
                <w:bCs w:val="1"/>
                <w:color w:val="auto"/>
                <w:w w:val="93"/>
                <w:vertAlign w:val="superscript"/>
              </w:rPr>
              <w:t>(2)</w:t>
            </w: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Musslewhite</w:t>
            </w:r>
            <w:r>
              <w:rPr>
                <w:rFonts w:ascii="Times New Roman" w:cs="Times New Roman" w:eastAsia="Times New Roman" w:hAnsi="Times New Roman"/>
                <w:sz w:val="15"/>
                <w:szCs w:val="15"/>
                <w:b w:val="1"/>
                <w:bCs w:val="1"/>
                <w:color w:val="auto"/>
                <w:w w:val="93"/>
                <w:vertAlign w:val="superscript"/>
              </w:rPr>
              <w:t>(3)</w:t>
            </w:r>
          </w:p>
        </w:tc>
        <w:tc>
          <w:tcPr>
            <w:tcW w:w="960" w:type="dxa"/>
            <w:vAlign w:val="bottom"/>
          </w:tcPr>
          <w:p>
            <w:pPr>
              <w:jc w:val="right"/>
              <w:ind w:right="174"/>
              <w:spacing w:after="0" w:line="135" w:lineRule="exact"/>
              <w:rPr>
                <w:sz w:val="20"/>
                <w:szCs w:val="20"/>
                <w:color w:val="auto"/>
              </w:rPr>
            </w:pPr>
            <w:r>
              <w:rPr>
                <w:rFonts w:ascii="Times New Roman" w:cs="Times New Roman" w:eastAsia="Times New Roman" w:hAnsi="Times New Roman"/>
                <w:sz w:val="13"/>
                <w:szCs w:val="13"/>
                <w:b w:val="1"/>
                <w:bCs w:val="1"/>
                <w:color w:val="auto"/>
              </w:rPr>
              <w:t>Krantz</w:t>
            </w:r>
            <w:r>
              <w:rPr>
                <w:rFonts w:ascii="Times New Roman" w:cs="Times New Roman" w:eastAsia="Times New Roman" w:hAnsi="Times New Roman"/>
                <w:sz w:val="15"/>
                <w:szCs w:val="15"/>
                <w:b w:val="1"/>
                <w:bCs w:val="1"/>
                <w:color w:val="auto"/>
                <w:vertAlign w:val="superscript"/>
              </w:rPr>
              <w:t>(3)</w:t>
            </w: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88"/>
              </w:rPr>
              <w:t>NEOs</w:t>
            </w:r>
            <w:r>
              <w:rPr>
                <w:rFonts w:ascii="Times New Roman" w:cs="Times New Roman" w:eastAsia="Times New Roman" w:hAnsi="Times New Roman"/>
                <w:sz w:val="15"/>
                <w:szCs w:val="15"/>
                <w:b w:val="1"/>
                <w:bCs w:val="1"/>
                <w:color w:val="auto"/>
                <w:w w:val="88"/>
                <w:vertAlign w:val="superscript"/>
              </w:rPr>
              <w:t>(4)</w:t>
            </w: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88"/>
              </w:rPr>
              <w:t>NEOs</w:t>
            </w:r>
            <w:r>
              <w:rPr>
                <w:rFonts w:ascii="Times New Roman" w:cs="Times New Roman" w:eastAsia="Times New Roman" w:hAnsi="Times New Roman"/>
                <w:sz w:val="15"/>
                <w:szCs w:val="15"/>
                <w:b w:val="1"/>
                <w:bCs w:val="1"/>
                <w:color w:val="auto"/>
                <w:w w:val="88"/>
                <w:vertAlign w:val="superscript"/>
              </w:rPr>
              <w:t>(5)</w:t>
            </w: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Return</w:t>
            </w:r>
            <w:r>
              <w:rPr>
                <w:rFonts w:ascii="Times New Roman" w:cs="Times New Roman" w:eastAsia="Times New Roman" w:hAnsi="Times New Roman"/>
                <w:sz w:val="15"/>
                <w:szCs w:val="15"/>
                <w:b w:val="1"/>
                <w:bCs w:val="1"/>
                <w:color w:val="auto"/>
                <w:w w:val="93"/>
                <w:vertAlign w:val="superscript"/>
              </w:rPr>
              <w:t>(6)</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Return</w:t>
            </w:r>
            <w:r>
              <w:rPr>
                <w:rFonts w:ascii="Times New Roman" w:cs="Times New Roman" w:eastAsia="Times New Roman" w:hAnsi="Times New Roman"/>
                <w:sz w:val="15"/>
                <w:szCs w:val="15"/>
                <w:b w:val="1"/>
                <w:bCs w:val="1"/>
                <w:color w:val="auto"/>
                <w:w w:val="93"/>
                <w:vertAlign w:val="superscript"/>
              </w:rPr>
              <w:t>(7)</w:t>
            </w:r>
          </w:p>
        </w:tc>
        <w:tc>
          <w:tcPr>
            <w:tcW w:w="2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(Millions)</w:t>
            </w:r>
            <w:r>
              <w:rPr>
                <w:rFonts w:ascii="Times New Roman" w:cs="Times New Roman" w:eastAsia="Times New Roman" w:hAnsi="Times New Roman"/>
                <w:sz w:val="15"/>
                <w:szCs w:val="15"/>
                <w:b w:val="1"/>
                <w:bCs w:val="1"/>
                <w:color w:val="auto"/>
                <w:w w:val="94"/>
                <w:vertAlign w:val="superscript"/>
              </w:rPr>
              <w:t>(8)</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Return</w:t>
            </w:r>
            <w:r>
              <w:rPr>
                <w:rFonts w:ascii="Times New Roman" w:cs="Times New Roman" w:eastAsia="Times New Roman" w:hAnsi="Times New Roman"/>
                <w:sz w:val="15"/>
                <w:szCs w:val="15"/>
                <w:b w:val="1"/>
                <w:bCs w:val="1"/>
                <w:color w:val="auto"/>
                <w:w w:val="93"/>
                <w:vertAlign w:val="superscript"/>
              </w:rPr>
              <w:t>(9)</w:t>
            </w:r>
          </w:p>
        </w:tc>
      </w:tr>
      <w:tr>
        <w:trPr>
          <w:trHeight w:val="155"/>
        </w:trPr>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(b)</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w:t>
            </w:r>
          </w:p>
        </w:tc>
        <w:tc>
          <w:tcPr>
            <w:tcW w:w="2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2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(h)</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w:t>
            </w:r>
          </w:p>
        </w:tc>
      </w:tr>
      <w:tr>
        <w:trPr>
          <w:trHeight w:val="119"/>
        </w:trPr>
        <w:tc>
          <w:tcPr>
            <w:tcW w:w="880" w:type="dxa"/>
            <w:vAlign w:val="bottom"/>
            <w:tcBorders>
              <w:top w:val="single" w:sz="8" w:color="auto"/>
            </w:tcBorders>
          </w:tcPr>
          <w:p>
            <w:pPr>
              <w:jc w:val="right"/>
              <w:ind w:right="15"/>
              <w:spacing w:after="0" w:line="119" w:lineRule="exact"/>
              <w:rPr>
                <w:sz w:val="20"/>
                <w:szCs w:val="20"/>
                <w:color w:val="auto"/>
              </w:rPr>
            </w:pPr>
            <w:r>
              <w:rPr>
                <w:rFonts w:ascii="Times New Roman" w:cs="Times New Roman" w:eastAsia="Times New Roman" w:hAnsi="Times New Roman"/>
                <w:sz w:val="13"/>
                <w:szCs w:val="13"/>
                <w:color w:val="auto"/>
              </w:rPr>
              <w:t>$17,540,044</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right"/>
              <w:ind w:right="34"/>
              <w:spacing w:after="0" w:line="119" w:lineRule="exact"/>
              <w:rPr>
                <w:sz w:val="20"/>
                <w:szCs w:val="20"/>
                <w:color w:val="auto"/>
              </w:rPr>
            </w:pPr>
            <w:r>
              <w:rPr>
                <w:rFonts w:ascii="Times New Roman" w:cs="Times New Roman" w:eastAsia="Times New Roman" w:hAnsi="Times New Roman"/>
                <w:sz w:val="13"/>
                <w:szCs w:val="13"/>
                <w:color w:val="auto"/>
              </w:rPr>
              <w:t>$820,925</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ind w:right="15"/>
              <w:spacing w:after="0" w:line="119" w:lineRule="exact"/>
              <w:rPr>
                <w:sz w:val="20"/>
                <w:szCs w:val="20"/>
                <w:color w:val="auto"/>
              </w:rPr>
            </w:pPr>
            <w:r>
              <w:rPr>
                <w:rFonts w:ascii="Times New Roman" w:cs="Times New Roman" w:eastAsia="Times New Roman" w:hAnsi="Times New Roman"/>
                <w:sz w:val="13"/>
                <w:szCs w:val="13"/>
                <w:color w:val="auto"/>
              </w:rPr>
              <w:t>$(4,395,156)</w:t>
            </w:r>
          </w:p>
        </w:tc>
        <w:tc>
          <w:tcPr>
            <w:tcW w:w="200" w:type="dxa"/>
            <w:vAlign w:val="bottom"/>
          </w:tcPr>
          <w:p>
            <w:pPr>
              <w:spacing w:after="0"/>
              <w:rPr>
                <w:sz w:val="10"/>
                <w:szCs w:val="10"/>
                <w:color w:val="auto"/>
              </w:rPr>
            </w:pPr>
          </w:p>
        </w:tc>
        <w:tc>
          <w:tcPr>
            <w:tcW w:w="960" w:type="dxa"/>
            <w:vAlign w:val="bottom"/>
            <w:tcBorders>
              <w:top w:val="single" w:sz="8" w:color="auto"/>
            </w:tcBorders>
          </w:tcPr>
          <w:p>
            <w:pPr>
              <w:jc w:val="right"/>
              <w:ind w:right="14"/>
              <w:spacing w:after="0" w:line="119" w:lineRule="exact"/>
              <w:rPr>
                <w:sz w:val="20"/>
                <w:szCs w:val="20"/>
                <w:color w:val="auto"/>
              </w:rPr>
            </w:pPr>
            <w:r>
              <w:rPr>
                <w:rFonts w:ascii="Times New Roman" w:cs="Times New Roman" w:eastAsia="Times New Roman" w:hAnsi="Times New Roman"/>
                <w:sz w:val="13"/>
                <w:szCs w:val="13"/>
                <w:color w:val="auto"/>
              </w:rPr>
              <w:t>$(10,363,542)</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ind w:right="77"/>
              <w:spacing w:after="0" w:line="119" w:lineRule="exact"/>
              <w:rPr>
                <w:sz w:val="20"/>
                <w:szCs w:val="20"/>
                <w:color w:val="auto"/>
              </w:rPr>
            </w:pPr>
            <w:r>
              <w:rPr>
                <w:rFonts w:ascii="Times New Roman" w:cs="Times New Roman" w:eastAsia="Times New Roman" w:hAnsi="Times New Roman"/>
                <w:sz w:val="13"/>
                <w:szCs w:val="13"/>
                <w:color w:val="auto"/>
              </w:rPr>
              <w:t>$2,386,881</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ind w:right="16"/>
              <w:spacing w:after="0" w:line="119" w:lineRule="exact"/>
              <w:rPr>
                <w:sz w:val="20"/>
                <w:szCs w:val="20"/>
                <w:color w:val="auto"/>
              </w:rPr>
            </w:pPr>
            <w:r>
              <w:rPr>
                <w:rFonts w:ascii="Times New Roman" w:cs="Times New Roman" w:eastAsia="Times New Roman" w:hAnsi="Times New Roman"/>
                <w:sz w:val="13"/>
                <w:szCs w:val="13"/>
                <w:color w:val="auto"/>
              </w:rPr>
              <w:t>$(1,943,290)</w:t>
            </w:r>
          </w:p>
        </w:tc>
        <w:tc>
          <w:tcPr>
            <w:tcW w:w="2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$25.38</w:t>
            </w:r>
          </w:p>
        </w:tc>
        <w:tc>
          <w:tcPr>
            <w:tcW w:w="2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$44.79</w:t>
            </w:r>
          </w:p>
        </w:tc>
        <w:tc>
          <w:tcPr>
            <w:tcW w:w="22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$(22.3)</w:t>
            </w:r>
          </w:p>
        </w:tc>
        <w:tc>
          <w:tcPr>
            <w:tcW w:w="2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53</w:t>
            </w:r>
            <w:r>
              <w:rPr>
                <w:rFonts w:ascii="Times New Roman" w:cs="Times New Roman" w:eastAsia="Times New Roman" w:hAnsi="Times New Roman"/>
                <w:sz w:val="8"/>
                <w:szCs w:val="8"/>
                <w:color w:val="auto"/>
              </w:rPr>
              <w:t>rd</w:t>
            </w:r>
          </w:p>
        </w:tc>
      </w:tr>
      <w:tr>
        <w:trPr>
          <w:trHeight w:val="162"/>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Percentile</w:t>
            </w:r>
          </w:p>
        </w:tc>
      </w:tr>
      <w:tr>
        <w:trPr>
          <w:trHeight w:val="148"/>
        </w:trPr>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(10)</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$5,953,030</w:t>
            </w:r>
          </w:p>
        </w:tc>
        <w:tc>
          <w:tcPr>
            <w:tcW w:w="2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7"/>
              </w:rPr>
              <w:t xml:space="preserve">— </w:t>
            </w:r>
            <w:r>
              <w:rPr>
                <w:rFonts w:ascii="Times New Roman" w:cs="Times New Roman" w:eastAsia="Times New Roman" w:hAnsi="Times New Roman"/>
                <w:sz w:val="8"/>
                <w:szCs w:val="8"/>
                <w:color w:val="auto"/>
                <w:w w:val="97"/>
              </w:rPr>
              <w:t>(10)</w:t>
            </w:r>
          </w:p>
        </w:tc>
        <w:tc>
          <w:tcPr>
            <w:tcW w:w="960" w:type="dxa"/>
            <w:vAlign w:val="bottom"/>
          </w:tcPr>
          <w:p>
            <w:pPr>
              <w:jc w:val="right"/>
              <w:ind w:right="54"/>
              <w:spacing w:after="0" w:line="149" w:lineRule="exact"/>
              <w:rPr>
                <w:sz w:val="20"/>
                <w:szCs w:val="20"/>
                <w:color w:val="auto"/>
              </w:rPr>
            </w:pPr>
            <w:r>
              <w:rPr>
                <w:rFonts w:ascii="Times New Roman" w:cs="Times New Roman" w:eastAsia="Times New Roman" w:hAnsi="Times New Roman"/>
                <w:sz w:val="14"/>
                <w:szCs w:val="14"/>
                <w:color w:val="auto"/>
              </w:rPr>
              <w:t>$13,840,653</w:t>
            </w:r>
          </w:p>
        </w:tc>
        <w:tc>
          <w:tcPr>
            <w:tcW w:w="1120" w:type="dxa"/>
            <w:vAlign w:val="bottom"/>
            <w:gridSpan w:val="2"/>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$16,101,545</w:t>
            </w:r>
          </w:p>
        </w:tc>
        <w:tc>
          <w:tcPr>
            <w:tcW w:w="220" w:type="dxa"/>
            <w:vAlign w:val="bottom"/>
          </w:tcPr>
          <w:p>
            <w:pPr>
              <w:spacing w:after="0"/>
              <w:rPr>
                <w:sz w:val="12"/>
                <w:szCs w:val="12"/>
                <w:color w:val="auto"/>
              </w:rPr>
            </w:pPr>
          </w:p>
        </w:tc>
        <w:tc>
          <w:tcPr>
            <w:tcW w:w="90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$18,839,018</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$63.13</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$80.13</w:t>
            </w:r>
          </w:p>
        </w:tc>
        <w:tc>
          <w:tcPr>
            <w:tcW w:w="9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21</w:t>
            </w:r>
            <w:r>
              <w:rPr>
                <w:rFonts w:ascii="Times New Roman" w:cs="Times New Roman" w:eastAsia="Times New Roman" w:hAnsi="Times New Roman"/>
                <w:sz w:val="8"/>
                <w:szCs w:val="8"/>
                <w:color w:val="auto"/>
              </w:rPr>
              <w:t>st</w:t>
            </w:r>
          </w:p>
        </w:tc>
      </w:tr>
      <w:tr>
        <w:trPr>
          <w:trHeight w:val="188"/>
        </w:trPr>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-404495</wp:posOffset>
            </wp:positionV>
            <wp:extent cx="699516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 w:space="280"/>
            <w:col w:w="10400"/>
          </w:cols>
          <w:pgMar w:left="436" w:top="117" w:right="439" w:bottom="1440" w:gutter="0" w:footer="0" w:header="0"/>
          <w:type w:val="continuous"/>
        </w:sectPr>
      </w:pPr>
    </w:p>
    <w:p>
      <w:pPr>
        <w:spacing w:after="0" w:line="17" w:lineRule="exact"/>
        <w:rPr>
          <w:sz w:val="20"/>
          <w:szCs w:val="20"/>
          <w:color w:val="auto"/>
        </w:rPr>
      </w:pPr>
    </w:p>
    <w:p>
      <w:pPr>
        <w:ind w:left="424" w:right="280" w:hanging="424"/>
        <w:spacing w:after="0" w:line="233" w:lineRule="auto"/>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not a reporting company pursuant to Section 13(a) or Section 15(d) of the Exchange Act prior to 2021, and as such, we have not included any information in this table for 2020.</w:t>
      </w:r>
    </w:p>
    <w:p>
      <w:pPr>
        <w:ind w:left="424" w:right="40" w:hanging="424"/>
        <w:spacing w:after="0" w:line="221" w:lineRule="auto"/>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are the amounts of total compensation reported for Messrs. Musslewhite and Krantz (each of whom served as Chief Executive Officer during fiscal year 2022) for each corresponding year in the “Total” column of the Summary Compensation Table. Refer to “Executive Compensation Tables—Summary Compensation Table.” Mr. Musslewhite joined the Company in October 2021 as President and was appointed Chief Executive Officer effective August 1, 2022.</w:t>
      </w:r>
    </w:p>
    <w:p>
      <w:pPr>
        <w:ind w:left="424" w:right="40" w:hanging="424"/>
        <w:spacing w:after="0" w:line="230" w:lineRule="auto"/>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(c) represent the amount of “compensation actually paid” to Messrs. Musslewhite and Krantz, respectively, as computed in accordance with Item 402(v) of Regulation S-K. The dollar amounts do not reflect the actual amount of compensation earned by or paid to, in the case of 2022, Messrs. Musslewhite and Krantz, and in the case of 2021, Mr. Krantz. In accordance with the requirements of Item 402(v) of Regulation S-K, the following adjustments were made to Messrs. Musslewhite and Krantz’s respective total compensation to determine the compensation actually paid in the applicable year:</w:t>
      </w:r>
    </w:p>
    <w:p>
      <w:pPr>
        <w:spacing w:after="0" w:line="189"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30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8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30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00" w:type="dxa"/>
            <w:vAlign w:val="bottom"/>
            <w:gridSpan w:val="2"/>
            <w:vMerge w:val="continue"/>
          </w:tcPr>
          <w:p>
            <w:pPr>
              <w:spacing w:after="0"/>
              <w:rPr>
                <w:sz w:val="15"/>
                <w:szCs w:val="15"/>
                <w:color w:val="auto"/>
              </w:rPr>
            </w:pPr>
          </w:p>
        </w:tc>
        <w:tc>
          <w:tcPr>
            <w:tcW w:w="200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Total for PEO</w:t>
            </w:r>
          </w:p>
        </w:tc>
        <w:tc>
          <w:tcPr>
            <w:tcW w:w="230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Value of Equity Awards</w:t>
            </w:r>
            <w:r>
              <w:rPr>
                <w:rFonts w:ascii="Times New Roman" w:cs="Times New Roman" w:eastAsia="Times New Roman" w:hAnsi="Times New Roman"/>
                <w:sz w:val="8"/>
                <w:szCs w:val="8"/>
                <w:b w:val="1"/>
                <w:bCs w:val="1"/>
                <w:color w:val="auto"/>
              </w:rPr>
              <w:t>(a)</w:t>
            </w:r>
          </w:p>
        </w:tc>
        <w:tc>
          <w:tcPr>
            <w:tcW w:w="208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Award Adjustments</w:t>
            </w:r>
            <w:r>
              <w:rPr>
                <w:rFonts w:ascii="Times New Roman" w:cs="Times New Roman" w:eastAsia="Times New Roman" w:hAnsi="Times New Roman"/>
                <w:sz w:val="8"/>
                <w:szCs w:val="8"/>
                <w:b w:val="1"/>
                <w:bCs w:val="1"/>
                <w:color w:val="auto"/>
              </w:rPr>
              <w:t>(b)</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99"/>
        </w:trPr>
        <w:tc>
          <w:tcPr>
            <w:tcW w:w="300" w:type="dxa"/>
            <w:vAlign w:val="bottom"/>
            <w:tcBorders>
              <w:top w:val="single" w:sz="8" w:color="auto"/>
            </w:tcBorders>
            <w:shd w:val="clear" w:color="auto" w:fill="E7ECFC"/>
          </w:tcPr>
          <w:p>
            <w:pPr>
              <w:spacing w:after="0" w:line="100" w:lineRule="exact"/>
              <w:rPr>
                <w:sz w:val="20"/>
                <w:szCs w:val="20"/>
                <w:color w:val="auto"/>
              </w:rPr>
            </w:pPr>
            <w:r>
              <w:rPr>
                <w:rFonts w:ascii="Times New Roman" w:cs="Times New Roman" w:eastAsia="Times New Roman" w:hAnsi="Times New Roman"/>
                <w:sz w:val="11"/>
                <w:szCs w:val="11"/>
                <w:color w:val="auto"/>
                <w:w w:val="93"/>
              </w:rPr>
              <w:t>Robert</w:t>
            </w:r>
          </w:p>
        </w:tc>
        <w:tc>
          <w:tcPr>
            <w:tcW w:w="2000" w:type="dxa"/>
            <w:vAlign w:val="bottom"/>
            <w:tcBorders>
              <w:top w:val="single" w:sz="8" w:color="E7ECFC"/>
            </w:tcBorders>
            <w:shd w:val="clear" w:color="auto" w:fill="E7ECFC"/>
          </w:tcPr>
          <w:p>
            <w:pPr>
              <w:ind w:left="120"/>
              <w:spacing w:after="0" w:line="100" w:lineRule="exact"/>
              <w:rPr>
                <w:sz w:val="20"/>
                <w:szCs w:val="20"/>
                <w:color w:val="auto"/>
              </w:rPr>
            </w:pPr>
            <w:r>
              <w:rPr>
                <w:rFonts w:ascii="Times New Roman" w:cs="Times New Roman" w:eastAsia="Times New Roman" w:hAnsi="Times New Roman"/>
                <w:sz w:val="11"/>
                <w:szCs w:val="11"/>
                <w:color w:val="auto"/>
              </w:rPr>
              <w:t>Musslewhite</w:t>
            </w:r>
          </w:p>
        </w:tc>
        <w:tc>
          <w:tcPr>
            <w:tcW w:w="1280" w:type="dxa"/>
            <w:vAlign w:val="bottom"/>
            <w:tcBorders>
              <w:top w:val="single" w:sz="8" w:color="auto"/>
            </w:tcBorders>
            <w:vMerge w:val="restart"/>
            <w:shd w:val="clear" w:color="auto" w:fill="E7ECFC"/>
          </w:tcPr>
          <w:p>
            <w:pPr>
              <w:jc w:val="center"/>
              <w:spacing w:after="0"/>
              <w:rPr>
                <w:sz w:val="20"/>
                <w:szCs w:val="20"/>
                <w:color w:val="auto"/>
              </w:rPr>
            </w:pPr>
            <w:r>
              <w:rPr>
                <w:rFonts w:ascii="Times New Roman" w:cs="Times New Roman" w:eastAsia="Times New Roman" w:hAnsi="Times New Roman"/>
                <w:sz w:val="14"/>
                <w:szCs w:val="14"/>
                <w:color w:val="auto"/>
              </w:rPr>
              <w:t>$17,540,044</w:t>
            </w:r>
          </w:p>
        </w:tc>
        <w:tc>
          <w:tcPr>
            <w:tcW w:w="720" w:type="dxa"/>
            <w:vAlign w:val="bottom"/>
            <w:tcBorders>
              <w:top w:val="single" w:sz="8" w:color="E7ECFC"/>
            </w:tcBorders>
            <w:shd w:val="clear" w:color="auto" w:fill="E7ECFC"/>
          </w:tcPr>
          <w:p>
            <w:pPr>
              <w:spacing w:after="0"/>
              <w:rPr>
                <w:sz w:val="8"/>
                <w:szCs w:val="8"/>
                <w:color w:val="auto"/>
              </w:rPr>
            </w:pPr>
          </w:p>
        </w:tc>
        <w:tc>
          <w:tcPr>
            <w:tcW w:w="1580" w:type="dxa"/>
            <w:vAlign w:val="bottom"/>
            <w:tcBorders>
              <w:top w:val="single" w:sz="8" w:color="auto"/>
            </w:tcBorders>
            <w:vMerge w:val="restart"/>
            <w:shd w:val="clear" w:color="auto" w:fill="E7ECFC"/>
          </w:tcPr>
          <w:p>
            <w:pPr>
              <w:jc w:val="right"/>
              <w:ind w:right="308"/>
              <w:spacing w:after="0"/>
              <w:rPr>
                <w:sz w:val="20"/>
                <w:szCs w:val="20"/>
                <w:color w:val="auto"/>
              </w:rPr>
            </w:pPr>
            <w:r>
              <w:rPr>
                <w:rFonts w:ascii="Times New Roman" w:cs="Times New Roman" w:eastAsia="Times New Roman" w:hAnsi="Times New Roman"/>
                <w:sz w:val="14"/>
                <w:szCs w:val="14"/>
                <w:color w:val="auto"/>
              </w:rPr>
              <w:t>$(16,830,969)</w:t>
            </w:r>
          </w:p>
        </w:tc>
        <w:tc>
          <w:tcPr>
            <w:tcW w:w="720" w:type="dxa"/>
            <w:vAlign w:val="bottom"/>
            <w:tcBorders>
              <w:top w:val="single" w:sz="8" w:color="E7ECFC"/>
            </w:tcBorders>
            <w:shd w:val="clear" w:color="auto" w:fill="E7ECFC"/>
          </w:tcPr>
          <w:p>
            <w:pPr>
              <w:spacing w:after="0"/>
              <w:rPr>
                <w:sz w:val="8"/>
                <w:szCs w:val="8"/>
                <w:color w:val="auto"/>
              </w:rPr>
            </w:pPr>
          </w:p>
        </w:tc>
        <w:tc>
          <w:tcPr>
            <w:tcW w:w="1340" w:type="dxa"/>
            <w:vAlign w:val="bottom"/>
            <w:tcBorders>
              <w:top w:val="single" w:sz="8" w:color="auto"/>
            </w:tcBorders>
            <w:vMerge w:val="restart"/>
            <w:shd w:val="clear" w:color="auto" w:fill="E7ECFC"/>
          </w:tcPr>
          <w:p>
            <w:pPr>
              <w:jc w:val="center"/>
              <w:spacing w:after="0"/>
              <w:rPr>
                <w:sz w:val="20"/>
                <w:szCs w:val="20"/>
                <w:color w:val="auto"/>
              </w:rPr>
            </w:pPr>
            <w:r>
              <w:rPr>
                <w:rFonts w:ascii="Times New Roman" w:cs="Times New Roman" w:eastAsia="Times New Roman" w:hAnsi="Times New Roman"/>
                <w:sz w:val="14"/>
                <w:szCs w:val="14"/>
                <w:color w:val="auto"/>
              </w:rPr>
              <w:t>$(5,104,231)</w:t>
            </w:r>
          </w:p>
        </w:tc>
        <w:tc>
          <w:tcPr>
            <w:tcW w:w="740" w:type="dxa"/>
            <w:vAlign w:val="bottom"/>
            <w:tcBorders>
              <w:top w:val="single" w:sz="8" w:color="E7ECFC"/>
            </w:tcBorders>
            <w:shd w:val="clear" w:color="auto" w:fill="E7ECFC"/>
          </w:tcPr>
          <w:p>
            <w:pPr>
              <w:spacing w:after="0"/>
              <w:rPr>
                <w:sz w:val="8"/>
                <w:szCs w:val="8"/>
                <w:color w:val="auto"/>
              </w:rPr>
            </w:pPr>
          </w:p>
        </w:tc>
        <w:tc>
          <w:tcPr>
            <w:tcW w:w="1440" w:type="dxa"/>
            <w:vAlign w:val="bottom"/>
            <w:tcBorders>
              <w:top w:val="single" w:sz="8" w:color="auto"/>
            </w:tcBorders>
            <w:vMerge w:val="restart"/>
            <w:shd w:val="clear" w:color="auto" w:fill="E7ECFC"/>
          </w:tcPr>
          <w:p>
            <w:pPr>
              <w:jc w:val="center"/>
              <w:spacing w:after="0"/>
              <w:rPr>
                <w:sz w:val="20"/>
                <w:szCs w:val="20"/>
                <w:color w:val="auto"/>
              </w:rPr>
            </w:pPr>
            <w:r>
              <w:rPr>
                <w:rFonts w:ascii="Times New Roman" w:cs="Times New Roman" w:eastAsia="Times New Roman" w:hAnsi="Times New Roman"/>
                <w:sz w:val="14"/>
                <w:szCs w:val="14"/>
                <w:color w:val="auto"/>
              </w:rPr>
              <w:t>$(4,395,156)</w:t>
            </w:r>
          </w:p>
        </w:tc>
        <w:tc>
          <w:tcPr>
            <w:tcW w:w="0" w:type="dxa"/>
            <w:vAlign w:val="bottom"/>
          </w:tcPr>
          <w:p>
            <w:pPr>
              <w:spacing w:after="0"/>
              <w:rPr>
                <w:sz w:val="1"/>
                <w:szCs w:val="1"/>
                <w:color w:val="auto"/>
              </w:rPr>
            </w:pPr>
          </w:p>
        </w:tc>
      </w:tr>
      <w:tr>
        <w:trPr>
          <w:trHeight w:val="171"/>
        </w:trPr>
        <w:tc>
          <w:tcPr>
            <w:tcW w:w="300" w:type="dxa"/>
            <w:vAlign w:val="bottom"/>
            <w:shd w:val="clear" w:color="auto" w:fill="E7ECFC"/>
          </w:tcPr>
          <w:p>
            <w:pPr>
              <w:spacing w:after="0"/>
              <w:rPr>
                <w:sz w:val="20"/>
                <w:szCs w:val="20"/>
                <w:color w:val="auto"/>
              </w:rPr>
            </w:pPr>
            <w:r>
              <w:rPr>
                <w:rFonts w:ascii="Times New Roman" w:cs="Times New Roman" w:eastAsia="Times New Roman" w:hAnsi="Times New Roman"/>
                <w:sz w:val="14"/>
                <w:szCs w:val="14"/>
                <w:color w:val="auto"/>
                <w:w w:val="99"/>
              </w:rPr>
              <w:t>2022</w:t>
            </w:r>
          </w:p>
        </w:tc>
        <w:tc>
          <w:tcPr>
            <w:tcW w:w="2000" w:type="dxa"/>
            <w:vAlign w:val="bottom"/>
            <w:shd w:val="clear" w:color="auto" w:fill="E7ECFC"/>
          </w:tcPr>
          <w:p>
            <w:pPr>
              <w:spacing w:after="0"/>
              <w:rPr>
                <w:sz w:val="14"/>
                <w:szCs w:val="14"/>
                <w:color w:val="auto"/>
              </w:rPr>
            </w:pPr>
          </w:p>
        </w:tc>
        <w:tc>
          <w:tcPr>
            <w:tcW w:w="1280" w:type="dxa"/>
            <w:vAlign w:val="bottom"/>
            <w:vMerge w:val="continue"/>
            <w:shd w:val="clear" w:color="auto" w:fill="E7ECFC"/>
          </w:tcPr>
          <w:p>
            <w:pPr>
              <w:spacing w:after="0"/>
              <w:rPr>
                <w:sz w:val="14"/>
                <w:szCs w:val="14"/>
                <w:color w:val="auto"/>
              </w:rPr>
            </w:pPr>
          </w:p>
        </w:tc>
        <w:tc>
          <w:tcPr>
            <w:tcW w:w="720" w:type="dxa"/>
            <w:vAlign w:val="bottom"/>
            <w:shd w:val="clear" w:color="auto" w:fill="E7ECFC"/>
          </w:tcPr>
          <w:p>
            <w:pPr>
              <w:spacing w:after="0"/>
              <w:rPr>
                <w:sz w:val="14"/>
                <w:szCs w:val="14"/>
                <w:color w:val="auto"/>
              </w:rPr>
            </w:pPr>
          </w:p>
        </w:tc>
        <w:tc>
          <w:tcPr>
            <w:tcW w:w="1580" w:type="dxa"/>
            <w:vAlign w:val="bottom"/>
            <w:vMerge w:val="continue"/>
            <w:shd w:val="clear" w:color="auto" w:fill="E7ECFC"/>
          </w:tcPr>
          <w:p>
            <w:pPr>
              <w:spacing w:after="0"/>
              <w:rPr>
                <w:sz w:val="14"/>
                <w:szCs w:val="14"/>
                <w:color w:val="auto"/>
              </w:rPr>
            </w:pPr>
          </w:p>
        </w:tc>
        <w:tc>
          <w:tcPr>
            <w:tcW w:w="720" w:type="dxa"/>
            <w:vAlign w:val="bottom"/>
            <w:shd w:val="clear" w:color="auto" w:fill="E7ECFC"/>
          </w:tcPr>
          <w:p>
            <w:pPr>
              <w:spacing w:after="0"/>
              <w:rPr>
                <w:sz w:val="14"/>
                <w:szCs w:val="14"/>
                <w:color w:val="auto"/>
              </w:rPr>
            </w:pPr>
          </w:p>
        </w:tc>
        <w:tc>
          <w:tcPr>
            <w:tcW w:w="1340" w:type="dxa"/>
            <w:vAlign w:val="bottom"/>
            <w:vMerge w:val="continue"/>
            <w:shd w:val="clear" w:color="auto" w:fill="E7ECFC"/>
          </w:tcPr>
          <w:p>
            <w:pPr>
              <w:spacing w:after="0"/>
              <w:rPr>
                <w:sz w:val="14"/>
                <w:szCs w:val="14"/>
                <w:color w:val="auto"/>
              </w:rPr>
            </w:pPr>
          </w:p>
        </w:tc>
        <w:tc>
          <w:tcPr>
            <w:tcW w:w="740" w:type="dxa"/>
            <w:vAlign w:val="bottom"/>
            <w:shd w:val="clear" w:color="auto" w:fill="E7ECFC"/>
          </w:tcPr>
          <w:p>
            <w:pPr>
              <w:spacing w:after="0"/>
              <w:rPr>
                <w:sz w:val="14"/>
                <w:szCs w:val="14"/>
                <w:color w:val="auto"/>
              </w:rPr>
            </w:pPr>
          </w:p>
        </w:tc>
        <w:tc>
          <w:tcPr>
            <w:tcW w:w="1440" w:type="dxa"/>
            <w:vAlign w:val="bottom"/>
            <w:vMerge w:val="continue"/>
            <w:shd w:val="clear" w:color="auto" w:fill="E7EC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Jason Krantz</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$820,925</w:t>
            </w:r>
          </w:p>
        </w:tc>
        <w:tc>
          <w:tcPr>
            <w:tcW w:w="720" w:type="dxa"/>
            <w:vAlign w:val="bottom"/>
          </w:tcPr>
          <w:p>
            <w:pPr>
              <w:spacing w:after="0"/>
              <w:rPr>
                <w:sz w:val="10"/>
                <w:szCs w:val="10"/>
                <w:color w:val="auto"/>
              </w:rPr>
            </w:pPr>
          </w:p>
        </w:tc>
        <w:tc>
          <w:tcPr>
            <w:tcW w:w="2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$(11,184,467)</w:t>
            </w:r>
          </w:p>
        </w:tc>
        <w:tc>
          <w:tcPr>
            <w:tcW w:w="74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$(10,363,542)</w:t>
            </w:r>
          </w:p>
        </w:tc>
        <w:tc>
          <w:tcPr>
            <w:tcW w:w="0" w:type="dxa"/>
            <w:vAlign w:val="bottom"/>
          </w:tcPr>
          <w:p>
            <w:pPr>
              <w:spacing w:after="0"/>
              <w:rPr>
                <w:sz w:val="1"/>
                <w:szCs w:val="1"/>
                <w:color w:val="auto"/>
              </w:rPr>
            </w:pPr>
          </w:p>
        </w:tc>
      </w:tr>
      <w:tr>
        <w:trPr>
          <w:trHeight w:val="149"/>
        </w:trPr>
        <w:tc>
          <w:tcPr>
            <w:tcW w:w="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20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20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$5,953,030</w:t>
            </w:r>
          </w:p>
        </w:tc>
        <w:tc>
          <w:tcPr>
            <w:tcW w:w="720" w:type="dxa"/>
            <w:vAlign w:val="bottom"/>
          </w:tcPr>
          <w:p>
            <w:pPr>
              <w:spacing w:after="0"/>
              <w:rPr>
                <w:sz w:val="16"/>
                <w:szCs w:val="16"/>
                <w:color w:val="auto"/>
              </w:rPr>
            </w:pPr>
          </w:p>
        </w:tc>
        <w:tc>
          <w:tcPr>
            <w:tcW w:w="1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$(5,200,011)</w:t>
            </w:r>
          </w:p>
        </w:tc>
        <w:tc>
          <w:tcPr>
            <w:tcW w:w="7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$13,087,634</w:t>
            </w:r>
          </w:p>
        </w:tc>
        <w:tc>
          <w:tcPr>
            <w:tcW w:w="7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$13,840,653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24" w:hanging="424"/>
        <w:spacing w:after="0"/>
        <w:tabs>
          <w:tab w:leader="none" w:pos="42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represents the total of the amounts reported in the “Stock Awards” column in the Summary Compensation Table for the applicable year.</w:t>
      </w:r>
    </w:p>
    <w:p>
      <w:pPr>
        <w:spacing w:after="0" w:line="3" w:lineRule="exact"/>
        <w:rPr>
          <w:rFonts w:ascii="Times New Roman" w:cs="Times New Roman" w:eastAsia="Times New Roman" w:hAnsi="Times New Roman"/>
          <w:sz w:val="14"/>
          <w:szCs w:val="14"/>
          <w:color w:val="auto"/>
        </w:rPr>
      </w:pPr>
    </w:p>
    <w:p>
      <w:pPr>
        <w:ind w:left="424" w:right="120" w:hanging="424"/>
        <w:spacing w:after="0" w:line="227" w:lineRule="auto"/>
        <w:tabs>
          <w:tab w:leader="none" w:pos="42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w:t>
      </w:r>
    </w:p>
    <w:p>
      <w:pPr>
        <w:spacing w:after="0" w:line="11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117" w:right="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right="100"/>
        <w:spacing w:after="0" w:line="261" w:lineRule="auto"/>
        <w:rPr>
          <w:sz w:val="20"/>
          <w:szCs w:val="20"/>
          <w:color w:val="auto"/>
        </w:rPr>
      </w:pPr>
      <w:r>
        <w:rPr>
          <w:rFonts w:ascii="Times New Roman" w:cs="Times New Roman" w:eastAsia="Times New Roman" w:hAnsi="Times New Roman"/>
          <w:sz w:val="14"/>
          <w:szCs w:val="14"/>
          <w:color w:val="auto"/>
        </w:rPr>
        <w:t>prior to the vesting date that are not otherwise reflected in the fair value of such award or included in any other component of total compensation for the applicable year. The amounts deducted or added in calculating the equity award adjustments are as follows: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over Year</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 as</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Change</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the End of the</w:t>
            </w: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on Stock</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 Fair Value</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of</w:t>
            </w: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 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Vesting</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Date of Equity</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that</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or</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0" w:type="dxa"/>
            <w:vAlign w:val="bottom"/>
            <w:vMerge w:val="restart"/>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E7ECFC"/>
            </w:tcBorders>
            <w:vMerge w:val="continue"/>
          </w:tcPr>
          <w:p>
            <w:pPr>
              <w:spacing w:after="0"/>
              <w:rPr>
                <w:sz w:val="15"/>
                <w:szCs w:val="15"/>
                <w:color w:val="auto"/>
              </w:rPr>
            </w:pPr>
          </w:p>
        </w:tc>
        <w:tc>
          <w:tcPr>
            <w:tcW w:w="8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Borders>
              <w:bottom w:val="single" w:sz="8" w:color="E7ECFC"/>
            </w:tcBorders>
          </w:tcPr>
          <w:p>
            <w:pPr>
              <w:spacing w:after="0"/>
              <w:rPr>
                <w:sz w:val="15"/>
                <w:szCs w:val="15"/>
                <w:color w:val="auto"/>
              </w:rPr>
            </w:pPr>
          </w:p>
        </w:tc>
        <w:tc>
          <w:tcPr>
            <w:tcW w:w="9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300" w:type="dxa"/>
            <w:vAlign w:val="bottom"/>
            <w:tcBorders>
              <w:bottom w:val="single" w:sz="8" w:color="E7ECFC"/>
            </w:tcBorders>
          </w:tcPr>
          <w:p>
            <w:pPr>
              <w:spacing w:after="0"/>
              <w:rPr>
                <w:sz w:val="15"/>
                <w:szCs w:val="15"/>
                <w:color w:val="auto"/>
              </w:rPr>
            </w:pPr>
          </w:p>
        </w:tc>
        <w:tc>
          <w:tcPr>
            <w:tcW w:w="9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300" w:type="dxa"/>
            <w:vAlign w:val="bottom"/>
            <w:tcBorders>
              <w:bottom w:val="single" w:sz="8" w:color="E7ECFC"/>
            </w:tcBorders>
          </w:tcPr>
          <w:p>
            <w:pPr>
              <w:spacing w:after="0"/>
              <w:rPr>
                <w:sz w:val="15"/>
                <w:szCs w:val="15"/>
                <w:color w:val="auto"/>
              </w:rPr>
            </w:pPr>
          </w:p>
        </w:tc>
        <w:tc>
          <w:tcPr>
            <w:tcW w:w="8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300" w:type="dxa"/>
            <w:vAlign w:val="bottom"/>
            <w:tcBorders>
              <w:bottom w:val="single" w:sz="8" w:color="E7ECFC"/>
            </w:tcBorders>
          </w:tcPr>
          <w:p>
            <w:pPr>
              <w:spacing w:after="0"/>
              <w:rPr>
                <w:sz w:val="15"/>
                <w:szCs w:val="15"/>
                <w:color w:val="auto"/>
              </w:rPr>
            </w:pPr>
          </w:p>
        </w:tc>
        <w:tc>
          <w:tcPr>
            <w:tcW w:w="8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280" w:type="dxa"/>
            <w:vAlign w:val="bottom"/>
            <w:tcBorders>
              <w:bottom w:val="single" w:sz="8" w:color="E7ECFC"/>
            </w:tcBorders>
          </w:tcPr>
          <w:p>
            <w:pPr>
              <w:spacing w:after="0"/>
              <w:rPr>
                <w:sz w:val="15"/>
                <w:szCs w:val="15"/>
                <w:color w:val="auto"/>
              </w:rPr>
            </w:pPr>
          </w:p>
        </w:tc>
        <w:tc>
          <w:tcPr>
            <w:tcW w:w="9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Borders>
              <w:bottom w:val="single" w:sz="8" w:color="E7ECFC"/>
            </w:tcBorders>
          </w:tcPr>
          <w:p>
            <w:pPr>
              <w:spacing w:after="0"/>
              <w:rPr>
                <w:sz w:val="15"/>
                <w:szCs w:val="15"/>
                <w:color w:val="auto"/>
              </w:rPr>
            </w:pPr>
          </w:p>
        </w:tc>
        <w:tc>
          <w:tcPr>
            <w:tcW w:w="8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99"/>
        </w:trPr>
        <w:tc>
          <w:tcPr>
            <w:tcW w:w="300" w:type="dxa"/>
            <w:vAlign w:val="bottom"/>
            <w:shd w:val="clear" w:color="auto" w:fill="E7ECFC"/>
          </w:tcPr>
          <w:p>
            <w:pPr>
              <w:spacing w:after="0" w:line="100" w:lineRule="exact"/>
              <w:rPr>
                <w:sz w:val="20"/>
                <w:szCs w:val="20"/>
                <w:color w:val="auto"/>
              </w:rPr>
            </w:pPr>
            <w:r>
              <w:rPr>
                <w:rFonts w:ascii="Times New Roman" w:cs="Times New Roman" w:eastAsia="Times New Roman" w:hAnsi="Times New Roman"/>
                <w:sz w:val="11"/>
                <w:szCs w:val="11"/>
                <w:color w:val="auto"/>
                <w:w w:val="93"/>
              </w:rPr>
              <w:t>Robert</w:t>
            </w:r>
          </w:p>
        </w:tc>
        <w:tc>
          <w:tcPr>
            <w:tcW w:w="2000" w:type="dxa"/>
            <w:vAlign w:val="bottom"/>
            <w:shd w:val="clear" w:color="auto" w:fill="E7ECFC"/>
          </w:tcPr>
          <w:p>
            <w:pPr>
              <w:ind w:left="120"/>
              <w:spacing w:after="0" w:line="100" w:lineRule="exact"/>
              <w:rPr>
                <w:sz w:val="20"/>
                <w:szCs w:val="20"/>
                <w:color w:val="auto"/>
              </w:rPr>
            </w:pPr>
            <w:r>
              <w:rPr>
                <w:rFonts w:ascii="Times New Roman" w:cs="Times New Roman" w:eastAsia="Times New Roman" w:hAnsi="Times New Roman"/>
                <w:sz w:val="11"/>
                <w:szCs w:val="11"/>
                <w:color w:val="auto"/>
              </w:rPr>
              <w:t>Musslewhite</w:t>
            </w:r>
          </w:p>
        </w:tc>
        <w:tc>
          <w:tcPr>
            <w:tcW w:w="800" w:type="dxa"/>
            <w:vAlign w:val="bottom"/>
            <w:vMerge w:val="restart"/>
            <w:shd w:val="clear" w:color="auto" w:fill="E7ECFC"/>
          </w:tcPr>
          <w:p>
            <w:pPr>
              <w:jc w:val="center"/>
              <w:spacing w:after="0"/>
              <w:rPr>
                <w:sz w:val="20"/>
                <w:szCs w:val="20"/>
                <w:color w:val="auto"/>
              </w:rPr>
            </w:pPr>
            <w:r>
              <w:rPr>
                <w:rFonts w:ascii="Times New Roman" w:cs="Times New Roman" w:eastAsia="Times New Roman" w:hAnsi="Times New Roman"/>
                <w:sz w:val="14"/>
                <w:szCs w:val="14"/>
                <w:color w:val="auto"/>
              </w:rPr>
              <w:t>$6,899,038</w:t>
            </w:r>
          </w:p>
        </w:tc>
        <w:tc>
          <w:tcPr>
            <w:tcW w:w="280" w:type="dxa"/>
            <w:vAlign w:val="bottom"/>
            <w:shd w:val="clear" w:color="auto" w:fill="E7ECFC"/>
          </w:tcPr>
          <w:p>
            <w:pPr>
              <w:spacing w:after="0"/>
              <w:rPr>
                <w:sz w:val="8"/>
                <w:szCs w:val="8"/>
                <w:color w:val="auto"/>
              </w:rPr>
            </w:pPr>
          </w:p>
        </w:tc>
        <w:tc>
          <w:tcPr>
            <w:tcW w:w="920" w:type="dxa"/>
            <w:vAlign w:val="bottom"/>
            <w:vMerge w:val="restart"/>
            <w:shd w:val="clear" w:color="auto" w:fill="E7ECFC"/>
          </w:tcPr>
          <w:p>
            <w:pPr>
              <w:jc w:val="right"/>
              <w:ind w:right="8"/>
              <w:spacing w:after="0"/>
              <w:rPr>
                <w:sz w:val="20"/>
                <w:szCs w:val="20"/>
                <w:color w:val="auto"/>
              </w:rPr>
            </w:pPr>
            <w:r>
              <w:rPr>
                <w:rFonts w:ascii="Times New Roman" w:cs="Times New Roman" w:eastAsia="Times New Roman" w:hAnsi="Times New Roman"/>
                <w:sz w:val="14"/>
                <w:szCs w:val="14"/>
                <w:color w:val="auto"/>
              </w:rPr>
              <w:t>$(9,443,605)</w:t>
            </w:r>
          </w:p>
        </w:tc>
        <w:tc>
          <w:tcPr>
            <w:tcW w:w="300" w:type="dxa"/>
            <w:vAlign w:val="bottom"/>
            <w:shd w:val="clear" w:color="auto" w:fill="E7ECFC"/>
          </w:tcPr>
          <w:p>
            <w:pPr>
              <w:spacing w:after="0"/>
              <w:rPr>
                <w:sz w:val="8"/>
                <w:szCs w:val="8"/>
                <w:color w:val="auto"/>
              </w:rPr>
            </w:pPr>
          </w:p>
        </w:tc>
        <w:tc>
          <w:tcPr>
            <w:tcW w:w="1200" w:type="dxa"/>
            <w:vAlign w:val="bottom"/>
            <w:gridSpan w:val="2"/>
            <w:vMerge w:val="restart"/>
            <w:shd w:val="clear" w:color="auto" w:fill="E7ECFC"/>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E7ECFC"/>
          </w:tcPr>
          <w:p>
            <w:pPr>
              <w:jc w:val="center"/>
              <w:spacing w:after="0"/>
              <w:rPr>
                <w:sz w:val="20"/>
                <w:szCs w:val="20"/>
                <w:color w:val="auto"/>
              </w:rPr>
            </w:pPr>
            <w:r>
              <w:rPr>
                <w:rFonts w:ascii="Times New Roman" w:cs="Times New Roman" w:eastAsia="Times New Roman" w:hAnsi="Times New Roman"/>
                <w:sz w:val="14"/>
                <w:szCs w:val="14"/>
                <w:color w:val="auto"/>
              </w:rPr>
              <w:t>$(2,559,664)</w:t>
            </w:r>
          </w:p>
        </w:tc>
        <w:tc>
          <w:tcPr>
            <w:tcW w:w="300" w:type="dxa"/>
            <w:vAlign w:val="bottom"/>
            <w:shd w:val="clear" w:color="auto" w:fill="E7ECFC"/>
          </w:tcPr>
          <w:p>
            <w:pPr>
              <w:spacing w:after="0"/>
              <w:rPr>
                <w:sz w:val="8"/>
                <w:szCs w:val="8"/>
                <w:color w:val="auto"/>
              </w:rPr>
            </w:pPr>
          </w:p>
        </w:tc>
        <w:tc>
          <w:tcPr>
            <w:tcW w:w="1160" w:type="dxa"/>
            <w:vAlign w:val="bottom"/>
            <w:gridSpan w:val="2"/>
            <w:vMerge w:val="restart"/>
            <w:shd w:val="clear" w:color="auto" w:fill="E7ECFC"/>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E7EC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E7ECFC"/>
          </w:tcPr>
          <w:p>
            <w:pPr>
              <w:jc w:val="center"/>
              <w:spacing w:after="0"/>
              <w:rPr>
                <w:sz w:val="20"/>
                <w:szCs w:val="20"/>
                <w:color w:val="auto"/>
              </w:rPr>
            </w:pPr>
            <w:r>
              <w:rPr>
                <w:rFonts w:ascii="Times New Roman" w:cs="Times New Roman" w:eastAsia="Times New Roman" w:hAnsi="Times New Roman"/>
                <w:sz w:val="14"/>
                <w:szCs w:val="14"/>
                <w:color w:val="auto"/>
              </w:rPr>
              <w:t>$(5,104,231)</w:t>
            </w:r>
          </w:p>
        </w:tc>
        <w:tc>
          <w:tcPr>
            <w:tcW w:w="0" w:type="dxa"/>
            <w:vAlign w:val="bottom"/>
          </w:tcPr>
          <w:p>
            <w:pPr>
              <w:spacing w:after="0"/>
              <w:rPr>
                <w:sz w:val="1"/>
                <w:szCs w:val="1"/>
                <w:color w:val="auto"/>
              </w:rPr>
            </w:pPr>
          </w:p>
        </w:tc>
      </w:tr>
      <w:tr>
        <w:trPr>
          <w:trHeight w:val="171"/>
        </w:trPr>
        <w:tc>
          <w:tcPr>
            <w:tcW w:w="300" w:type="dxa"/>
            <w:vAlign w:val="bottom"/>
            <w:shd w:val="clear" w:color="auto" w:fill="E7ECFC"/>
          </w:tcPr>
          <w:p>
            <w:pPr>
              <w:spacing w:after="0"/>
              <w:rPr>
                <w:sz w:val="20"/>
                <w:szCs w:val="20"/>
                <w:color w:val="auto"/>
              </w:rPr>
            </w:pPr>
            <w:r>
              <w:rPr>
                <w:rFonts w:ascii="Times New Roman" w:cs="Times New Roman" w:eastAsia="Times New Roman" w:hAnsi="Times New Roman"/>
                <w:sz w:val="14"/>
                <w:szCs w:val="14"/>
                <w:color w:val="auto"/>
                <w:w w:val="99"/>
              </w:rPr>
              <w:t>2022</w:t>
            </w:r>
          </w:p>
        </w:tc>
        <w:tc>
          <w:tcPr>
            <w:tcW w:w="2000" w:type="dxa"/>
            <w:vAlign w:val="bottom"/>
            <w:shd w:val="clear" w:color="auto" w:fill="E7ECFC"/>
          </w:tcPr>
          <w:p>
            <w:pPr>
              <w:spacing w:after="0"/>
              <w:rPr>
                <w:sz w:val="14"/>
                <w:szCs w:val="14"/>
                <w:color w:val="auto"/>
              </w:rPr>
            </w:pPr>
          </w:p>
        </w:tc>
        <w:tc>
          <w:tcPr>
            <w:tcW w:w="800" w:type="dxa"/>
            <w:vAlign w:val="bottom"/>
            <w:vMerge w:val="continue"/>
            <w:shd w:val="clear" w:color="auto" w:fill="E7ECFC"/>
          </w:tcPr>
          <w:p>
            <w:pPr>
              <w:spacing w:after="0"/>
              <w:rPr>
                <w:sz w:val="14"/>
                <w:szCs w:val="14"/>
                <w:color w:val="auto"/>
              </w:rPr>
            </w:pPr>
          </w:p>
        </w:tc>
        <w:tc>
          <w:tcPr>
            <w:tcW w:w="280" w:type="dxa"/>
            <w:vAlign w:val="bottom"/>
            <w:shd w:val="clear" w:color="auto" w:fill="E7ECFC"/>
          </w:tcPr>
          <w:p>
            <w:pPr>
              <w:spacing w:after="0"/>
              <w:rPr>
                <w:sz w:val="14"/>
                <w:szCs w:val="14"/>
                <w:color w:val="auto"/>
              </w:rPr>
            </w:pPr>
          </w:p>
        </w:tc>
        <w:tc>
          <w:tcPr>
            <w:tcW w:w="920" w:type="dxa"/>
            <w:vAlign w:val="bottom"/>
            <w:vMerge w:val="continue"/>
            <w:shd w:val="clear" w:color="auto" w:fill="E7ECFC"/>
          </w:tcPr>
          <w:p>
            <w:pPr>
              <w:spacing w:after="0"/>
              <w:rPr>
                <w:sz w:val="14"/>
                <w:szCs w:val="14"/>
                <w:color w:val="auto"/>
              </w:rPr>
            </w:pPr>
          </w:p>
        </w:tc>
        <w:tc>
          <w:tcPr>
            <w:tcW w:w="300" w:type="dxa"/>
            <w:vAlign w:val="bottom"/>
            <w:shd w:val="clear" w:color="auto" w:fill="E7ECFC"/>
          </w:tcPr>
          <w:p>
            <w:pPr>
              <w:spacing w:after="0"/>
              <w:rPr>
                <w:sz w:val="14"/>
                <w:szCs w:val="14"/>
                <w:color w:val="auto"/>
              </w:rPr>
            </w:pPr>
          </w:p>
        </w:tc>
        <w:tc>
          <w:tcPr>
            <w:tcW w:w="1200" w:type="dxa"/>
            <w:vAlign w:val="bottom"/>
            <w:gridSpan w:val="2"/>
            <w:vMerge w:val="continue"/>
            <w:shd w:val="clear" w:color="auto" w:fill="E7ECFC"/>
          </w:tcPr>
          <w:p>
            <w:pPr>
              <w:spacing w:after="0"/>
              <w:rPr>
                <w:sz w:val="14"/>
                <w:szCs w:val="14"/>
                <w:color w:val="auto"/>
              </w:rPr>
            </w:pPr>
          </w:p>
        </w:tc>
        <w:tc>
          <w:tcPr>
            <w:tcW w:w="820" w:type="dxa"/>
            <w:vAlign w:val="bottom"/>
            <w:vMerge w:val="continue"/>
            <w:shd w:val="clear" w:color="auto" w:fill="E7ECFC"/>
          </w:tcPr>
          <w:p>
            <w:pPr>
              <w:spacing w:after="0"/>
              <w:rPr>
                <w:sz w:val="14"/>
                <w:szCs w:val="14"/>
                <w:color w:val="auto"/>
              </w:rPr>
            </w:pPr>
          </w:p>
        </w:tc>
        <w:tc>
          <w:tcPr>
            <w:tcW w:w="300" w:type="dxa"/>
            <w:vAlign w:val="bottom"/>
            <w:shd w:val="clear" w:color="auto" w:fill="E7ECFC"/>
          </w:tcPr>
          <w:p>
            <w:pPr>
              <w:spacing w:after="0"/>
              <w:rPr>
                <w:sz w:val="14"/>
                <w:szCs w:val="14"/>
                <w:color w:val="auto"/>
              </w:rPr>
            </w:pPr>
          </w:p>
        </w:tc>
        <w:tc>
          <w:tcPr>
            <w:tcW w:w="1160" w:type="dxa"/>
            <w:vAlign w:val="bottom"/>
            <w:gridSpan w:val="2"/>
            <w:vMerge w:val="continue"/>
            <w:shd w:val="clear" w:color="auto" w:fill="E7ECFC"/>
          </w:tcPr>
          <w:p>
            <w:pPr>
              <w:spacing w:after="0"/>
              <w:rPr>
                <w:sz w:val="14"/>
                <w:szCs w:val="14"/>
                <w:color w:val="auto"/>
              </w:rPr>
            </w:pPr>
          </w:p>
        </w:tc>
        <w:tc>
          <w:tcPr>
            <w:tcW w:w="1240" w:type="dxa"/>
            <w:vAlign w:val="bottom"/>
            <w:gridSpan w:val="2"/>
            <w:vMerge w:val="continue"/>
            <w:shd w:val="clear" w:color="auto" w:fill="E7ECFC"/>
          </w:tcPr>
          <w:p>
            <w:pPr>
              <w:spacing w:after="0"/>
              <w:rPr>
                <w:sz w:val="14"/>
                <w:szCs w:val="14"/>
                <w:color w:val="auto"/>
              </w:rPr>
            </w:pPr>
          </w:p>
        </w:tc>
        <w:tc>
          <w:tcPr>
            <w:tcW w:w="800" w:type="dxa"/>
            <w:vAlign w:val="bottom"/>
            <w:vMerge w:val="continue"/>
            <w:shd w:val="clear" w:color="auto" w:fill="E7EC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Jason Krantz</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$(8,026,584)</w:t>
            </w:r>
          </w:p>
        </w:tc>
        <w:tc>
          <w:tcPr>
            <w:tcW w:w="300" w:type="dxa"/>
            <w:vAlign w:val="bottom"/>
          </w:tcPr>
          <w:p>
            <w:pPr>
              <w:spacing w:after="0"/>
              <w:rPr>
                <w:sz w:val="10"/>
                <w:szCs w:val="10"/>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$(1,841,998)</w:t>
            </w:r>
          </w:p>
        </w:tc>
        <w:tc>
          <w:tcPr>
            <w:tcW w:w="30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$(1,315,885)</w:t>
            </w:r>
          </w:p>
        </w:tc>
        <w:tc>
          <w:tcPr>
            <w:tcW w:w="280" w:type="dxa"/>
            <w:vAlign w:val="bottom"/>
          </w:tcPr>
          <w:p>
            <w:pPr>
              <w:spacing w:after="0"/>
              <w:rPr>
                <w:sz w:val="10"/>
                <w:szCs w:val="10"/>
                <w:color w:val="auto"/>
              </w:rPr>
            </w:pPr>
          </w:p>
        </w:tc>
        <w:tc>
          <w:tcPr>
            <w:tcW w:w="1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$(11,184,467)</w:t>
            </w:r>
          </w:p>
        </w:tc>
        <w:tc>
          <w:tcPr>
            <w:tcW w:w="0" w:type="dxa"/>
            <w:vAlign w:val="bottom"/>
          </w:tcPr>
          <w:p>
            <w:pPr>
              <w:spacing w:after="0"/>
              <w:rPr>
                <w:sz w:val="1"/>
                <w:szCs w:val="1"/>
                <w:color w:val="auto"/>
              </w:rPr>
            </w:pPr>
          </w:p>
        </w:tc>
      </w:tr>
      <w:tr>
        <w:trPr>
          <w:trHeight w:val="148"/>
        </w:trPr>
        <w:tc>
          <w:tcPr>
            <w:tcW w:w="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20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20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$5,263,567</w:t>
            </w:r>
          </w:p>
        </w:tc>
        <w:tc>
          <w:tcPr>
            <w:tcW w:w="2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$7,824,067</w:t>
            </w:r>
          </w:p>
        </w:tc>
        <w:tc>
          <w:tcPr>
            <w:tcW w:w="30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$13,087,634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(d) represent the average of the amounts reported for the Company’s named executive officers (NEOs) as a group (excluding, in the case of 2022, Messrs. Musslewhite and Krantz, and in the case of 2021, Mr. Krantz) in the “Total” column of the Summary Compensation Table in each applicable year. The names of each of the NEOs (excluding, in the case of 2022, Messrs. Musslewhite and Krantz, and in the case of 2021, Mr. Krantz) included for purposes of calculating the average amounts in each applicable year are as follows: (i) for 2022, Richard Booth, Joseph Mirisola, Kate Shamsuddin Jensen, David Samuels, and Jonathan Maack; and (ii) for 2021, Robert Musslewhite and Richard Booth.</w:t>
      </w:r>
    </w:p>
    <w:p>
      <w:pPr>
        <w:spacing w:after="0" w:line="114" w:lineRule="exact"/>
        <w:rPr>
          <w:rFonts w:ascii="Times New Roman" w:cs="Times New Roman" w:eastAsia="Times New Roman" w:hAnsi="Times New Roman"/>
          <w:sz w:val="14"/>
          <w:szCs w:val="14"/>
          <w:color w:val="auto"/>
        </w:rPr>
      </w:pPr>
    </w:p>
    <w:p>
      <w:pPr>
        <w:ind w:left="540" w:right="20" w:hanging="424"/>
        <w:spacing w:after="0" w:line="228" w:lineRule="auto"/>
        <w:tabs>
          <w:tab w:leader="none" w:pos="5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(e) represent the average amount of “compensation actually paid” to the NEOs as a group (excluding, in the case of 2022, Messrs. Musslewhite and Krantz, and in the case of 2021, Mr. Krantz), as computed in accordance with Item 402(v) of Regulation S-K. The dollar amounts do not reflect the actual average amount of compensation earned by or paid to the NEOs as a group (excluding, in the case of 2022, Messrs. Musslewhite and Krantz, and in the case of 2021, Mr. Krantz) during the applicable year. The following adjustments were made to average total compensation for the NEOs as a group (excluding, in the case of 2022, Messrs. Musslewhite and Krantz, and in the case of 2021, Mr. Krantz) for each year to determine the compensation actually paid, using the same methodology described above in Note 3:</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Summary Compensation</w:t>
            </w:r>
          </w:p>
        </w:tc>
        <w:tc>
          <w:tcPr>
            <w:tcW w:w="21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20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940" w:type="dxa"/>
            <w:vAlign w:val="bottom"/>
            <w:gridSpan w:val="3"/>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Non-PEO</w:t>
            </w:r>
          </w:p>
        </w:tc>
        <w:tc>
          <w:tcPr>
            <w:tcW w:w="218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Non-PEO</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700" w:type="dxa"/>
            <w:vAlign w:val="bottom"/>
          </w:tcPr>
          <w:p>
            <w:pPr>
              <w:spacing w:after="0"/>
              <w:rPr>
                <w:sz w:val="15"/>
                <w:szCs w:val="15"/>
                <w:color w:val="auto"/>
              </w:rPr>
            </w:pPr>
          </w:p>
        </w:tc>
        <w:tc>
          <w:tcPr>
            <w:tcW w:w="224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NEOs</w:t>
            </w:r>
          </w:p>
        </w:tc>
        <w:tc>
          <w:tcPr>
            <w:tcW w:w="21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Value of Equity Awards</w:t>
            </w:r>
          </w:p>
        </w:tc>
        <w:tc>
          <w:tcPr>
            <w:tcW w:w="20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Award Adjustments</w:t>
            </w:r>
            <w:r>
              <w:rPr>
                <w:rFonts w:ascii="Times New Roman" w:cs="Times New Roman" w:eastAsia="Times New Roman" w:hAnsi="Times New Roman"/>
                <w:sz w:val="10"/>
                <w:szCs w:val="10"/>
                <w:b w:val="1"/>
                <w:bCs w:val="1"/>
                <w:color w:val="auto"/>
              </w:rPr>
              <w:t>(a)</w:t>
            </w: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36"/>
        </w:trPr>
        <w:tc>
          <w:tcPr>
            <w:tcW w:w="300" w:type="dxa"/>
            <w:vAlign w:val="bottom"/>
            <w:tcBorders>
              <w:top w:val="single" w:sz="8" w:color="E7ECFC"/>
            </w:tcBorders>
            <w:shd w:val="clear" w:color="auto" w:fill="E7ECFC"/>
          </w:tcPr>
          <w:p>
            <w:pPr>
              <w:spacing w:after="0" w:line="136" w:lineRule="exact"/>
              <w:rPr>
                <w:sz w:val="20"/>
                <w:szCs w:val="20"/>
                <w:color w:val="auto"/>
              </w:rPr>
            </w:pPr>
            <w:r>
              <w:rPr>
                <w:rFonts w:ascii="Times New Roman" w:cs="Times New Roman" w:eastAsia="Times New Roman" w:hAnsi="Times New Roman"/>
                <w:sz w:val="14"/>
                <w:szCs w:val="14"/>
                <w:color w:val="auto"/>
                <w:w w:val="99"/>
              </w:rPr>
              <w:t>2022</w:t>
            </w:r>
          </w:p>
        </w:tc>
        <w:tc>
          <w:tcPr>
            <w:tcW w:w="1700" w:type="dxa"/>
            <w:vAlign w:val="bottom"/>
            <w:tcBorders>
              <w:top w:val="single" w:sz="8" w:color="E7ECFC"/>
            </w:tcBorders>
            <w:shd w:val="clear" w:color="auto" w:fill="E7ECFC"/>
          </w:tcPr>
          <w:p>
            <w:pPr>
              <w:spacing w:after="0"/>
              <w:rPr>
                <w:sz w:val="11"/>
                <w:szCs w:val="11"/>
                <w:color w:val="auto"/>
              </w:rPr>
            </w:pPr>
          </w:p>
        </w:tc>
        <w:tc>
          <w:tcPr>
            <w:tcW w:w="1540" w:type="dxa"/>
            <w:vAlign w:val="bottom"/>
            <w:tcBorders>
              <w:top w:val="single" w:sz="8" w:color="auto"/>
            </w:tcBorders>
            <w:shd w:val="clear" w:color="auto" w:fill="E7ECFC"/>
          </w:tcPr>
          <w:p>
            <w:pPr>
              <w:jc w:val="right"/>
              <w:ind w:right="368"/>
              <w:spacing w:after="0" w:line="136" w:lineRule="exact"/>
              <w:rPr>
                <w:sz w:val="20"/>
                <w:szCs w:val="20"/>
                <w:color w:val="auto"/>
              </w:rPr>
            </w:pPr>
            <w:r>
              <w:rPr>
                <w:rFonts w:ascii="Times New Roman" w:cs="Times New Roman" w:eastAsia="Times New Roman" w:hAnsi="Times New Roman"/>
                <w:sz w:val="14"/>
                <w:szCs w:val="14"/>
                <w:color w:val="auto"/>
              </w:rPr>
              <w:t>$2,386,881</w:t>
            </w:r>
          </w:p>
        </w:tc>
        <w:tc>
          <w:tcPr>
            <w:tcW w:w="700" w:type="dxa"/>
            <w:vAlign w:val="bottom"/>
            <w:tcBorders>
              <w:top w:val="single" w:sz="8" w:color="E7ECFC"/>
            </w:tcBorders>
            <w:shd w:val="clear" w:color="auto" w:fill="E7ECFC"/>
          </w:tcPr>
          <w:p>
            <w:pPr>
              <w:spacing w:after="0"/>
              <w:rPr>
                <w:sz w:val="11"/>
                <w:szCs w:val="11"/>
                <w:color w:val="auto"/>
              </w:rPr>
            </w:pPr>
          </w:p>
        </w:tc>
        <w:tc>
          <w:tcPr>
            <w:tcW w:w="1460" w:type="dxa"/>
            <w:vAlign w:val="bottom"/>
            <w:tcBorders>
              <w:top w:val="single" w:sz="8" w:color="auto"/>
            </w:tcBorders>
            <w:shd w:val="clear" w:color="auto" w:fill="E7ECFC"/>
          </w:tcPr>
          <w:p>
            <w:pPr>
              <w:jc w:val="right"/>
              <w:ind w:right="288"/>
              <w:spacing w:after="0" w:line="136" w:lineRule="exact"/>
              <w:rPr>
                <w:sz w:val="20"/>
                <w:szCs w:val="20"/>
                <w:color w:val="auto"/>
              </w:rPr>
            </w:pPr>
            <w:r>
              <w:rPr>
                <w:rFonts w:ascii="Times New Roman" w:cs="Times New Roman" w:eastAsia="Times New Roman" w:hAnsi="Times New Roman"/>
                <w:sz w:val="14"/>
                <w:szCs w:val="14"/>
                <w:color w:val="auto"/>
              </w:rPr>
              <w:t>$(1,864,057)</w:t>
            </w:r>
          </w:p>
        </w:tc>
        <w:tc>
          <w:tcPr>
            <w:tcW w:w="720" w:type="dxa"/>
            <w:vAlign w:val="bottom"/>
            <w:tcBorders>
              <w:top w:val="single" w:sz="8" w:color="E7ECFC"/>
            </w:tcBorders>
            <w:shd w:val="clear" w:color="auto" w:fill="E7ECFC"/>
          </w:tcPr>
          <w:p>
            <w:pPr>
              <w:spacing w:after="0"/>
              <w:rPr>
                <w:sz w:val="11"/>
                <w:szCs w:val="11"/>
                <w:color w:val="auto"/>
              </w:rPr>
            </w:pPr>
          </w:p>
        </w:tc>
        <w:tc>
          <w:tcPr>
            <w:tcW w:w="1360" w:type="dxa"/>
            <w:vAlign w:val="bottom"/>
            <w:tcBorders>
              <w:top w:val="single" w:sz="8" w:color="auto"/>
            </w:tcBorders>
            <w:shd w:val="clear" w:color="auto" w:fill="E7ECFC"/>
          </w:tcPr>
          <w:p>
            <w:pPr>
              <w:jc w:val="right"/>
              <w:ind w:right="248"/>
              <w:spacing w:after="0" w:line="136" w:lineRule="exact"/>
              <w:rPr>
                <w:sz w:val="20"/>
                <w:szCs w:val="20"/>
                <w:color w:val="auto"/>
              </w:rPr>
            </w:pPr>
            <w:r>
              <w:rPr>
                <w:rFonts w:ascii="Times New Roman" w:cs="Times New Roman" w:eastAsia="Times New Roman" w:hAnsi="Times New Roman"/>
                <w:sz w:val="14"/>
                <w:szCs w:val="14"/>
                <w:color w:val="auto"/>
              </w:rPr>
              <w:t>$(2,466,114)</w:t>
            </w:r>
          </w:p>
        </w:tc>
        <w:tc>
          <w:tcPr>
            <w:tcW w:w="720" w:type="dxa"/>
            <w:vAlign w:val="bottom"/>
            <w:tcBorders>
              <w:top w:val="single" w:sz="8" w:color="E7ECFC"/>
            </w:tcBorders>
            <w:shd w:val="clear" w:color="auto" w:fill="E7ECFC"/>
          </w:tcPr>
          <w:p>
            <w:pPr>
              <w:spacing w:after="0"/>
              <w:rPr>
                <w:sz w:val="11"/>
                <w:szCs w:val="11"/>
                <w:color w:val="auto"/>
              </w:rPr>
            </w:pPr>
          </w:p>
        </w:tc>
        <w:tc>
          <w:tcPr>
            <w:tcW w:w="1620" w:type="dxa"/>
            <w:vAlign w:val="bottom"/>
            <w:tcBorders>
              <w:top w:val="single" w:sz="8" w:color="auto"/>
            </w:tcBorders>
            <w:shd w:val="clear" w:color="auto" w:fill="E7ECFC"/>
          </w:tcPr>
          <w:p>
            <w:pPr>
              <w:jc w:val="right"/>
              <w:ind w:right="368"/>
              <w:spacing w:after="0" w:line="136" w:lineRule="exact"/>
              <w:rPr>
                <w:sz w:val="20"/>
                <w:szCs w:val="20"/>
                <w:color w:val="auto"/>
              </w:rPr>
            </w:pPr>
            <w:r>
              <w:rPr>
                <w:rFonts w:ascii="Times New Roman" w:cs="Times New Roman" w:eastAsia="Times New Roman" w:hAnsi="Times New Roman"/>
                <w:sz w:val="14"/>
                <w:szCs w:val="14"/>
                <w:color w:val="auto"/>
              </w:rPr>
              <w:t>$(1,943,290)</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32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$16,101,545</w:t>
            </w:r>
          </w:p>
        </w:tc>
        <w:tc>
          <w:tcPr>
            <w:tcW w:w="700" w:type="dxa"/>
            <w:vAlign w:val="bottom"/>
          </w:tcPr>
          <w:p>
            <w:pPr>
              <w:spacing w:after="0"/>
              <w:rPr>
                <w:sz w:val="16"/>
                <w:szCs w:val="16"/>
                <w:color w:val="auto"/>
              </w:rPr>
            </w:pPr>
          </w:p>
        </w:tc>
        <w:tc>
          <w:tcPr>
            <w:tcW w:w="14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$(15,769,215)</w:t>
            </w:r>
          </w:p>
        </w:tc>
        <w:tc>
          <w:tcPr>
            <w:tcW w:w="720" w:type="dxa"/>
            <w:vAlign w:val="bottom"/>
          </w:tcPr>
          <w:p>
            <w:pPr>
              <w:spacing w:after="0"/>
              <w:rPr>
                <w:sz w:val="16"/>
                <w:szCs w:val="16"/>
                <w:color w:val="auto"/>
              </w:rPr>
            </w:pPr>
          </w:p>
        </w:tc>
        <w:tc>
          <w:tcPr>
            <w:tcW w:w="13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$18,506,688</w:t>
            </w:r>
          </w:p>
        </w:tc>
        <w:tc>
          <w:tcPr>
            <w:tcW w:w="720" w:type="dxa"/>
            <w:vAlign w:val="bottom"/>
          </w:tcPr>
          <w:p>
            <w:pPr>
              <w:spacing w:after="0"/>
              <w:rPr>
                <w:sz w:val="16"/>
                <w:szCs w:val="16"/>
                <w:color w:val="auto"/>
              </w:rPr>
            </w:pPr>
          </w:p>
        </w:tc>
        <w:tc>
          <w:tcPr>
            <w:tcW w:w="1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$18,839,018</w:t>
            </w: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7060" w:type="dxa"/>
            <w:vAlign w:val="bottom"/>
            <w:gridSpan w:val="11"/>
          </w:tcPr>
          <w:p>
            <w:pPr>
              <w:ind w:left="120"/>
              <w:spacing w:after="0"/>
              <w:rPr>
                <w:sz w:val="20"/>
                <w:szCs w:val="20"/>
                <w:color w:val="auto"/>
              </w:rPr>
            </w:pPr>
            <w:r>
              <w:rPr>
                <w:rFonts w:ascii="Times New Roman" w:cs="Times New Roman" w:eastAsia="Times New Roman" w:hAnsi="Times New Roman"/>
                <w:sz w:val="14"/>
                <w:szCs w:val="14"/>
                <w:color w:val="auto"/>
              </w:rPr>
              <w:t>The amounts deducted or added in calculating the total average equity award adjustments are as follows:</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Average Value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Dividends or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Year over</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at the</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Average Year</w:t>
            </w: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Year Change</w:t>
            </w: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 of the</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 on Stock</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of</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Option</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Average Year</w:t>
            </w: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over Year</w:t>
            </w: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Total</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Fair</w:t>
            </w: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7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11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2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1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top w:val="single" w:sz="8" w:color="E7ECFC"/>
            </w:tcBorders>
            <w:shd w:val="clear" w:color="auto" w:fill="E7ECFC"/>
          </w:tcPr>
          <w:p>
            <w:pPr>
              <w:spacing w:after="0" w:line="136" w:lineRule="exact"/>
              <w:rPr>
                <w:sz w:val="20"/>
                <w:szCs w:val="20"/>
                <w:color w:val="auto"/>
              </w:rPr>
            </w:pPr>
            <w:r>
              <w:rPr>
                <w:rFonts w:ascii="Times New Roman" w:cs="Times New Roman" w:eastAsia="Times New Roman" w:hAnsi="Times New Roman"/>
                <w:sz w:val="14"/>
                <w:szCs w:val="14"/>
                <w:color w:val="auto"/>
                <w:w w:val="99"/>
              </w:rPr>
              <w:t>2022</w:t>
            </w:r>
          </w:p>
        </w:tc>
        <w:tc>
          <w:tcPr>
            <w:tcW w:w="1740" w:type="dxa"/>
            <w:vAlign w:val="bottom"/>
            <w:tcBorders>
              <w:top w:val="single" w:sz="8" w:color="E7ECFC"/>
            </w:tcBorders>
            <w:shd w:val="clear" w:color="auto" w:fill="E7ECFC"/>
          </w:tcPr>
          <w:p>
            <w:pPr>
              <w:spacing w:after="0"/>
              <w:rPr>
                <w:sz w:val="11"/>
                <w:szCs w:val="11"/>
                <w:color w:val="auto"/>
              </w:rPr>
            </w:pPr>
          </w:p>
        </w:tc>
        <w:tc>
          <w:tcPr>
            <w:tcW w:w="820" w:type="dxa"/>
            <w:vAlign w:val="bottom"/>
            <w:tcBorders>
              <w:top w:val="single" w:sz="8" w:color="auto"/>
            </w:tcBorders>
            <w:shd w:val="clear" w:color="auto" w:fill="E7ECFC"/>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rPr>
              <w:t>$1,200,774</w:t>
            </w:r>
          </w:p>
        </w:tc>
        <w:tc>
          <w:tcPr>
            <w:tcW w:w="380" w:type="dxa"/>
            <w:vAlign w:val="bottom"/>
            <w:tcBorders>
              <w:top w:val="single" w:sz="8" w:color="E7ECFC"/>
            </w:tcBorders>
            <w:shd w:val="clear" w:color="auto" w:fill="E7ECFC"/>
          </w:tcPr>
          <w:p>
            <w:pPr>
              <w:spacing w:after="0"/>
              <w:rPr>
                <w:sz w:val="11"/>
                <w:szCs w:val="11"/>
                <w:color w:val="auto"/>
              </w:rPr>
            </w:pPr>
          </w:p>
        </w:tc>
        <w:tc>
          <w:tcPr>
            <w:tcW w:w="940" w:type="dxa"/>
            <w:vAlign w:val="bottom"/>
            <w:tcBorders>
              <w:top w:val="single" w:sz="8" w:color="auto"/>
            </w:tcBorders>
            <w:shd w:val="clear" w:color="auto" w:fill="E7E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$(2,665,280)</w:t>
            </w:r>
          </w:p>
        </w:tc>
        <w:tc>
          <w:tcPr>
            <w:tcW w:w="380" w:type="dxa"/>
            <w:vAlign w:val="bottom"/>
            <w:tcBorders>
              <w:top w:val="single" w:sz="8" w:color="E7ECFC"/>
            </w:tcBorders>
            <w:shd w:val="clear" w:color="auto" w:fill="E7ECFC"/>
          </w:tcPr>
          <w:p>
            <w:pPr>
              <w:spacing w:after="0"/>
              <w:rPr>
                <w:sz w:val="11"/>
                <w:szCs w:val="11"/>
                <w:color w:val="auto"/>
              </w:rPr>
            </w:pPr>
          </w:p>
        </w:tc>
        <w:tc>
          <w:tcPr>
            <w:tcW w:w="800" w:type="dxa"/>
            <w:vAlign w:val="bottom"/>
            <w:tcBorders>
              <w:top w:val="single" w:sz="8" w:color="auto"/>
            </w:tcBorders>
            <w:shd w:val="clear" w:color="auto" w:fill="E7ECFC"/>
          </w:tcPr>
          <w:p>
            <w:pPr>
              <w:ind w:left="2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E7ECFC"/>
            </w:tcBorders>
            <w:shd w:val="clear" w:color="auto" w:fill="E7ECFC"/>
          </w:tcPr>
          <w:p>
            <w:pPr>
              <w:spacing w:after="0"/>
              <w:rPr>
                <w:sz w:val="11"/>
                <w:szCs w:val="11"/>
                <w:color w:val="auto"/>
              </w:rPr>
            </w:pPr>
          </w:p>
        </w:tc>
        <w:tc>
          <w:tcPr>
            <w:tcW w:w="800" w:type="dxa"/>
            <w:vAlign w:val="bottom"/>
            <w:tcBorders>
              <w:top w:val="single" w:sz="8" w:color="auto"/>
            </w:tcBorders>
            <w:shd w:val="clear" w:color="auto" w:fill="E7E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$(296,948)</w:t>
            </w:r>
          </w:p>
        </w:tc>
        <w:tc>
          <w:tcPr>
            <w:tcW w:w="380" w:type="dxa"/>
            <w:vAlign w:val="bottom"/>
            <w:tcBorders>
              <w:top w:val="single" w:sz="8" w:color="E7ECFC"/>
            </w:tcBorders>
            <w:shd w:val="clear" w:color="auto" w:fill="E7ECFC"/>
          </w:tcPr>
          <w:p>
            <w:pPr>
              <w:spacing w:after="0"/>
              <w:rPr>
                <w:sz w:val="11"/>
                <w:szCs w:val="11"/>
                <w:color w:val="auto"/>
              </w:rPr>
            </w:pPr>
          </w:p>
        </w:tc>
        <w:tc>
          <w:tcPr>
            <w:tcW w:w="840" w:type="dxa"/>
            <w:vAlign w:val="bottom"/>
            <w:tcBorders>
              <w:top w:val="single" w:sz="8" w:color="auto"/>
            </w:tcBorders>
            <w:shd w:val="clear" w:color="auto" w:fill="E7E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$(704,660)</w:t>
            </w:r>
          </w:p>
        </w:tc>
        <w:tc>
          <w:tcPr>
            <w:tcW w:w="380" w:type="dxa"/>
            <w:vAlign w:val="bottom"/>
            <w:tcBorders>
              <w:top w:val="single" w:sz="8" w:color="E7ECFC"/>
            </w:tcBorders>
            <w:shd w:val="clear" w:color="auto" w:fill="E7ECFC"/>
          </w:tcPr>
          <w:p>
            <w:pPr>
              <w:spacing w:after="0"/>
              <w:rPr>
                <w:sz w:val="11"/>
                <w:szCs w:val="11"/>
                <w:color w:val="auto"/>
              </w:rPr>
            </w:pPr>
          </w:p>
        </w:tc>
        <w:tc>
          <w:tcPr>
            <w:tcW w:w="940" w:type="dxa"/>
            <w:vAlign w:val="bottom"/>
            <w:tcBorders>
              <w:top w:val="single" w:sz="8" w:color="auto"/>
            </w:tcBorders>
            <w:shd w:val="clear" w:color="auto" w:fill="E7ECFC"/>
          </w:tcPr>
          <w:p>
            <w:pPr>
              <w:ind w:left="3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E7ECFC"/>
            </w:tcBorders>
            <w:shd w:val="clear" w:color="auto" w:fill="E7ECFC"/>
          </w:tcPr>
          <w:p>
            <w:pPr>
              <w:spacing w:after="0"/>
              <w:rPr>
                <w:sz w:val="11"/>
                <w:szCs w:val="11"/>
                <w:color w:val="auto"/>
              </w:rPr>
            </w:pPr>
          </w:p>
        </w:tc>
        <w:tc>
          <w:tcPr>
            <w:tcW w:w="840" w:type="dxa"/>
            <w:vAlign w:val="bottom"/>
            <w:tcBorders>
              <w:top w:val="single" w:sz="8" w:color="auto"/>
            </w:tcBorders>
            <w:shd w:val="clear" w:color="auto" w:fill="E7ECFC"/>
          </w:tcPr>
          <w:p>
            <w:pPr>
              <w:jc w:val="right"/>
              <w:spacing w:after="0" w:line="136" w:lineRule="exact"/>
              <w:rPr>
                <w:sz w:val="20"/>
                <w:szCs w:val="20"/>
                <w:color w:val="auto"/>
              </w:rPr>
            </w:pPr>
            <w:r>
              <w:rPr>
                <w:rFonts w:ascii="Times New Roman" w:cs="Times New Roman" w:eastAsia="Times New Roman" w:hAnsi="Times New Roman"/>
                <w:sz w:val="14"/>
                <w:szCs w:val="14"/>
                <w:color w:val="auto"/>
              </w:rPr>
              <w:t>$(2,466,114)</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$18,506,688</w:t>
            </w:r>
          </w:p>
        </w:tc>
        <w:tc>
          <w:tcPr>
            <w:tcW w:w="380" w:type="dxa"/>
            <w:vAlign w:val="bottom"/>
          </w:tcPr>
          <w:p>
            <w:pPr>
              <w:spacing w:after="0"/>
              <w:rPr>
                <w:sz w:val="16"/>
                <w:szCs w:val="16"/>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$18,506,688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40" w:right="20" w:hanging="424"/>
        <w:spacing w:after="0" w:line="229" w:lineRule="auto"/>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For purposes of the Company’s 2021 cumulative TSR, the measurement period begins at the Company’s September 2021 initial public offering.</w:t>
      </w:r>
    </w:p>
    <w:p>
      <w:pPr>
        <w:ind w:left="540" w:right="120" w:hanging="424"/>
        <w:spacing w:after="0" w:line="233" w:lineRule="auto"/>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peer group TSR, weighted according to the respective companies’ stock market capitalization at the beginning of each period for which a return is indicated. The peer group used for both 2021 and 2022 is the 2022 Compensation Peer Group as defined and described under “Compensation Discussion &amp; Analysis” above. The 2022 Compensation Peer Group was used a reference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right="280"/>
        <w:spacing w:after="0" w:line="227" w:lineRule="auto"/>
        <w:rPr>
          <w:sz w:val="20"/>
          <w:szCs w:val="20"/>
          <w:color w:val="auto"/>
        </w:rPr>
      </w:pPr>
      <w:r>
        <w:rPr>
          <w:rFonts w:ascii="Times New Roman" w:cs="Times New Roman" w:eastAsia="Times New Roman" w:hAnsi="Times New Roman"/>
          <w:sz w:val="14"/>
          <w:szCs w:val="14"/>
          <w:color w:val="auto"/>
        </w:rPr>
        <w:t>point both for 2021 compensation decisions made at the time of and following our initial public offering and for nearly all 2022 compensation decisions. The Updated 2022 Compensation Peer Group, as also defined and described under “Compensation Discussion &amp; Analysis” above, was used a reference point in 2022 solely for decisions made with respect to Mr. Maack’s new-hire compensation. Two-year TSR for the Updated 2022 Compensation Peer Group, assuming a $100 initial investment on December 31, 2020, would have been $41.43.</w:t>
      </w:r>
    </w:p>
    <w:p>
      <w:pPr>
        <w:ind w:left="540" w:hanging="424"/>
        <w:spacing w:after="0" w:line="222" w:lineRule="auto"/>
        <w:tabs>
          <w:tab w:leader="none" w:pos="5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reflected in the Company’s audited financial statements for the applicable year.</w:t>
      </w:r>
    </w:p>
    <w:p>
      <w:pPr>
        <w:ind w:left="540" w:hanging="424"/>
        <w:spacing w:after="0" w:line="221" w:lineRule="auto"/>
        <w:tabs>
          <w:tab w:leader="none" w:pos="5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utilized relative TSR for Mr. Musslewhite’s Promotion PSUs. Relative TSR refers to the Company’s TSR versus the Nasdaq Composite index of SaaS and Health Care Information Technology companies, as described under “Compensation Discussion &amp; Analysis – Long-Term Equity Incentives” above. We did not use any financial performance measures within the meaning of Item 402(v) of Regulation S-K to link Compensation Actually Paid as reported in the table above to our other NEOs in 2022, and therefore we have not included any other “Company-Selected Measure” in the table above.</w:t>
      </w:r>
    </w:p>
    <w:p>
      <w:pPr>
        <w:spacing w:after="0" w:line="1" w:lineRule="exact"/>
        <w:rPr>
          <w:rFonts w:ascii="Times New Roman" w:cs="Times New Roman" w:eastAsia="Times New Roman" w:hAnsi="Times New Roman"/>
          <w:sz w:val="14"/>
          <w:szCs w:val="14"/>
          <w:color w:val="auto"/>
        </w:rPr>
      </w:pPr>
    </w:p>
    <w:p>
      <w:pPr>
        <w:ind w:left="540" w:hanging="424"/>
        <w:spacing w:after="0" w:line="239" w:lineRule="auto"/>
        <w:tabs>
          <w:tab w:leader="none" w:pos="5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Musslewhite was not our principal executive officer during 2021 and as such, no amount is shown for Mr. Musslewhite in columns (b) and (c) for 2021. Instead, Mr. Musslewhite’s compensation during 2021 is included as part of the average non-PEO NEO compensation in columns (d) and (e).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11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PEOs, the average of Compensation Actually Paid to our other NEOs, and the Company’s cumulative TSR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131445</wp:posOffset>
            </wp:positionV>
            <wp:extent cx="4105910" cy="2460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05910"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PEOs, the average of Compensation Actually Paid to our other NEOs, and the Company’s net income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131445</wp:posOffset>
            </wp:positionV>
            <wp:extent cx="4105910" cy="2459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0591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PEO Compensation Actually Paid and Relative Total Shareholder Return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Robert Musslewhite, one of our PEOs during 2022, and the Company’s TSR relative to the TSR of the Nasdaq Composite index of SaaS and Health Care Information Technology companies, over the two most recently completed fiscal years. The Company did not link relative TSR, or any other financial performance measure within the meaning of Item 402(v) of Regulation S-K, to the 2022 Compensation Actually Paid (as reported above) to Mr. Krantz, our other 2022 PEO, or to our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142875</wp:posOffset>
            </wp:positionV>
            <wp:extent cx="4105910" cy="2459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0591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82"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Cumulative TSR of the Company and Cumulative TSR of the Peer Group</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following graph compares our cumulative TSR over the two most recently completed fiscal years to that of the 2022 Compensation Peer Group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131445</wp:posOffset>
            </wp:positionV>
            <wp:extent cx="4105910" cy="2459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0591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Tabular List of Most Important Performance Measures</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and non-financial performance measures that the Company considers to be the most important in linking Compensation Actually Paid to our NEOs for 2022 to Company performance.</w:t>
      </w:r>
    </w:p>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2022 Most Important Performance</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Measures (Unranked)</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Relative Total Shareholder Return</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Annual Recurring Revenue</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Net Dollar Retention</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Enterprise Customer Growth</w:t>
      </w:r>
    </w:p>
    <w:p>
      <w:pPr>
        <w:spacing w:after="0" w:line="20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“Pay-Versus-Performance Table”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320" w:top="482" w:right="599" w:bottom="1440" w:gutter="0" w:footer="0" w:header="0"/>
        </w:sectPr>
      </w:pPr>
    </w:p>
    <w:bookmarkStart w:id="65" w:name="page66"/>
    <w:bookmarkEnd w:id="6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INTERLOCKS AND INSIDER PARTICIPATION</w:t>
      </w:r>
    </w:p>
    <w:p>
      <w:pPr>
        <w:spacing w:after="0" w:line="22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members of our HCM and Compensation Committee during 2022 included Jill Larsen, D. Randall Winn, Jeff Haywood, and Lauren Young. None of the members of our HCM and Compensation Committee during 2022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HCM and Compensation Committee. We are party to certain transactions with Advent and Spectrum Equity described under “Certain Relationships and Related Person Transactions.”</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We currently maintain the 2021 Plan and the Definitive Healthcare Corp. 2021 Employee Stock Purchase Plan (the “ESPP”), which have both been approved by stockholders in connection with our IPO, and the 2019 Plan, under which we made awards prior to our IPO and which has not been approved by stockholders. Effective September 15, 2021, we no longer grant any awards under the 2019 Plan, though previously granted awards under the 2019 Plan remain outstanding and governed by the 2019 Plan. As of December 31, 2022, we had not offered our employees the opportunity to purchase any shares under the ESPP.</w:t>
      </w:r>
    </w:p>
    <w:p>
      <w:pPr>
        <w:spacing w:after="0" w:line="183"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December 31, 2022, certain information related to our compensation plans under which shares of our Class A common stock may be issued.</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52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24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52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Issued Upon Exercise of</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22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52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2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215"/>
        </w:trPr>
        <w:tc>
          <w:tcPr>
            <w:tcW w:w="2640" w:type="dxa"/>
            <w:vAlign w:val="bottom"/>
            <w:tcBorders>
              <w:bottom w:val="single" w:sz="8" w:color="E7ECFC"/>
            </w:tcBorders>
          </w:tcPr>
          <w:p>
            <w:pPr>
              <w:spacing w:after="0"/>
              <w:rPr>
                <w:sz w:val="18"/>
                <w:szCs w:val="18"/>
                <w:color w:val="auto"/>
              </w:rPr>
            </w:pPr>
          </w:p>
        </w:tc>
        <w:tc>
          <w:tcPr>
            <w:tcW w:w="35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2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Plans</w:t>
            </w:r>
          </w:p>
        </w:tc>
        <w:tc>
          <w:tcPr>
            <w:tcW w:w="0" w:type="dxa"/>
            <w:vAlign w:val="bottom"/>
          </w:tcPr>
          <w:p>
            <w:pPr>
              <w:spacing w:after="0"/>
              <w:rPr>
                <w:sz w:val="1"/>
                <w:szCs w:val="1"/>
                <w:color w:val="auto"/>
              </w:rPr>
            </w:pPr>
          </w:p>
        </w:tc>
      </w:tr>
      <w:tr>
        <w:trPr>
          <w:trHeight w:val="172"/>
        </w:trPr>
        <w:tc>
          <w:tcPr>
            <w:tcW w:w="2640" w:type="dxa"/>
            <w:vAlign w:val="bottom"/>
            <w:shd w:val="clear" w:color="auto" w:fill="E7ECFC"/>
          </w:tcPr>
          <w:p>
            <w:pPr>
              <w:spacing w:after="0" w:line="171" w:lineRule="exact"/>
              <w:rPr>
                <w:sz w:val="20"/>
                <w:szCs w:val="20"/>
                <w:color w:val="auto"/>
              </w:rPr>
            </w:pPr>
            <w:r>
              <w:rPr>
                <w:rFonts w:ascii="Times New Roman" w:cs="Times New Roman" w:eastAsia="Times New Roman" w:hAnsi="Times New Roman"/>
                <w:sz w:val="16"/>
                <w:szCs w:val="16"/>
                <w:color w:val="auto"/>
              </w:rPr>
              <w:t>Equity compensation plans approved by</w:t>
            </w:r>
          </w:p>
        </w:tc>
        <w:tc>
          <w:tcPr>
            <w:tcW w:w="3520" w:type="dxa"/>
            <w:vAlign w:val="bottom"/>
            <w:vMerge w:val="restart"/>
            <w:shd w:val="clear" w:color="auto" w:fill="E7ECFC"/>
          </w:tcPr>
          <w:p>
            <w:pPr>
              <w:jc w:val="right"/>
              <w:ind w:right="499"/>
              <w:spacing w:after="0"/>
              <w:rPr>
                <w:sz w:val="20"/>
                <w:szCs w:val="20"/>
                <w:color w:val="auto"/>
              </w:rPr>
            </w:pPr>
            <w:r>
              <w:rPr>
                <w:rFonts w:ascii="Times New Roman" w:cs="Times New Roman" w:eastAsia="Times New Roman" w:hAnsi="Times New Roman"/>
                <w:sz w:val="16"/>
                <w:szCs w:val="16"/>
                <w:color w:val="auto"/>
              </w:rPr>
              <w:t>3,813,387</w:t>
            </w:r>
            <w:r>
              <w:rPr>
                <w:rFonts w:ascii="Times New Roman" w:cs="Times New Roman" w:eastAsia="Times New Roman" w:hAnsi="Times New Roman"/>
                <w:sz w:val="24"/>
                <w:szCs w:val="24"/>
                <w:color w:val="auto"/>
                <w:vertAlign w:val="superscript"/>
              </w:rPr>
              <w:t>(1)</w:t>
            </w:r>
          </w:p>
        </w:tc>
        <w:tc>
          <w:tcPr>
            <w:tcW w:w="2620" w:type="dxa"/>
            <w:vAlign w:val="bottom"/>
            <w:shd w:val="clear" w:color="auto" w:fill="E7ECFC"/>
          </w:tcPr>
          <w:p>
            <w:pPr>
              <w:spacing w:after="0"/>
              <w:rPr>
                <w:sz w:val="14"/>
                <w:szCs w:val="14"/>
                <w:color w:val="auto"/>
              </w:rPr>
            </w:pPr>
          </w:p>
        </w:tc>
        <w:tc>
          <w:tcPr>
            <w:tcW w:w="2240" w:type="dxa"/>
            <w:vAlign w:val="bottom"/>
            <w:vMerge w:val="restart"/>
            <w:shd w:val="clear" w:color="auto" w:fill="E7ECFC"/>
          </w:tcPr>
          <w:p>
            <w:pPr>
              <w:jc w:val="center"/>
              <w:ind w:right="359"/>
              <w:spacing w:after="0"/>
              <w:rPr>
                <w:sz w:val="20"/>
                <w:szCs w:val="20"/>
                <w:color w:val="auto"/>
              </w:rPr>
            </w:pPr>
            <w:r>
              <w:rPr>
                <w:rFonts w:ascii="Times New Roman" w:cs="Times New Roman" w:eastAsia="Times New Roman" w:hAnsi="Times New Roman"/>
                <w:sz w:val="16"/>
                <w:szCs w:val="16"/>
                <w:color w:val="auto"/>
              </w:rPr>
              <w:t>4,692,128</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2640" w:type="dxa"/>
            <w:vAlign w:val="bottom"/>
            <w:shd w:val="clear" w:color="auto" w:fill="E7ECFC"/>
          </w:tcPr>
          <w:p>
            <w:pPr>
              <w:spacing w:after="0"/>
              <w:rPr>
                <w:sz w:val="20"/>
                <w:szCs w:val="20"/>
                <w:color w:val="auto"/>
              </w:rPr>
            </w:pPr>
            <w:r>
              <w:rPr>
                <w:rFonts w:ascii="Times New Roman" w:cs="Times New Roman" w:eastAsia="Times New Roman" w:hAnsi="Times New Roman"/>
                <w:sz w:val="16"/>
                <w:szCs w:val="16"/>
                <w:color w:val="auto"/>
              </w:rPr>
              <w:t>stockholders</w:t>
            </w:r>
          </w:p>
        </w:tc>
        <w:tc>
          <w:tcPr>
            <w:tcW w:w="3520" w:type="dxa"/>
            <w:vAlign w:val="bottom"/>
            <w:vMerge w:val="continue"/>
            <w:shd w:val="clear" w:color="auto" w:fill="E7ECFC"/>
          </w:tcPr>
          <w:p>
            <w:pPr>
              <w:spacing w:after="0"/>
              <w:rPr>
                <w:sz w:val="18"/>
                <w:szCs w:val="18"/>
                <w:color w:val="auto"/>
              </w:rPr>
            </w:pPr>
          </w:p>
        </w:tc>
        <w:tc>
          <w:tcPr>
            <w:tcW w:w="2620" w:type="dxa"/>
            <w:vAlign w:val="bottom"/>
            <w:shd w:val="clear" w:color="auto" w:fill="E7EC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240" w:type="dxa"/>
            <w:vAlign w:val="bottom"/>
            <w:vMerge w:val="continue"/>
            <w:shd w:val="clear" w:color="auto" w:fill="E7EC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 not approved</w:t>
            </w:r>
          </w:p>
        </w:tc>
        <w:tc>
          <w:tcPr>
            <w:tcW w:w="352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color w:val="auto"/>
              </w:rPr>
              <w:t>1,509,149</w:t>
            </w:r>
            <w:r>
              <w:rPr>
                <w:rFonts w:ascii="Times New Roman" w:cs="Times New Roman" w:eastAsia="Times New Roman" w:hAnsi="Times New Roman"/>
                <w:sz w:val="24"/>
                <w:szCs w:val="24"/>
                <w:color w:val="auto"/>
                <w:vertAlign w:val="superscript"/>
              </w:rPr>
              <w:t>(2)</w:t>
            </w:r>
          </w:p>
        </w:tc>
        <w:tc>
          <w:tcPr>
            <w:tcW w:w="2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by stockholders</w:t>
            </w:r>
          </w:p>
        </w:tc>
        <w:tc>
          <w:tcPr>
            <w:tcW w:w="3520" w:type="dxa"/>
            <w:vAlign w:val="bottom"/>
            <w:tcBorders>
              <w:bottom w:val="single" w:sz="8" w:color="auto"/>
            </w:tcBorders>
            <w:vMerge w:val="continue"/>
          </w:tcPr>
          <w:p>
            <w:pPr>
              <w:spacing w:after="0"/>
              <w:rPr>
                <w:sz w:val="18"/>
                <w:szCs w:val="18"/>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2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640" w:type="dxa"/>
            <w:vAlign w:val="bottom"/>
            <w:shd w:val="clear" w:color="auto" w:fill="E7ECFC"/>
          </w:tcPr>
          <w:p>
            <w:pPr>
              <w:ind w:left="800"/>
              <w:spacing w:after="0"/>
              <w:rPr>
                <w:sz w:val="20"/>
                <w:szCs w:val="20"/>
                <w:color w:val="auto"/>
              </w:rPr>
            </w:pPr>
            <w:r>
              <w:rPr>
                <w:rFonts w:ascii="Times New Roman" w:cs="Times New Roman" w:eastAsia="Times New Roman" w:hAnsi="Times New Roman"/>
                <w:sz w:val="16"/>
                <w:szCs w:val="16"/>
                <w:color w:val="auto"/>
              </w:rPr>
              <w:t>Total</w:t>
            </w:r>
          </w:p>
        </w:tc>
        <w:tc>
          <w:tcPr>
            <w:tcW w:w="3520" w:type="dxa"/>
            <w:vAlign w:val="bottom"/>
            <w:shd w:val="clear" w:color="auto" w:fill="E7ECFC"/>
          </w:tcPr>
          <w:p>
            <w:pPr>
              <w:jc w:val="right"/>
              <w:ind w:right="499"/>
              <w:spacing w:after="0"/>
              <w:rPr>
                <w:sz w:val="20"/>
                <w:szCs w:val="20"/>
                <w:color w:val="auto"/>
              </w:rPr>
            </w:pPr>
            <w:r>
              <w:rPr>
                <w:rFonts w:ascii="Times New Roman" w:cs="Times New Roman" w:eastAsia="Times New Roman" w:hAnsi="Times New Roman"/>
                <w:sz w:val="16"/>
                <w:szCs w:val="16"/>
                <w:color w:val="auto"/>
              </w:rPr>
              <w:t>5,322,536</w:t>
            </w:r>
          </w:p>
        </w:tc>
        <w:tc>
          <w:tcPr>
            <w:tcW w:w="2620" w:type="dxa"/>
            <w:vAlign w:val="bottom"/>
            <w:shd w:val="clear" w:color="auto" w:fill="E7EC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240" w:type="dxa"/>
            <w:vAlign w:val="bottom"/>
            <w:shd w:val="clear" w:color="auto" w:fill="E7ECFC"/>
          </w:tcPr>
          <w:p>
            <w:pPr>
              <w:jc w:val="right"/>
              <w:ind w:right="439"/>
              <w:spacing w:after="0"/>
              <w:rPr>
                <w:sz w:val="20"/>
                <w:szCs w:val="20"/>
                <w:color w:val="auto"/>
              </w:rPr>
            </w:pPr>
            <w:r>
              <w:rPr>
                <w:rFonts w:ascii="Times New Roman" w:cs="Times New Roman" w:eastAsia="Times New Roman" w:hAnsi="Times New Roman"/>
                <w:sz w:val="16"/>
                <w:szCs w:val="16"/>
                <w:color w:val="auto"/>
              </w:rPr>
              <w:t>4,692,128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00" w:hanging="424"/>
        <w:spacing w:after="0" w:line="269" w:lineRule="auto"/>
        <w:tabs>
          <w:tab w:leader="none" w:pos="42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3,438,387 shares of our Class A common stock issuable upon the settlement of time-based RSUs and 375,000 shares of our Class A common stock issuable upon the settlement of PSUs issued under the 2021 Plan as of December 31, 2022.</w:t>
      </w:r>
    </w:p>
    <w:p>
      <w:pPr>
        <w:ind w:left="424" w:right="100" w:hanging="424"/>
        <w:spacing w:after="0" w:line="264" w:lineRule="auto"/>
        <w:tabs>
          <w:tab w:leader="none" w:pos="42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unvested awards under the 2019 Plan of Class B Units which were converted into LLC Units in connection with our IPO and, once vested, are paired with shares of Class B common stock. Once vested, LLC Units may be exchanged at the election of the holder for shares of Class A common stock of the Company on a one-for-one basis. Any Class B common stock held will be cancelled at the time of the exchange. The Company no longer grants awards under the 2019 Plan. For additional information with respect to the 2019 Plan, see Note 17 to the Company’s consolidated financial statements included in the Company’s Annual Report on Form 10-K for the fiscal year ended December 31, 2022.</w:t>
      </w:r>
    </w:p>
    <w:p>
      <w:pPr>
        <w:ind w:left="424" w:right="20" w:hanging="424"/>
        <w:spacing w:after="0" w:line="267" w:lineRule="auto"/>
        <w:tabs>
          <w:tab w:leader="none" w:pos="42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4,692,128 shares of Class A common stock were available for future issuance under the 2021 Plan and 1,498,173 shares of Class A common stock were available for future issuance under the ESPP. On the first day of each fiscal year, commencing on January 1, 2023 and ending on (and including) January 1, 2032: (A) the share reserve under the 2021 Plan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and (B) the aggregate number of shares of Class A common stock that may be issued under the ESPP will automatically increase by a number equal to the least of (i) 1.0% of the total number of shares of Class A common stock actually issued and outstanding on the last day of the preceding fiscal year, (ii) a number of shares of Class A common stock determined by the Board; and (iii) 1,498,173 shares of Class A common stock.</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93" w:right="439" w:bottom="1440" w:gutter="0" w:footer="0" w:header="0"/>
        </w:sectPr>
      </w:pPr>
    </w:p>
    <w:bookmarkStart w:id="66" w:name="page67"/>
    <w:bookmarkEnd w:id="6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non-employee directors for fiscal year 2022.</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980" w:type="dxa"/>
            <w:vAlign w:val="bottom"/>
            <w:gridSpan w:val="3"/>
          </w:tcPr>
          <w:p>
            <w:pPr>
              <w:ind w:left="20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58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Pr>
          <w:p>
            <w:pPr>
              <w:spacing w:after="0"/>
              <w:rPr>
                <w:sz w:val="13"/>
                <w:szCs w:val="13"/>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8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580" w:type="dxa"/>
            <w:vAlign w:val="bottom"/>
          </w:tcPr>
          <w:p>
            <w:pPr>
              <w:spacing w:after="0"/>
              <w:rPr>
                <w:sz w:val="12"/>
                <w:szCs w:val="12"/>
                <w:color w:val="auto"/>
              </w:rPr>
            </w:pPr>
          </w:p>
        </w:tc>
        <w:tc>
          <w:tcPr>
            <w:tcW w:w="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280" w:type="dxa"/>
            <w:vAlign w:val="bottom"/>
            <w:gridSpan w:val="2"/>
          </w:tcPr>
          <w:p>
            <w:pPr>
              <w:jc w:val="center"/>
              <w:ind w:left="494"/>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280" w:type="dxa"/>
            <w:vAlign w:val="bottom"/>
            <w:gridSpan w:val="2"/>
          </w:tcPr>
          <w:p>
            <w:pPr>
              <w:jc w:val="center"/>
              <w:ind w:left="49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D1FCFC"/>
            </w:tcBorders>
            <w:gridSpan w:val="2"/>
            <w:shd w:val="clear" w:color="auto" w:fill="D1FCFC"/>
          </w:tcPr>
          <w:p>
            <w:pPr>
              <w:spacing w:after="0" w:line="203" w:lineRule="exact"/>
              <w:rPr>
                <w:sz w:val="20"/>
                <w:szCs w:val="20"/>
                <w:color w:val="auto"/>
              </w:rPr>
            </w:pPr>
            <w:r>
              <w:rPr>
                <w:rFonts w:ascii="Times New Roman" w:cs="Times New Roman" w:eastAsia="Times New Roman" w:hAnsi="Times New Roman"/>
                <w:sz w:val="16"/>
                <w:szCs w:val="16"/>
                <w:color w:val="auto"/>
              </w:rPr>
              <w:t>Christopher Egan</w:t>
            </w:r>
            <w:r>
              <w:rPr>
                <w:rFonts w:ascii="Times New Roman" w:cs="Times New Roman" w:eastAsia="Times New Roman" w:hAnsi="Times New Roman"/>
                <w:sz w:val="23"/>
                <w:szCs w:val="23"/>
                <w:color w:val="auto"/>
                <w:vertAlign w:val="superscript"/>
              </w:rPr>
              <w:t>(3)</w:t>
            </w:r>
          </w:p>
        </w:tc>
        <w:tc>
          <w:tcPr>
            <w:tcW w:w="2080" w:type="dxa"/>
            <w:vAlign w:val="bottom"/>
            <w:tcBorders>
              <w:top w:val="single" w:sz="8" w:color="D1FCFC"/>
            </w:tcBorders>
            <w:shd w:val="clear" w:color="auto" w:fill="D1FCFC"/>
          </w:tcPr>
          <w:p>
            <w:pPr>
              <w:spacing w:after="0"/>
              <w:rPr>
                <w:sz w:val="17"/>
                <w:szCs w:val="17"/>
                <w:color w:val="auto"/>
              </w:rPr>
            </w:pPr>
          </w:p>
        </w:tc>
        <w:tc>
          <w:tcPr>
            <w:tcW w:w="180" w:type="dxa"/>
            <w:vAlign w:val="bottom"/>
            <w:tcBorders>
              <w:top w:val="single" w:sz="8" w:color="auto"/>
            </w:tcBorders>
            <w:shd w:val="clear" w:color="auto" w:fill="D1FCFC"/>
          </w:tcPr>
          <w:p>
            <w:pPr>
              <w:spacing w:after="0"/>
              <w:rPr>
                <w:sz w:val="17"/>
                <w:szCs w:val="17"/>
                <w:color w:val="auto"/>
              </w:rPr>
            </w:pPr>
          </w:p>
        </w:tc>
        <w:tc>
          <w:tcPr>
            <w:tcW w:w="720" w:type="dxa"/>
            <w:vAlign w:val="bottom"/>
            <w:tcBorders>
              <w:top w:val="single" w:sz="8" w:color="auto"/>
            </w:tcBorders>
            <w:shd w:val="clear" w:color="auto" w:fill="D1FCFC"/>
          </w:tcPr>
          <w:p>
            <w:pPr>
              <w:ind w:left="3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D1FCFC"/>
            </w:tcBorders>
            <w:shd w:val="clear" w:color="auto" w:fill="D1FCFC"/>
          </w:tcPr>
          <w:p>
            <w:pPr>
              <w:spacing w:after="0"/>
              <w:rPr>
                <w:sz w:val="17"/>
                <w:szCs w:val="17"/>
                <w:color w:val="auto"/>
              </w:rPr>
            </w:pPr>
          </w:p>
        </w:tc>
        <w:tc>
          <w:tcPr>
            <w:tcW w:w="700" w:type="dxa"/>
            <w:vAlign w:val="bottom"/>
            <w:tcBorders>
              <w:top w:val="single" w:sz="8" w:color="auto"/>
            </w:tcBorders>
            <w:shd w:val="clear" w:color="auto" w:fill="D1FCFC"/>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D1FCFC"/>
            </w:tcBorders>
            <w:shd w:val="clear" w:color="auto" w:fill="D1FCFC"/>
          </w:tcPr>
          <w:p>
            <w:pPr>
              <w:spacing w:after="0"/>
              <w:rPr>
                <w:sz w:val="17"/>
                <w:szCs w:val="17"/>
                <w:color w:val="auto"/>
              </w:rPr>
            </w:pPr>
          </w:p>
        </w:tc>
        <w:tc>
          <w:tcPr>
            <w:tcW w:w="680" w:type="dxa"/>
            <w:vAlign w:val="bottom"/>
            <w:tcBorders>
              <w:top w:val="single" w:sz="8" w:color="auto"/>
            </w:tcBorders>
            <w:shd w:val="clear" w:color="auto" w:fill="D1FCFC"/>
          </w:tcPr>
          <w:p>
            <w:pPr>
              <w:ind w:left="2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Samuel A. Hamood</w:t>
            </w:r>
            <w:r>
              <w:rPr>
                <w:rFonts w:ascii="Times New Roman" w:cs="Times New Roman" w:eastAsia="Times New Roman" w:hAnsi="Times New Roman"/>
                <w:sz w:val="25"/>
                <w:szCs w:val="25"/>
                <w:color w:val="auto"/>
                <w:vertAlign w:val="superscript"/>
              </w:rPr>
              <w:t>(4)</w:t>
            </w:r>
          </w:p>
        </w:tc>
        <w:tc>
          <w:tcPr>
            <w:tcW w:w="22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70,000</w:t>
            </w:r>
          </w:p>
        </w:tc>
        <w:tc>
          <w:tcPr>
            <w:tcW w:w="128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$248,865</w:t>
            </w:r>
          </w:p>
        </w:tc>
        <w:tc>
          <w:tcPr>
            <w:tcW w:w="128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$318,865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Jeff Haywood</w:t>
            </w:r>
            <w:r>
              <w:rPr>
                <w:rFonts w:ascii="Times New Roman" w:cs="Times New Roman" w:eastAsia="Times New Roman" w:hAnsi="Times New Roman"/>
                <w:sz w:val="25"/>
                <w:szCs w:val="25"/>
                <w:color w:val="auto"/>
                <w:vertAlign w:val="superscript"/>
              </w:rPr>
              <w:t>(3)</w:t>
            </w:r>
          </w:p>
        </w:tc>
        <w:tc>
          <w:tcPr>
            <w:tcW w:w="2080" w:type="dxa"/>
            <w:vAlign w:val="bottom"/>
            <w:shd w:val="clear" w:color="auto" w:fill="D1FCFC"/>
          </w:tcPr>
          <w:p>
            <w:pPr>
              <w:spacing w:after="0"/>
              <w:rPr>
                <w:sz w:val="18"/>
                <w:szCs w:val="18"/>
                <w:color w:val="auto"/>
              </w:rPr>
            </w:pPr>
          </w:p>
        </w:tc>
        <w:tc>
          <w:tcPr>
            <w:tcW w:w="180" w:type="dxa"/>
            <w:vAlign w:val="bottom"/>
            <w:shd w:val="clear" w:color="auto" w:fill="D1FCFC"/>
          </w:tcPr>
          <w:p>
            <w:pPr>
              <w:spacing w:after="0"/>
              <w:rPr>
                <w:sz w:val="18"/>
                <w:szCs w:val="18"/>
                <w:color w:val="auto"/>
              </w:rPr>
            </w:pPr>
          </w:p>
        </w:tc>
        <w:tc>
          <w:tcPr>
            <w:tcW w:w="720" w:type="dxa"/>
            <w:vAlign w:val="bottom"/>
            <w:shd w:val="clear" w:color="auto" w:fill="D1FC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1FCFC"/>
          </w:tcPr>
          <w:p>
            <w:pPr>
              <w:spacing w:after="0"/>
              <w:rPr>
                <w:sz w:val="18"/>
                <w:szCs w:val="18"/>
                <w:color w:val="auto"/>
              </w:rPr>
            </w:pPr>
          </w:p>
        </w:tc>
        <w:tc>
          <w:tcPr>
            <w:tcW w:w="700" w:type="dxa"/>
            <w:vAlign w:val="bottom"/>
            <w:shd w:val="clear" w:color="auto" w:fill="D1FC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1FCFC"/>
          </w:tcPr>
          <w:p>
            <w:pPr>
              <w:spacing w:after="0"/>
              <w:rPr>
                <w:sz w:val="18"/>
                <w:szCs w:val="18"/>
                <w:color w:val="auto"/>
              </w:rPr>
            </w:pPr>
          </w:p>
        </w:tc>
        <w:tc>
          <w:tcPr>
            <w:tcW w:w="740" w:type="dxa"/>
            <w:vAlign w:val="bottom"/>
            <w:gridSpan w:val="2"/>
            <w:shd w:val="clear" w:color="auto" w:fill="D1FC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Jill Larsen</w:t>
            </w:r>
            <w:r>
              <w:rPr>
                <w:rFonts w:ascii="Times New Roman" w:cs="Times New Roman" w:eastAsia="Times New Roman" w:hAnsi="Times New Roman"/>
                <w:sz w:val="25"/>
                <w:szCs w:val="25"/>
                <w:color w:val="auto"/>
                <w:vertAlign w:val="superscript"/>
              </w:rPr>
              <w:t>(5)</w:t>
            </w:r>
          </w:p>
        </w:tc>
        <w:tc>
          <w:tcPr>
            <w:tcW w:w="22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70,000</w:t>
            </w:r>
          </w:p>
        </w:tc>
        <w:tc>
          <w:tcPr>
            <w:tcW w:w="128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$248,865</w:t>
            </w:r>
          </w:p>
        </w:tc>
        <w:tc>
          <w:tcPr>
            <w:tcW w:w="128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$318,865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Lauren Young</w:t>
            </w:r>
            <w:r>
              <w:rPr>
                <w:rFonts w:ascii="Times New Roman" w:cs="Times New Roman" w:eastAsia="Times New Roman" w:hAnsi="Times New Roman"/>
                <w:sz w:val="25"/>
                <w:szCs w:val="25"/>
                <w:color w:val="auto"/>
                <w:vertAlign w:val="superscript"/>
              </w:rPr>
              <w:t>(3)</w:t>
            </w:r>
          </w:p>
        </w:tc>
        <w:tc>
          <w:tcPr>
            <w:tcW w:w="2080" w:type="dxa"/>
            <w:vAlign w:val="bottom"/>
            <w:shd w:val="clear" w:color="auto" w:fill="D1FCFC"/>
          </w:tcPr>
          <w:p>
            <w:pPr>
              <w:spacing w:after="0"/>
              <w:rPr>
                <w:sz w:val="18"/>
                <w:szCs w:val="18"/>
                <w:color w:val="auto"/>
              </w:rPr>
            </w:pPr>
          </w:p>
        </w:tc>
        <w:tc>
          <w:tcPr>
            <w:tcW w:w="180" w:type="dxa"/>
            <w:vAlign w:val="bottom"/>
            <w:shd w:val="clear" w:color="auto" w:fill="D1FCFC"/>
          </w:tcPr>
          <w:p>
            <w:pPr>
              <w:spacing w:after="0"/>
              <w:rPr>
                <w:sz w:val="18"/>
                <w:szCs w:val="18"/>
                <w:color w:val="auto"/>
              </w:rPr>
            </w:pPr>
          </w:p>
        </w:tc>
        <w:tc>
          <w:tcPr>
            <w:tcW w:w="720" w:type="dxa"/>
            <w:vAlign w:val="bottom"/>
            <w:shd w:val="clear" w:color="auto" w:fill="D1FC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1FCFC"/>
          </w:tcPr>
          <w:p>
            <w:pPr>
              <w:spacing w:after="0"/>
              <w:rPr>
                <w:sz w:val="18"/>
                <w:szCs w:val="18"/>
                <w:color w:val="auto"/>
              </w:rPr>
            </w:pPr>
          </w:p>
        </w:tc>
        <w:tc>
          <w:tcPr>
            <w:tcW w:w="700" w:type="dxa"/>
            <w:vAlign w:val="bottom"/>
            <w:shd w:val="clear" w:color="auto" w:fill="D1FC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1FCFC"/>
          </w:tcPr>
          <w:p>
            <w:pPr>
              <w:spacing w:after="0"/>
              <w:rPr>
                <w:sz w:val="18"/>
                <w:szCs w:val="18"/>
                <w:color w:val="auto"/>
              </w:rPr>
            </w:pPr>
          </w:p>
        </w:tc>
        <w:tc>
          <w:tcPr>
            <w:tcW w:w="740" w:type="dxa"/>
            <w:vAlign w:val="bottom"/>
            <w:gridSpan w:val="2"/>
            <w:shd w:val="clear" w:color="auto" w:fill="D1FC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Chris Mitchell</w:t>
            </w:r>
            <w:r>
              <w:rPr>
                <w:rFonts w:ascii="Times New Roman" w:cs="Times New Roman" w:eastAsia="Times New Roman" w:hAnsi="Times New Roman"/>
                <w:sz w:val="25"/>
                <w:szCs w:val="25"/>
                <w:color w:val="auto"/>
                <w:vertAlign w:val="superscript"/>
              </w:rPr>
              <w:t>(3)</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Kathleen Winters</w:t>
            </w:r>
            <w:r>
              <w:rPr>
                <w:rFonts w:ascii="Times New Roman" w:cs="Times New Roman" w:eastAsia="Times New Roman" w:hAnsi="Times New Roman"/>
                <w:sz w:val="25"/>
                <w:szCs w:val="25"/>
                <w:color w:val="auto"/>
                <w:vertAlign w:val="superscript"/>
              </w:rPr>
              <w:t>(6)</w:t>
            </w:r>
          </w:p>
        </w:tc>
        <w:tc>
          <w:tcPr>
            <w:tcW w:w="2260" w:type="dxa"/>
            <w:vAlign w:val="bottom"/>
            <w:gridSpan w:val="2"/>
            <w:shd w:val="clear" w:color="auto" w:fill="D1FCFC"/>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1FCFC"/>
          </w:tcPr>
          <w:p>
            <w:pPr>
              <w:ind w:left="220"/>
              <w:spacing w:after="0"/>
              <w:rPr>
                <w:sz w:val="20"/>
                <w:szCs w:val="20"/>
                <w:color w:val="auto"/>
              </w:rPr>
            </w:pPr>
            <w:r>
              <w:rPr>
                <w:rFonts w:ascii="Times New Roman" w:cs="Times New Roman" w:eastAsia="Times New Roman" w:hAnsi="Times New Roman"/>
                <w:sz w:val="18"/>
                <w:szCs w:val="18"/>
                <w:color w:val="auto"/>
                <w:w w:val="96"/>
              </w:rPr>
              <w:t>50,000</w:t>
            </w:r>
          </w:p>
        </w:tc>
        <w:tc>
          <w:tcPr>
            <w:tcW w:w="1280" w:type="dxa"/>
            <w:vAlign w:val="bottom"/>
            <w:gridSpan w:val="2"/>
            <w:shd w:val="clear" w:color="auto" w:fill="D1FCFC"/>
          </w:tcPr>
          <w:p>
            <w:pPr>
              <w:jc w:val="center"/>
              <w:ind w:left="494"/>
              <w:spacing w:after="0"/>
              <w:rPr>
                <w:sz w:val="20"/>
                <w:szCs w:val="20"/>
                <w:color w:val="auto"/>
              </w:rPr>
            </w:pPr>
            <w:r>
              <w:rPr>
                <w:rFonts w:ascii="Times New Roman" w:cs="Times New Roman" w:eastAsia="Times New Roman" w:hAnsi="Times New Roman"/>
                <w:sz w:val="18"/>
                <w:szCs w:val="18"/>
                <w:color w:val="auto"/>
              </w:rPr>
              <w:t>$219,846</w:t>
            </w:r>
          </w:p>
        </w:tc>
        <w:tc>
          <w:tcPr>
            <w:tcW w:w="1280" w:type="dxa"/>
            <w:vAlign w:val="bottom"/>
            <w:gridSpan w:val="2"/>
            <w:shd w:val="clear" w:color="auto" w:fill="D1FCFC"/>
          </w:tcPr>
          <w:p>
            <w:pPr>
              <w:jc w:val="center"/>
              <w:ind w:left="494"/>
              <w:spacing w:after="0"/>
              <w:rPr>
                <w:sz w:val="20"/>
                <w:szCs w:val="20"/>
                <w:color w:val="auto"/>
              </w:rPr>
            </w:pPr>
            <w:r>
              <w:rPr>
                <w:rFonts w:ascii="Times New Roman" w:cs="Times New Roman" w:eastAsia="Times New Roman" w:hAnsi="Times New Roman"/>
                <w:sz w:val="18"/>
                <w:szCs w:val="18"/>
                <w:color w:val="auto"/>
              </w:rPr>
              <w:t>$219,846</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Sastry Chilukuri</w:t>
            </w:r>
            <w:r>
              <w:rPr>
                <w:rFonts w:ascii="Times New Roman" w:cs="Times New Roman" w:eastAsia="Times New Roman" w:hAnsi="Times New Roman"/>
                <w:sz w:val="25"/>
                <w:szCs w:val="25"/>
                <w:color w:val="auto"/>
                <w:vertAlign w:val="superscript"/>
              </w:rPr>
              <w:t>(7)(8)</w:t>
            </w:r>
          </w:p>
        </w:tc>
        <w:tc>
          <w:tcPr>
            <w:tcW w:w="22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12,500</w:t>
            </w:r>
          </w:p>
        </w:tc>
        <w:tc>
          <w:tcPr>
            <w:tcW w:w="128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$413,178</w:t>
            </w:r>
          </w:p>
        </w:tc>
        <w:tc>
          <w:tcPr>
            <w:tcW w:w="128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$425,678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D. Randall Winn</w:t>
            </w:r>
            <w:r>
              <w:rPr>
                <w:rFonts w:ascii="Times New Roman" w:cs="Times New Roman" w:eastAsia="Times New Roman" w:hAnsi="Times New Roman"/>
                <w:sz w:val="25"/>
                <w:szCs w:val="25"/>
                <w:color w:val="auto"/>
                <w:vertAlign w:val="superscript"/>
              </w:rPr>
              <w:t>(3)(9)</w:t>
            </w:r>
          </w:p>
        </w:tc>
        <w:tc>
          <w:tcPr>
            <w:tcW w:w="2080" w:type="dxa"/>
            <w:vAlign w:val="bottom"/>
            <w:shd w:val="clear" w:color="auto" w:fill="D1FCFC"/>
          </w:tcPr>
          <w:p>
            <w:pPr>
              <w:spacing w:after="0"/>
              <w:rPr>
                <w:sz w:val="18"/>
                <w:szCs w:val="18"/>
                <w:color w:val="auto"/>
              </w:rPr>
            </w:pPr>
          </w:p>
        </w:tc>
        <w:tc>
          <w:tcPr>
            <w:tcW w:w="180" w:type="dxa"/>
            <w:vAlign w:val="bottom"/>
            <w:shd w:val="clear" w:color="auto" w:fill="D1FCFC"/>
          </w:tcPr>
          <w:p>
            <w:pPr>
              <w:spacing w:after="0"/>
              <w:rPr>
                <w:sz w:val="18"/>
                <w:szCs w:val="18"/>
                <w:color w:val="auto"/>
              </w:rPr>
            </w:pPr>
          </w:p>
        </w:tc>
        <w:tc>
          <w:tcPr>
            <w:tcW w:w="720" w:type="dxa"/>
            <w:vAlign w:val="bottom"/>
            <w:shd w:val="clear" w:color="auto" w:fill="D1FC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1FCFC"/>
          </w:tcPr>
          <w:p>
            <w:pPr>
              <w:spacing w:after="0"/>
              <w:rPr>
                <w:sz w:val="18"/>
                <w:szCs w:val="18"/>
                <w:color w:val="auto"/>
              </w:rPr>
            </w:pPr>
          </w:p>
        </w:tc>
        <w:tc>
          <w:tcPr>
            <w:tcW w:w="700" w:type="dxa"/>
            <w:vAlign w:val="bottom"/>
            <w:shd w:val="clear" w:color="auto" w:fill="D1FC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1FCFC"/>
          </w:tcPr>
          <w:p>
            <w:pPr>
              <w:spacing w:after="0"/>
              <w:rPr>
                <w:sz w:val="18"/>
                <w:szCs w:val="18"/>
                <w:color w:val="auto"/>
              </w:rPr>
            </w:pPr>
          </w:p>
        </w:tc>
        <w:tc>
          <w:tcPr>
            <w:tcW w:w="740" w:type="dxa"/>
            <w:vAlign w:val="bottom"/>
            <w:gridSpan w:val="2"/>
            <w:shd w:val="clear" w:color="auto" w:fill="D1FC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500" w:hanging="424"/>
        <w:spacing w:after="0" w:line="255"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consist of (i) 2022 annual cash retainer in the amount of $50,000 (in the case of Mr. Chilukuri, pro-rated to his appointment to the Board) and (ii) in the case of Mr. Hamood and Ms. Larsen, an additional chair retainer in the amount of $20,000 for their services as chair of our Audit Committee and HCM &amp; Compensation Committee, respectively. The cash fees reported in this column for Ms. Winters were paid to Winters Advisory Inc, an entity controlled by Ms. Winters, in respect of Ms. Winters’ service on the Board.</w:t>
      </w:r>
    </w:p>
    <w:p>
      <w:pPr>
        <w:spacing w:after="0" w:line="2"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RSU awards granted to our non-employee directors during 2022, computed in accordance with ASC Topic 718. The valuation assumptions associated with such awards are discussed in Note 17 to the Company’s consolidated financial statements included in the Company’s Annual Report on Form 10-K for the fiscal year ending December 31, 2022. These amounts do not reflect the actual economic value that will be realized by the directors upon the vesting of the restricted stock units, or the sale of any common stock acquired under such restricted stock units.</w:t>
      </w:r>
    </w:p>
    <w:p>
      <w:pPr>
        <w:spacing w:after="0" w:line="1" w:lineRule="exact"/>
        <w:rPr>
          <w:rFonts w:ascii="Times New Roman" w:cs="Times New Roman" w:eastAsia="Times New Roman" w:hAnsi="Times New Roman"/>
          <w:sz w:val="18"/>
          <w:szCs w:val="18"/>
          <w:color w:val="auto"/>
        </w:rPr>
      </w:pPr>
    </w:p>
    <w:p>
      <w:pPr>
        <w:ind w:left="424" w:right="460" w:hanging="424"/>
        <w:spacing w:after="0" w:line="250"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Egan, Mr. Haywood, Ms. Young, Mr. Mitchell, or Mr. Winn received compensation for services as a director in 2022 or had any outstanding equity awards as of December 31, 2022. Directors who are employees of Advent, Spectrum Equity, and 22C do not receive compensation for services as a director or as a member of a committee of our Board.</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Hamood held 8,874 unvested LLC Units and 10,070 unvested time-based RSUs.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Ms. Larsen held 7,914 unvested LLC Units and 10,070 unvested time-based RSUs.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Ms. Winters held 14,561 unvested time-based RSUs.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Chilukuri was appointed to the Board on September 30, 2022.</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Chilukuri held 26,588 unvested time-based RSUs.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Winn resigned from the Board effective September 30, 2022.</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Our non-employee directors receive cash and equity compensation for their service on the Board pursuant to our non-employee director compensation policy. Each non-employee directors receives a $50,000 annual retainer for Board services. Our Audit Committee Chair and HCM and Compensation Committee Chair receive an additional chair retainer of $20,000, and our Nominating and Governance Committee Chair receives an additional chair retainer of $10,000, in each case to the extent such chair positions are held by eligible non-employee directors. All annual cash compensation is payable on a quarterly basis in arrears, and retainers are prorated for partial</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4"/>
          </w:cols>
          <w:pgMar w:left="436" w:top="293" w:right="439" w:bottom="144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quarters of service. Each non-employee director also receives (i) an initial equity award of RSUs with a value of $300,000 upon joining our Board, and</w:t>
      </w:r>
    </w:p>
    <w:p>
      <w:pPr>
        <w:spacing w:after="0" w:line="27" w:lineRule="exact"/>
        <w:rPr>
          <w:sz w:val="20"/>
          <w:szCs w:val="20"/>
          <w:color w:val="auto"/>
        </w:rPr>
      </w:pPr>
    </w:p>
    <w:p>
      <w:pPr>
        <w:jc w:val="both"/>
        <w:ind w:left="4" w:right="160" w:hanging="4"/>
        <w:spacing w:after="0" w:line="253" w:lineRule="auto"/>
        <w:tabs>
          <w:tab w:leader="none" w:pos="2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equity award of RSUs, granted on the date of the annual meeting of stockholders, with a value of $175,000 (in the case of directors who join the Board following such date, granted upon appointment and pro-rated for the period from appointment through the one year anniversary of such annual meeting of stockholders), which vests upon the earlier to occur of the one-year anniversary of such annual meeting of stockholders and the date of the next year’s annual meeting of stockholders, subject to such director’s continued service.</w:t>
      </w:r>
    </w:p>
    <w:p>
      <w:pPr>
        <w:spacing w:after="0" w:line="189"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Any director who is an employee of the Company and directors who are employees of Advent or Spectrum Equity do not receive compensation for services as a director or as a member of a committee of our Board.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Effective May 24, 2022, our HCM and Compensation Committee adopted stock ownership guidelines applicable to our non-employee directors (other than those directors who do not receive compensation for Board service because their principal employment is with an investment fund where such investment fund is an investor in the Company), which the HCM and Compensation Committee believes will help align the interests of our non-employee directors with those of our stockholders and may act as a risk mitigation device. Under these guidelines, our non-employee directors are each required to directly or indirectly own shares of our common stock (including shares owned outright, vested and unvested LLC Units, unvested shares of restricted stock or RSUs, and other shares that are considered beneficially owned by the director) with a value equal to at least three times their annual base cash retainer. Directors have five years from the later of the effective date of the guidelines or the date of commencement of their service on the Board to comply, and until the guidelines are satisfied, they must hold 25% of the shares received from their equity grants. As of our latest measurement date (December 31, 2022), all of our non-employee directors subject to the ownership guidelines had met the required ownership guideline level.</w:t>
      </w:r>
    </w:p>
    <w:p>
      <w:pPr>
        <w:spacing w:after="0" w:line="3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97" w:right="459" w:bottom="1440" w:gutter="0" w:footer="0" w:header="0"/>
        </w:sectPr>
      </w:pPr>
    </w:p>
    <w:bookmarkStart w:id="68" w:name="page69"/>
    <w:bookmarkEnd w:id="6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OWNERSHIP OF SECURITIES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and accompanying footnotes set forth information regarding the beneficial ownership of our common stock as of April 3, 2023 by:</w:t>
      </w:r>
    </w:p>
    <w:p>
      <w:pPr>
        <w:spacing w:after="0" w:line="27" w:lineRule="exact"/>
        <w:rPr>
          <w:sz w:val="20"/>
          <w:szCs w:val="20"/>
          <w:color w:val="auto"/>
        </w:rPr>
      </w:pPr>
    </w:p>
    <w:p>
      <w:pPr>
        <w:ind w:left="4" w:right="480" w:hanging="4"/>
        <w:spacing w:after="0" w:line="260"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whom we know to beneficially own more than 5% of either class of our common stock; (2) each of the directors, director nominees, and NEOs individually; and (3) all of our directors and executive officers as a group.</w:t>
      </w:r>
    </w:p>
    <w:p>
      <w:pPr>
        <w:spacing w:after="0" w:line="181"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numbers of shares of our Class A common stock and Class B common stock beneficially owned, percentages of beneficial ownership of each such class and percentages of combined voting power as of April 3, 2023 that are set forth below are based on 110,162,665 shares of Class A common stock and 44,218,741 shares of Class B common stock issued and outstanding as of April 3, 2023. Our shares of Class B common stock have no economic rights, but each share entitles its holder to one vote on all matters on which our stockholders are entitled to vote generally.</w:t>
      </w:r>
    </w:p>
    <w:p>
      <w:pPr>
        <w:spacing w:after="0" w:line="180" w:lineRule="exact"/>
        <w:rPr>
          <w:sz w:val="20"/>
          <w:szCs w:val="20"/>
          <w:color w:val="auto"/>
        </w:rPr>
      </w:pPr>
    </w:p>
    <w:p>
      <w:pPr>
        <w:ind w:left="4" w:right="140"/>
        <w:spacing w:after="0" w:line="254" w:lineRule="auto"/>
        <w:rPr>
          <w:sz w:val="20"/>
          <w:szCs w:val="20"/>
          <w:color w:val="auto"/>
        </w:rPr>
      </w:pPr>
      <w:r>
        <w:rPr>
          <w:rFonts w:ascii="Times New Roman" w:cs="Times New Roman" w:eastAsia="Times New Roman" w:hAnsi="Times New Roman"/>
          <w:sz w:val="18"/>
          <w:szCs w:val="18"/>
          <w:color w:val="auto"/>
        </w:rPr>
        <w:t>In accordance with the rules of the SEC, beneficial ownership includes voting or investment power with respect to securities, and includes shares as to which there is a right to acquire ownership within 60 days following April 3, 2023. With respect to shares included due to ownership of restricted stock units or LLC Units scheduled to vest within such 60 day period, the underlying shares for which such restricted stock units would settle or for which such LLC Units would be exchangeable are deemed to be outstanding for the purpose of computing the percentage ownership of the person holding those restricted stock units or unvested LLC Units, but are not treated as outstanding for the purpose of computing the percentage ownership of any other person. Unless otherwise indicated, the address for each listed stockholder is: c/o Definitive Healthcare Corp., 492 Old Connecticut Path, Suite 401,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34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3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17"/>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9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80" w:type="dxa"/>
            <w:vAlign w:val="bottom"/>
          </w:tcPr>
          <w:p>
            <w:pPr>
              <w:spacing w:after="0"/>
              <w:rPr>
                <w:sz w:val="10"/>
                <w:szCs w:val="10"/>
                <w:color w:val="auto"/>
              </w:rPr>
            </w:pPr>
          </w:p>
        </w:tc>
        <w:tc>
          <w:tcPr>
            <w:tcW w:w="1180" w:type="dxa"/>
            <w:vAlign w:val="bottom"/>
            <w:tcBorders>
              <w:top w:val="single" w:sz="8" w:color="auto"/>
            </w:tcBorders>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80" w:type="dxa"/>
            <w:vAlign w:val="bottom"/>
          </w:tcPr>
          <w:p>
            <w:pPr>
              <w:spacing w:after="0"/>
              <w:rPr>
                <w:sz w:val="10"/>
                <w:szCs w:val="10"/>
                <w:color w:val="auto"/>
              </w:rPr>
            </w:pPr>
          </w:p>
        </w:tc>
        <w:tc>
          <w:tcPr>
            <w:tcW w:w="8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80"/>
        </w:trPr>
        <w:tc>
          <w:tcPr>
            <w:tcW w:w="2340" w:type="dxa"/>
            <w:vAlign w:val="bottom"/>
            <w:tcBorders>
              <w:bottom w:val="single" w:sz="8" w:color="auto"/>
            </w:tcBorders>
            <w:gridSpan w:val="2"/>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r>
              <w:rPr>
                <w:rFonts w:ascii="Times New Roman" w:cs="Times New Roman" w:eastAsia="Times New Roman" w:hAnsi="Times New Roman"/>
                <w:sz w:val="10"/>
                <w:szCs w:val="10"/>
                <w:b w:val="1"/>
                <w:bCs w:val="1"/>
                <w:color w:val="auto"/>
              </w:rPr>
              <w:t>(1)</w:t>
            </w:r>
          </w:p>
        </w:tc>
        <w:tc>
          <w:tcPr>
            <w:tcW w:w="116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r>
              <w:rPr>
                <w:rFonts w:ascii="Times New Roman" w:cs="Times New Roman" w:eastAsia="Times New Roman" w:hAnsi="Times New Roman"/>
                <w:sz w:val="10"/>
                <w:szCs w:val="10"/>
                <w:b w:val="1"/>
                <w:bCs w:val="1"/>
                <w:color w:val="auto"/>
              </w:rPr>
              <w:t>(1)</w:t>
            </w:r>
          </w:p>
        </w:tc>
        <w:tc>
          <w:tcPr>
            <w:tcW w:w="116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6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49"/>
        </w:trPr>
        <w:tc>
          <w:tcPr>
            <w:tcW w:w="5260" w:type="dxa"/>
            <w:vAlign w:val="bottom"/>
            <w:tcBorders>
              <w:top w:val="single" w:sz="8" w:color="E7ECFC"/>
            </w:tcBorders>
            <w:gridSpan w:val="3"/>
            <w:shd w:val="clear" w:color="auto" w:fill="E7ECFC"/>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5% stockholders:</w:t>
            </w:r>
          </w:p>
        </w:tc>
        <w:tc>
          <w:tcPr>
            <w:tcW w:w="200" w:type="dxa"/>
            <w:vAlign w:val="bottom"/>
            <w:tcBorders>
              <w:top w:val="single" w:sz="8" w:color="E7ECFC"/>
            </w:tcBorders>
            <w:shd w:val="clear" w:color="auto" w:fill="E7ECFC"/>
          </w:tcPr>
          <w:p>
            <w:pPr>
              <w:spacing w:after="0"/>
              <w:rPr>
                <w:sz w:val="12"/>
                <w:szCs w:val="12"/>
                <w:color w:val="auto"/>
              </w:rPr>
            </w:pPr>
          </w:p>
        </w:tc>
        <w:tc>
          <w:tcPr>
            <w:tcW w:w="860" w:type="dxa"/>
            <w:vAlign w:val="bottom"/>
            <w:tcBorders>
              <w:top w:val="single" w:sz="8" w:color="auto"/>
            </w:tcBorders>
            <w:shd w:val="clear" w:color="auto" w:fill="E7ECFC"/>
          </w:tcPr>
          <w:p>
            <w:pPr>
              <w:spacing w:after="0"/>
              <w:rPr>
                <w:sz w:val="12"/>
                <w:szCs w:val="12"/>
                <w:color w:val="auto"/>
              </w:rPr>
            </w:pPr>
          </w:p>
        </w:tc>
        <w:tc>
          <w:tcPr>
            <w:tcW w:w="340" w:type="dxa"/>
            <w:vAlign w:val="bottom"/>
            <w:tcBorders>
              <w:top w:val="single" w:sz="8" w:color="E7ECFC"/>
            </w:tcBorders>
            <w:shd w:val="clear" w:color="auto" w:fill="E7ECFC"/>
          </w:tcPr>
          <w:p>
            <w:pPr>
              <w:spacing w:after="0"/>
              <w:rPr>
                <w:sz w:val="12"/>
                <w:szCs w:val="12"/>
                <w:color w:val="auto"/>
              </w:rPr>
            </w:pPr>
          </w:p>
        </w:tc>
        <w:tc>
          <w:tcPr>
            <w:tcW w:w="680" w:type="dxa"/>
            <w:vAlign w:val="bottom"/>
            <w:tcBorders>
              <w:top w:val="single" w:sz="8" w:color="auto"/>
            </w:tcBorders>
            <w:shd w:val="clear" w:color="auto" w:fill="E7ECFC"/>
          </w:tcPr>
          <w:p>
            <w:pPr>
              <w:spacing w:after="0"/>
              <w:rPr>
                <w:sz w:val="12"/>
                <w:szCs w:val="12"/>
                <w:color w:val="auto"/>
              </w:rPr>
            </w:pPr>
          </w:p>
        </w:tc>
        <w:tc>
          <w:tcPr>
            <w:tcW w:w="480" w:type="dxa"/>
            <w:vAlign w:val="bottom"/>
            <w:tcBorders>
              <w:top w:val="single" w:sz="8" w:color="E7ECFC"/>
            </w:tcBorders>
            <w:shd w:val="clear" w:color="auto" w:fill="E7ECFC"/>
          </w:tcPr>
          <w:p>
            <w:pPr>
              <w:spacing w:after="0"/>
              <w:rPr>
                <w:sz w:val="12"/>
                <w:szCs w:val="12"/>
                <w:color w:val="auto"/>
              </w:rPr>
            </w:pPr>
          </w:p>
        </w:tc>
        <w:tc>
          <w:tcPr>
            <w:tcW w:w="860" w:type="dxa"/>
            <w:vAlign w:val="bottom"/>
            <w:tcBorders>
              <w:top w:val="single" w:sz="8" w:color="auto"/>
            </w:tcBorders>
            <w:shd w:val="clear" w:color="auto" w:fill="E7ECFC"/>
          </w:tcPr>
          <w:p>
            <w:pPr>
              <w:spacing w:after="0"/>
              <w:rPr>
                <w:sz w:val="12"/>
                <w:szCs w:val="12"/>
                <w:color w:val="auto"/>
              </w:rPr>
            </w:pPr>
          </w:p>
        </w:tc>
        <w:tc>
          <w:tcPr>
            <w:tcW w:w="320" w:type="dxa"/>
            <w:vAlign w:val="bottom"/>
            <w:tcBorders>
              <w:top w:val="single" w:sz="8" w:color="E7ECFC"/>
            </w:tcBorders>
            <w:shd w:val="clear" w:color="auto" w:fill="E7ECFC"/>
          </w:tcPr>
          <w:p>
            <w:pPr>
              <w:spacing w:after="0"/>
              <w:rPr>
                <w:sz w:val="12"/>
                <w:szCs w:val="12"/>
                <w:color w:val="auto"/>
              </w:rPr>
            </w:pPr>
          </w:p>
        </w:tc>
        <w:tc>
          <w:tcPr>
            <w:tcW w:w="680" w:type="dxa"/>
            <w:vAlign w:val="bottom"/>
            <w:tcBorders>
              <w:top w:val="single" w:sz="8" w:color="auto"/>
            </w:tcBorders>
            <w:shd w:val="clear" w:color="auto" w:fill="E7ECFC"/>
          </w:tcPr>
          <w:p>
            <w:pPr>
              <w:spacing w:after="0"/>
              <w:rPr>
                <w:sz w:val="12"/>
                <w:szCs w:val="12"/>
                <w:color w:val="auto"/>
              </w:rPr>
            </w:pPr>
          </w:p>
        </w:tc>
        <w:tc>
          <w:tcPr>
            <w:tcW w:w="480" w:type="dxa"/>
            <w:vAlign w:val="bottom"/>
            <w:tcBorders>
              <w:top w:val="single" w:sz="8" w:color="E7ECFC"/>
            </w:tcBorders>
            <w:shd w:val="clear" w:color="auto" w:fill="E7ECFC"/>
          </w:tcPr>
          <w:p>
            <w:pPr>
              <w:spacing w:after="0"/>
              <w:rPr>
                <w:sz w:val="12"/>
                <w:szCs w:val="12"/>
                <w:color w:val="auto"/>
              </w:rPr>
            </w:pPr>
          </w:p>
        </w:tc>
        <w:tc>
          <w:tcPr>
            <w:tcW w:w="640" w:type="dxa"/>
            <w:vAlign w:val="bottom"/>
            <w:tcBorders>
              <w:top w:val="single" w:sz="8" w:color="auto"/>
            </w:tcBorders>
            <w:shd w:val="clear" w:color="auto" w:fill="E7ECFC"/>
          </w:tcPr>
          <w:p>
            <w:pPr>
              <w:spacing w:after="0"/>
              <w:rPr>
                <w:sz w:val="12"/>
                <w:szCs w:val="12"/>
                <w:color w:val="auto"/>
              </w:rPr>
            </w:pPr>
          </w:p>
        </w:tc>
        <w:tc>
          <w:tcPr>
            <w:tcW w:w="220" w:type="dxa"/>
            <w:vAlign w:val="bottom"/>
            <w:tcBorders>
              <w:top w:val="single" w:sz="8" w:color="E7ECFC"/>
            </w:tcBorders>
            <w:shd w:val="clear" w:color="auto" w:fill="E7ECFC"/>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40" w:type="dxa"/>
            <w:vAlign w:val="bottom"/>
            <w:tcBorders>
              <w:top w:val="single" w:sz="8" w:color="auto"/>
            </w:tcBorders>
            <w:shd w:val="clear" w:color="auto" w:fill="E7ECFC"/>
          </w:tcPr>
          <w:p>
            <w:pPr>
              <w:spacing w:after="0" w:line="20" w:lineRule="exact"/>
              <w:rPr>
                <w:sz w:val="1"/>
                <w:szCs w:val="1"/>
                <w:color w:val="auto"/>
              </w:rPr>
            </w:pPr>
          </w:p>
        </w:tc>
        <w:tc>
          <w:tcPr>
            <w:tcW w:w="1000" w:type="dxa"/>
            <w:vAlign w:val="bottom"/>
            <w:tcBorders>
              <w:top w:val="single" w:sz="8" w:color="E7ECFC"/>
            </w:tcBorders>
            <w:shd w:val="clear" w:color="auto" w:fill="E7ECFC"/>
          </w:tcPr>
          <w:p>
            <w:pPr>
              <w:spacing w:after="0" w:line="20" w:lineRule="exact"/>
              <w:rPr>
                <w:sz w:val="1"/>
                <w:szCs w:val="1"/>
                <w:color w:val="auto"/>
              </w:rPr>
            </w:pPr>
          </w:p>
        </w:tc>
        <w:tc>
          <w:tcPr>
            <w:tcW w:w="2920" w:type="dxa"/>
            <w:vAlign w:val="bottom"/>
            <w:tcBorders>
              <w:top w:val="single" w:sz="8" w:color="E7ECFC"/>
            </w:tcBorders>
            <w:shd w:val="clear" w:color="auto" w:fill="E7ECFC"/>
          </w:tcPr>
          <w:p>
            <w:pPr>
              <w:spacing w:after="0" w:line="20" w:lineRule="exact"/>
              <w:rPr>
                <w:sz w:val="1"/>
                <w:szCs w:val="1"/>
                <w:color w:val="auto"/>
              </w:rPr>
            </w:pPr>
          </w:p>
        </w:tc>
        <w:tc>
          <w:tcPr>
            <w:tcW w:w="200" w:type="dxa"/>
            <w:vAlign w:val="bottom"/>
            <w:tcBorders>
              <w:top w:val="single" w:sz="8" w:color="E7ECFC"/>
            </w:tcBorders>
            <w:shd w:val="clear" w:color="auto" w:fill="E7ECFC"/>
          </w:tcPr>
          <w:p>
            <w:pPr>
              <w:spacing w:after="0" w:line="20" w:lineRule="exact"/>
              <w:rPr>
                <w:sz w:val="1"/>
                <w:szCs w:val="1"/>
                <w:color w:val="auto"/>
              </w:rPr>
            </w:pPr>
          </w:p>
        </w:tc>
        <w:tc>
          <w:tcPr>
            <w:tcW w:w="860" w:type="dxa"/>
            <w:vAlign w:val="bottom"/>
            <w:tcBorders>
              <w:top w:val="single" w:sz="8" w:color="E7ECFC"/>
            </w:tcBorders>
            <w:shd w:val="clear" w:color="auto" w:fill="E7ECFC"/>
          </w:tcPr>
          <w:p>
            <w:pPr>
              <w:spacing w:after="0" w:line="20" w:lineRule="exact"/>
              <w:rPr>
                <w:sz w:val="1"/>
                <w:szCs w:val="1"/>
                <w:color w:val="auto"/>
              </w:rPr>
            </w:pPr>
          </w:p>
        </w:tc>
        <w:tc>
          <w:tcPr>
            <w:tcW w:w="340" w:type="dxa"/>
            <w:vAlign w:val="bottom"/>
            <w:tcBorders>
              <w:top w:val="single" w:sz="8" w:color="E7ECFC"/>
            </w:tcBorders>
            <w:shd w:val="clear" w:color="auto" w:fill="E7ECFC"/>
          </w:tcPr>
          <w:p>
            <w:pPr>
              <w:spacing w:after="0" w:line="20" w:lineRule="exact"/>
              <w:rPr>
                <w:sz w:val="1"/>
                <w:szCs w:val="1"/>
                <w:color w:val="auto"/>
              </w:rPr>
            </w:pPr>
          </w:p>
        </w:tc>
        <w:tc>
          <w:tcPr>
            <w:tcW w:w="680" w:type="dxa"/>
            <w:vAlign w:val="bottom"/>
            <w:tcBorders>
              <w:top w:val="single" w:sz="8" w:color="E7ECFC"/>
            </w:tcBorders>
            <w:shd w:val="clear" w:color="auto" w:fill="E7ECFC"/>
          </w:tcPr>
          <w:p>
            <w:pPr>
              <w:spacing w:after="0" w:line="20" w:lineRule="exact"/>
              <w:rPr>
                <w:sz w:val="1"/>
                <w:szCs w:val="1"/>
                <w:color w:val="auto"/>
              </w:rPr>
            </w:pPr>
          </w:p>
        </w:tc>
        <w:tc>
          <w:tcPr>
            <w:tcW w:w="480" w:type="dxa"/>
            <w:vAlign w:val="bottom"/>
            <w:tcBorders>
              <w:top w:val="single" w:sz="8" w:color="E7ECFC"/>
            </w:tcBorders>
            <w:shd w:val="clear" w:color="auto" w:fill="E7ECFC"/>
          </w:tcPr>
          <w:p>
            <w:pPr>
              <w:spacing w:after="0" w:line="20" w:lineRule="exact"/>
              <w:rPr>
                <w:sz w:val="1"/>
                <w:szCs w:val="1"/>
                <w:color w:val="auto"/>
              </w:rPr>
            </w:pPr>
          </w:p>
        </w:tc>
        <w:tc>
          <w:tcPr>
            <w:tcW w:w="860" w:type="dxa"/>
            <w:vAlign w:val="bottom"/>
            <w:tcBorders>
              <w:top w:val="single" w:sz="8" w:color="E7ECFC"/>
            </w:tcBorders>
            <w:shd w:val="clear" w:color="auto" w:fill="E7ECFC"/>
          </w:tcPr>
          <w:p>
            <w:pPr>
              <w:spacing w:after="0" w:line="20" w:lineRule="exact"/>
              <w:rPr>
                <w:sz w:val="1"/>
                <w:szCs w:val="1"/>
                <w:color w:val="auto"/>
              </w:rPr>
            </w:pPr>
          </w:p>
        </w:tc>
        <w:tc>
          <w:tcPr>
            <w:tcW w:w="320" w:type="dxa"/>
            <w:vAlign w:val="bottom"/>
            <w:tcBorders>
              <w:top w:val="single" w:sz="8" w:color="E7ECFC"/>
            </w:tcBorders>
            <w:shd w:val="clear" w:color="auto" w:fill="E7ECFC"/>
          </w:tcPr>
          <w:p>
            <w:pPr>
              <w:spacing w:after="0" w:line="20" w:lineRule="exact"/>
              <w:rPr>
                <w:sz w:val="1"/>
                <w:szCs w:val="1"/>
                <w:color w:val="auto"/>
              </w:rPr>
            </w:pPr>
          </w:p>
        </w:tc>
        <w:tc>
          <w:tcPr>
            <w:tcW w:w="680" w:type="dxa"/>
            <w:vAlign w:val="bottom"/>
            <w:tcBorders>
              <w:top w:val="single" w:sz="8" w:color="E7ECFC"/>
            </w:tcBorders>
            <w:shd w:val="clear" w:color="auto" w:fill="E7ECFC"/>
          </w:tcPr>
          <w:p>
            <w:pPr>
              <w:spacing w:after="0" w:line="20" w:lineRule="exact"/>
              <w:rPr>
                <w:sz w:val="1"/>
                <w:szCs w:val="1"/>
                <w:color w:val="auto"/>
              </w:rPr>
            </w:pPr>
          </w:p>
        </w:tc>
        <w:tc>
          <w:tcPr>
            <w:tcW w:w="480" w:type="dxa"/>
            <w:vAlign w:val="bottom"/>
            <w:tcBorders>
              <w:top w:val="single" w:sz="8" w:color="E7ECFC"/>
            </w:tcBorders>
            <w:shd w:val="clear" w:color="auto" w:fill="E7ECFC"/>
          </w:tcPr>
          <w:p>
            <w:pPr>
              <w:spacing w:after="0" w:line="20" w:lineRule="exact"/>
              <w:rPr>
                <w:sz w:val="1"/>
                <w:szCs w:val="1"/>
                <w:color w:val="auto"/>
              </w:rPr>
            </w:pPr>
          </w:p>
        </w:tc>
        <w:tc>
          <w:tcPr>
            <w:tcW w:w="640" w:type="dxa"/>
            <w:vAlign w:val="bottom"/>
            <w:tcBorders>
              <w:top w:val="single" w:sz="8" w:color="E7ECFC"/>
            </w:tcBorders>
            <w:shd w:val="clear" w:color="auto" w:fill="E7ECFC"/>
          </w:tcPr>
          <w:p>
            <w:pPr>
              <w:spacing w:after="0" w:line="20" w:lineRule="exact"/>
              <w:rPr>
                <w:sz w:val="1"/>
                <w:szCs w:val="1"/>
                <w:color w:val="auto"/>
              </w:rPr>
            </w:pPr>
          </w:p>
        </w:tc>
        <w:tc>
          <w:tcPr>
            <w:tcW w:w="220" w:type="dxa"/>
            <w:vAlign w:val="bottom"/>
            <w:tcBorders>
              <w:top w:val="single" w:sz="8" w:color="E7ECFC"/>
            </w:tcBorders>
            <w:shd w:val="clear" w:color="auto" w:fill="E7EC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Funds managed by Advent International Corporation</w:t>
            </w:r>
            <w:r>
              <w:rPr>
                <w:rFonts w:ascii="Times New Roman" w:cs="Times New Roman" w:eastAsia="Times New Roman" w:hAnsi="Times New Roman"/>
                <w:sz w:val="25"/>
                <w:szCs w:val="25"/>
                <w:color w:val="auto"/>
                <w:vertAlign w:val="superscript"/>
              </w:rPr>
              <w:t>(2)</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62,493,676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56.7%</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Affiliates of Spectrum Equity</w:t>
            </w:r>
            <w:r>
              <w:rPr>
                <w:rFonts w:ascii="Times New Roman" w:cs="Times New Roman" w:eastAsia="Times New Roman" w:hAnsi="Times New Roman"/>
                <w:sz w:val="25"/>
                <w:szCs w:val="25"/>
                <w:color w:val="auto"/>
                <w:vertAlign w:val="superscript"/>
              </w:rPr>
              <w:t>(3)</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2,026,435</w:t>
            </w:r>
          </w:p>
        </w:tc>
        <w:tc>
          <w:tcPr>
            <w:tcW w:w="116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19,458,380</w:t>
            </w:r>
          </w:p>
        </w:tc>
        <w:tc>
          <w:tcPr>
            <w:tcW w:w="116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44.0%</w:t>
            </w:r>
          </w:p>
        </w:tc>
        <w:tc>
          <w:tcPr>
            <w:tcW w:w="860" w:type="dxa"/>
            <w:vAlign w:val="bottom"/>
            <w:gridSpan w:val="2"/>
            <w:shd w:val="clear" w:color="auto" w:fill="E7ECFC"/>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Affiliates of Echo Street Capital Management</w:t>
            </w:r>
            <w:r>
              <w:rPr>
                <w:rFonts w:ascii="Times New Roman" w:cs="Times New Roman" w:eastAsia="Times New Roman" w:hAnsi="Times New Roman"/>
                <w:sz w:val="25"/>
                <w:szCs w:val="25"/>
                <w:color w:val="auto"/>
                <w:vertAlign w:val="superscript"/>
              </w:rPr>
              <w:t>(4)</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5,751,074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Jason Krantz</w:t>
            </w:r>
            <w:r>
              <w:rPr>
                <w:rFonts w:ascii="Times New Roman" w:cs="Times New Roman" w:eastAsia="Times New Roman" w:hAnsi="Times New Roman"/>
                <w:sz w:val="25"/>
                <w:szCs w:val="25"/>
                <w:color w:val="auto"/>
                <w:vertAlign w:val="superscript"/>
              </w:rPr>
              <w:t>(5)</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486,991</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20,907,241</w:t>
            </w:r>
          </w:p>
        </w:tc>
        <w:tc>
          <w:tcPr>
            <w:tcW w:w="116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47.3%</w:t>
            </w:r>
          </w:p>
        </w:tc>
        <w:tc>
          <w:tcPr>
            <w:tcW w:w="860" w:type="dxa"/>
            <w:vAlign w:val="bottom"/>
            <w:gridSpan w:val="2"/>
            <w:shd w:val="clear" w:color="auto" w:fill="E7ECFC"/>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Directors, director nominees, and named executive officers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Robert Musslewhite</w:t>
            </w:r>
            <w:r>
              <w:rPr>
                <w:rFonts w:ascii="Times New Roman" w:cs="Times New Roman" w:eastAsia="Times New Roman" w:hAnsi="Times New Roman"/>
                <w:sz w:val="25"/>
                <w:szCs w:val="25"/>
                <w:color w:val="auto"/>
                <w:vertAlign w:val="superscript"/>
              </w:rPr>
              <w:t>(6)</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306,951</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404,594</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7EC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Jason Krantz</w:t>
            </w:r>
            <w:r>
              <w:rPr>
                <w:rFonts w:ascii="Times New Roman" w:cs="Times New Roman" w:eastAsia="Times New Roman" w:hAnsi="Times New Roman"/>
                <w:sz w:val="25"/>
                <w:szCs w:val="25"/>
                <w:color w:val="auto"/>
                <w:vertAlign w:val="superscript"/>
              </w:rPr>
              <w:t>(5)</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486,991</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20,907,241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200" w:type="dxa"/>
            <w:vAlign w:val="bottom"/>
            <w:shd w:val="clear" w:color="auto" w:fill="E7ECFC"/>
          </w:tcPr>
          <w:p>
            <w:pPr>
              <w:spacing w:after="0"/>
              <w:rPr>
                <w:sz w:val="18"/>
                <w:szCs w:val="18"/>
                <w:color w:val="auto"/>
              </w:rPr>
            </w:pPr>
          </w:p>
        </w:tc>
        <w:tc>
          <w:tcPr>
            <w:tcW w:w="1200" w:type="dxa"/>
            <w:vAlign w:val="bottom"/>
            <w:gridSpan w:val="2"/>
            <w:shd w:val="clear" w:color="auto" w:fill="E7EC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7EC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7EC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7EC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24,133</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202,845</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15,055</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368,800</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7EC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15,007</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350,328</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rPr>
                <w:sz w:val="20"/>
                <w:szCs w:val="20"/>
                <w:color w:val="auto"/>
              </w:rPr>
            </w:pPr>
            <w:r>
              <w:rPr>
                <w:rFonts w:ascii="Times New Roman" w:cs="Times New Roman" w:eastAsia="Times New Roman" w:hAnsi="Times New Roman"/>
                <w:sz w:val="18"/>
                <w:szCs w:val="18"/>
                <w:color w:val="auto"/>
              </w:rPr>
              <w:t>David Samuels</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8,833</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174,573</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7EC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Chris Egan</w:t>
            </w:r>
            <w:r>
              <w:rPr>
                <w:rFonts w:ascii="Times New Roman" w:cs="Times New Roman" w:eastAsia="Times New Roman" w:hAnsi="Times New Roman"/>
                <w:sz w:val="25"/>
                <w:szCs w:val="25"/>
                <w:color w:val="auto"/>
                <w:vertAlign w:val="superscript"/>
              </w:rPr>
              <w:t>(7)</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Samuel A. Hamood</w:t>
            </w:r>
            <w:r>
              <w:rPr>
                <w:rFonts w:ascii="Times New Roman" w:cs="Times New Roman" w:eastAsia="Times New Roman" w:hAnsi="Times New Roman"/>
                <w:sz w:val="25"/>
                <w:szCs w:val="25"/>
                <w:color w:val="auto"/>
                <w:vertAlign w:val="superscript"/>
              </w:rPr>
              <w:t>(8)</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51,582</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301,204</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7EC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Jeff Haywood</w:t>
            </w:r>
            <w:r>
              <w:rPr>
                <w:rFonts w:ascii="Times New Roman" w:cs="Times New Roman" w:eastAsia="Times New Roman" w:hAnsi="Times New Roman"/>
                <w:sz w:val="25"/>
                <w:szCs w:val="25"/>
                <w:color w:val="auto"/>
                <w:vertAlign w:val="superscript"/>
              </w:rPr>
              <w:t>(9)</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Jill Larsen</w:t>
            </w:r>
            <w:r>
              <w:rPr>
                <w:rFonts w:ascii="Times New Roman" w:cs="Times New Roman" w:eastAsia="Times New Roman" w:hAnsi="Times New Roman"/>
                <w:sz w:val="25"/>
                <w:szCs w:val="25"/>
                <w:color w:val="auto"/>
                <w:vertAlign w:val="superscript"/>
              </w:rPr>
              <w:t>(10)</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14,545</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320"/>
              <w:spacing w:after="0"/>
              <w:rPr>
                <w:sz w:val="20"/>
                <w:szCs w:val="20"/>
                <w:color w:val="auto"/>
              </w:rPr>
            </w:pPr>
            <w:r>
              <w:rPr>
                <w:rFonts w:ascii="Times New Roman" w:cs="Times New Roman" w:eastAsia="Times New Roman" w:hAnsi="Times New Roman"/>
                <w:sz w:val="18"/>
                <w:szCs w:val="18"/>
                <w:color w:val="auto"/>
              </w:rPr>
              <w:t>37,946</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7EC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Chris Mitchell </w:t>
            </w:r>
            <w:r>
              <w:rPr>
                <w:rFonts w:ascii="Times New Roman" w:cs="Times New Roman" w:eastAsia="Times New Roman" w:hAnsi="Times New Roman"/>
                <w:sz w:val="25"/>
                <w:szCs w:val="25"/>
                <w:color w:val="auto"/>
                <w:vertAlign w:val="superscript"/>
              </w:rPr>
              <w:t>(9)</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68,748</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Kathleen A. Winters</w:t>
            </w:r>
            <w:r>
              <w:rPr>
                <w:rFonts w:ascii="Times New Roman" w:cs="Times New Roman" w:eastAsia="Times New Roman" w:hAnsi="Times New Roman"/>
                <w:sz w:val="25"/>
                <w:szCs w:val="25"/>
                <w:color w:val="auto"/>
                <w:vertAlign w:val="superscript"/>
              </w:rPr>
              <w:t>(11)</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15,095</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7EC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7EC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Lauren Young</w:t>
            </w:r>
            <w:r>
              <w:rPr>
                <w:rFonts w:ascii="Times New Roman" w:cs="Times New Roman" w:eastAsia="Times New Roman" w:hAnsi="Times New Roman"/>
                <w:sz w:val="25"/>
                <w:szCs w:val="25"/>
                <w:color w:val="auto"/>
                <w:vertAlign w:val="superscript"/>
              </w:rPr>
              <w:t>(7)</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E7ECFC"/>
          </w:tcPr>
          <w:p>
            <w:pPr>
              <w:spacing w:after="0" w:line="216" w:lineRule="exact"/>
              <w:rPr>
                <w:sz w:val="20"/>
                <w:szCs w:val="20"/>
                <w:color w:val="auto"/>
              </w:rPr>
            </w:pPr>
            <w:r>
              <w:rPr>
                <w:rFonts w:ascii="Times New Roman" w:cs="Times New Roman" w:eastAsia="Times New Roman" w:hAnsi="Times New Roman"/>
                <w:sz w:val="17"/>
                <w:szCs w:val="17"/>
                <w:color w:val="auto"/>
              </w:rPr>
              <w:t>Sastry Chilukuri</w:t>
            </w:r>
            <w:r>
              <w:rPr>
                <w:rFonts w:ascii="Times New Roman" w:cs="Times New Roman" w:eastAsia="Times New Roman" w:hAnsi="Times New Roman"/>
                <w:sz w:val="25"/>
                <w:szCs w:val="25"/>
                <w:color w:val="auto"/>
                <w:vertAlign w:val="superscript"/>
              </w:rPr>
              <w:t>(12)</w:t>
            </w:r>
          </w:p>
        </w:tc>
        <w:tc>
          <w:tcPr>
            <w:tcW w:w="1400" w:type="dxa"/>
            <w:vAlign w:val="bottom"/>
            <w:gridSpan w:val="3"/>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7,282</w:t>
            </w:r>
          </w:p>
        </w:tc>
        <w:tc>
          <w:tcPr>
            <w:tcW w:w="1160" w:type="dxa"/>
            <w:vAlign w:val="bottom"/>
            <w:gridSpan w:val="2"/>
            <w:shd w:val="clear" w:color="auto" w:fill="E7EC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7EC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7EC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7EC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current directors and executive officers as a group (14 persons)</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1,005,389</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22,572,958</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42"/>
        </w:trPr>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69" w:name="page70"/>
    <w:bookmarkEnd w:id="69"/>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Represents beneficial ownership of less than 1%.</w:t>
      </w:r>
    </w:p>
    <w:p>
      <w:pPr>
        <w:spacing w:after="0" w:line="27" w:lineRule="exact"/>
        <w:rPr>
          <w:sz w:val="20"/>
          <w:szCs w:val="20"/>
          <w:color w:val="auto"/>
        </w:rPr>
      </w:pPr>
    </w:p>
    <w:p>
      <w:pPr>
        <w:ind w:left="424" w:right="160"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amended and restated limited liability company agreements of each of AIDH TopCo, LLC and AIDH Management Holdings, LLC, vested LLC Units, each paired with an equal number of shares of Class B common stock, are exchangeable for shares of our Class A common stock at the holder’s option on a one-for-one basis. When LLC Units are exchanged for shares of Class A common stock, the equivalent number of shares of Class B common stock are cancelled. See “Certain Relationships and Related Person Transactions—Amended Definitive OpCo LLC Agreement.” Beneficial ownership of shares of Class B common stock reflected in this table has not been also reflected as beneficial ownership of shares of our Class A common stock for which such shares of Class B common stock, paired with equal number of LLC Units, may be exchanged and/or surrendered as doing so would result in double counting with respect to the combined voting power. Any fractional shares have been rounded to the nearest whole share.</w:t>
      </w:r>
    </w:p>
    <w:p>
      <w:pPr>
        <w:spacing w:after="0" w:line="3"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the Schedule 13G filed with the SEC on February 14, 2022, amount beneficially owned includes: (i) 16,955,510 shares of Class A common stock held by Advent International GPE IX Limited Partnership (“GPE-IX LP”); (ii) 3,359,809 shares of Class A common stock held by Advent International GPE IX-B Limited Partnership (“GPE IX-B LP”); (iii) 1,394,766 shares of Class A common stock held by Advent International GPE IX-C Limited Partnership (“GPE IX-C LP”); (iv) 1,463,380 shares of Class A common stock held by Advent International GPE IX-F Limited Partnership (“GPE IX-F LP”); (v) 4,815,226 shares of Class A common stock held by Advent International GPE IX-G Limited Partnership (“GPE IX-G LP”); (vi) 5,428,915 shares of Class A common stock held by Advent International GPE IX-H Limited Partnership (“GPE IX-H LP”); (vii) 3,075,053 shares of Class A common stock held by Advent International GPE IX-I Limited Partnership (“GPE IX-I LP”); (viii) 4,985,850 shares of Class A common stock held by Advent International GPE IX-A SCSP (“GPE IX-A SCSP”); (ix) 1,061,241 shares of Class A common stock held by Advent International GPE IX-D SCSP (“GPE IX-D SCSP”); (x) 2,156,723 shares of Class A common stock held by Advent International GPE IX-E SCSP (“GPE IX-E SCSP”); (xi) 97,427 shares of Class A common stock held by Advent Partners GPE IX Strategic Investors SCSP (“GPE IX Strategic Investors SCSP”); (xii) 55,642 shares of Class A common stock held by Advent Partners GPE IX Limited Partnership (“AP GPE IX LP”); (xiii) 128,669 shares of Class A common stock held by Advent Partners GPE IX-A Limited Partnership (“AP GPE IX-A LP”); (xiv) 321,070 shares of Class A common stock held by Advent Partners GPE IX Cayman Limited Partnership (“AP GPE IX Cayman LP”); (xv) 54,121 shares of Class A common stock held by Advent Partners GPE IX Cayman Limited Partnership (“AP GPE IX-A Cayman LP”); (xvi) 898,507 shares of Class A common stock held by Advent Partners GPE IX-B Cayman Limited Partnership (“AP GPE IX-B Cayman LP”); (xvii) 3,818,770 shares of Class A common stock held by Advent Global Technology Limited Partnership (“Global Technology LP”); (xviii) 2,971,879 shares of Class A common stock held by Advent Global Technology-B Limited Partnership (“Global Technology-B LP”); (xix) 1,609,070 shares of Class A common stock held by Advent Global Technology-C Limited Partnership (“Global Technology-C LP”); (xx) 1,926,387 shares of Class A common stock held by Advent Global Technology-D Limited Partnership (“Global Technology-D LP”); (xxi) 1,885,069 shares of Class A common stock held by Advent Global Technology-A SCSP (“Global Technology-A SCSP”); (xxii) 5,990 shares of Class A common stock held by Advent Partners AGT Limited Partnership (“AGT LP”); (xxiii) 27,373 shares of Class A common stock held by Advent Partners AGT-A Limited Partnership (“AGT-A LP”); (xxiv) 342,900 shares of Class A common stock held by Advent Partners AGT Cayman Limited Partnership (“AGT Cayman LP”); (xxv) 30,542 shares of Class A common stock held by Advent Global Technology Strategic Investors Limited Partnership (“AGT Strategic Investors LP”); and (xxvi) 3,623,787 shares of Class A common stock held by Sunley House Capital Master Limited Partnership (“Sunley House Master Fund”).</w:t>
      </w:r>
    </w:p>
    <w:p>
      <w:pPr>
        <w:spacing w:after="0" w:line="112" w:lineRule="exact"/>
        <w:rPr>
          <w:rFonts w:ascii="Times New Roman" w:cs="Times New Roman" w:eastAsia="Times New Roman" w:hAnsi="Times New Roman"/>
          <w:sz w:val="18"/>
          <w:szCs w:val="18"/>
          <w:color w:val="auto"/>
        </w:rPr>
      </w:pPr>
    </w:p>
    <w:p>
      <w:pPr>
        <w:ind w:left="424" w:right="2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GPE IX GP Limited Partnership is the general partner of GPE-IX LP, GPE IX-B LP, GPE IX-C LP, GPE IX-F LP, GPE IX-G LP, GPE IX-H LP and GPE IX-I LP. AP GPE IX GP Limited Partnership is the general partner of AP GPE IX LP, AP GPE IX-A LP, AP GPE IX Cayman LP, AP GPE IX-A Cayman LP and AP GPE IX-B Cayman LP. GPE IX GP S.a’r.l. is the general partner of GPE IX-A SCSP, GPE IX-D SCSP,</w:t>
      </w:r>
    </w:p>
    <w:p>
      <w:pPr>
        <w:spacing w:after="0" w:line="1" w:lineRule="exact"/>
        <w:rPr>
          <w:rFonts w:ascii="Times New Roman" w:cs="Times New Roman" w:eastAsia="Times New Roman" w:hAnsi="Times New Roman"/>
          <w:sz w:val="18"/>
          <w:szCs w:val="18"/>
          <w:color w:val="auto"/>
        </w:rPr>
      </w:pPr>
    </w:p>
    <w:p>
      <w:pPr>
        <w:ind w:left="424"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GPE IX-E SCSP and GPE IX Strategic Investors SCSP. Advent Global Technology GP Limited Partnership is the general partner of Global Technology LP, Global Technology-B LP,</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4"/>
          </w:cols>
          <w:pgMar w:left="436" w:top="297" w:right="439" w:bottom="1440" w:gutter="0" w:footer="0" w:header="0"/>
        </w:sectPr>
      </w:pPr>
    </w:p>
    <w:bookmarkStart w:id="70" w:name="page71"/>
    <w:bookmarkEnd w:id="70"/>
    <w:p>
      <w:pPr>
        <w:ind w:left="424"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Global Technology-C LP and Global Technology-D LP. Advent Global Technology GP S.a’r.l.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S.a’r.l. Advent Global Technology LLC is the general partner of Advent Global Technology GP Limited Partnership, Advent Global Technology GP S.a’r.l.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International Corporation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 Voting and investment decisions by Advent International Corporation are made by a number of individuals currently comprised of John L. Maldonado, David M. McKenna and David M. Mussafer. The address of each of the entities and individuals named in this footnote is c/o Advent International Corporation, Prudential Tower, 800 Boylston St., Suite 3300, Boston, MA 02199.</w:t>
      </w:r>
    </w:p>
    <w:p>
      <w:pPr>
        <w:spacing w:after="0" w:line="11" w:lineRule="exact"/>
        <w:rPr>
          <w:sz w:val="20"/>
          <w:szCs w:val="20"/>
          <w:color w:val="auto"/>
        </w:rPr>
      </w:pPr>
    </w:p>
    <w:p>
      <w:pPr>
        <w:ind w:left="424" w:right="120" w:hanging="424"/>
        <w:spacing w:after="0" w:line="250"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Schedule 13G filed with the SEC on February 14, 2023 and Form 4 filed with the SEC on February 28, 2023, amount beneficially owned includes: (i) 2,026,435 shares of Class A common stock held directly by SE VII DHC AIV Feeder, L.P., (ii)</w:t>
      </w:r>
    </w:p>
    <w:p>
      <w:pPr>
        <w:ind w:left="42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19,413,693 shares of Class B common stock held directly by SE VII DHC AIV, L.P., (iii) 28,209 shares of Class B common stock held directly by Spectrum VII Investment Managers’ Fund, L.P., and (iv) 16,478 shares of Class B common stock held directly by Spectrum VII Co-Investment Fund, L.P.</w:t>
      </w:r>
    </w:p>
    <w:p>
      <w:pPr>
        <w:spacing w:after="0" w:line="77" w:lineRule="exact"/>
        <w:rPr>
          <w:rFonts w:ascii="Times New Roman" w:cs="Times New Roman" w:eastAsia="Times New Roman" w:hAnsi="Times New Roman"/>
          <w:sz w:val="18"/>
          <w:szCs w:val="18"/>
          <w:color w:val="auto"/>
        </w:rPr>
      </w:pPr>
    </w:p>
    <w:p>
      <w:pPr>
        <w:ind w:left="44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VII Management, LLC is the general partner of Spectrum Equity Associates VII, L.P., which is in turn the general partner of SE VII DHC AIV, L.P., SE VII DHC AIV Feeder, L.P, Spectrum VII Investment Managers’ Fund , L.P. and Spectrum VII Co-Investment Fund, L.P., and as a result may be deemed to share beneficial ownership of the shares of Class A common stock beneficially owned by the foregoing entities. Brion B. Applegate, Christopher T. Mitchell, Victor E. Parker, Jr., Benjamin C. Spero, Ronan Cunningham, Peter T. Jensen, Stephen M. LeSieur, Brian Regan and Michael W. Farrell may be deemed to share voting and dispositive power over the securities held by the entities described in this footnote. Each of the foregoing individuals disclaims beneficial ownership of such securities. The address of the entities and individuals named in this footnote 140 New Montgomery Street, 20th Floor, San Francisco, CA 94105.</w:t>
      </w:r>
    </w:p>
    <w:p>
      <w:pPr>
        <w:spacing w:after="0" w:line="2" w:lineRule="exact"/>
        <w:rPr>
          <w:rFonts w:ascii="Times New Roman" w:cs="Times New Roman" w:eastAsia="Times New Roman" w:hAnsi="Times New Roman"/>
          <w:sz w:val="18"/>
          <w:szCs w:val="18"/>
          <w:color w:val="auto"/>
        </w:rPr>
      </w:pPr>
    </w:p>
    <w:p>
      <w:pPr>
        <w:ind w:left="424" w:hanging="424"/>
        <w:spacing w:after="0" w:line="225"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Schedule 13G filed with the SEC on February 14, 2023, amount beneficially owned includes 5,751,074 shares of Class A common stock held by Echo Street Capital Management LLC, for which Greg Poole may be considered a control person. Each of Echo Street Capital Management LLC and Mr. Poole exercise shared voting and dispositive power over such shares. The address of the individual and entity referred to in this footnote is 12 E. 49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3" w:lineRule="exact"/>
        <w:rPr>
          <w:rFonts w:ascii="Times New Roman" w:cs="Times New Roman" w:eastAsia="Times New Roman" w:hAnsi="Times New Roman"/>
          <w:sz w:val="18"/>
          <w:szCs w:val="18"/>
          <w:color w:val="auto"/>
        </w:rPr>
      </w:pPr>
    </w:p>
    <w:p>
      <w:pPr>
        <w:ind w:left="424" w:right="100" w:hanging="424"/>
        <w:spacing w:after="0" w:line="249"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450,000 shares of Class A common stock held by DH Holdings (fka Jason R. Krantz 2009 Trust), of which Mr. Krantz is the beneficiary, (ii) 36,991 shares of Class A common stock held directly Mr. Krantz, (iii) 20,451,027 shares of Class B common stock held by DH Holdings (fka Jason R. Krantz 2009 Trust), of which Mr. Krantz is the trustee and beneficiary and (iv) 456,214 shares of Class B common stock held by Mr. Krantz. Mr. Krantz has sole voting and dispositive power over the shares held by DH Holdings.</w:t>
      </w:r>
    </w:p>
    <w:p>
      <w:pPr>
        <w:spacing w:after="0" w:line="3" w:lineRule="exact"/>
        <w:rPr>
          <w:rFonts w:ascii="Times New Roman" w:cs="Times New Roman" w:eastAsia="Times New Roman" w:hAnsi="Times New Roman"/>
          <w:sz w:val="18"/>
          <w:szCs w:val="18"/>
          <w:color w:val="auto"/>
        </w:rPr>
      </w:pPr>
    </w:p>
    <w:p>
      <w:pPr>
        <w:ind w:left="424" w:hanging="424"/>
        <w:spacing w:after="0" w:line="260"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140,896 shares of Class A common stock held directly by Mr. Musslewhite, (ii) 165,965 shares of Class A common stock subject to RSU awards that vest, subject to</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4"/>
          </w:cols>
          <w:pgMar w:left="436" w:top="297" w:right="479" w:bottom="1440" w:gutter="0" w:footer="0" w:header="0"/>
        </w:sectPr>
      </w:pPr>
    </w:p>
    <w:bookmarkStart w:id="71" w:name="page72"/>
    <w:bookmarkEnd w:id="71"/>
    <w:p>
      <w:pPr>
        <w:ind w:left="424"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continued service, within 60 days of April 3, 2023, (iii) 369,675 shares of Class B common stock held by Robert Musslewhite – 2014 Family Trust, of which Mr. Musslewhite is settlor, and (iv) 34,919 LLC Units vesting within 60 days of April 3, 2023. Mr. Musslewhite has shared voting and dispositive power over the shares held by the Robert Musslewhite – 2014 Family Trust.</w:t>
      </w:r>
    </w:p>
    <w:p>
      <w:pPr>
        <w:spacing w:after="0" w:line="1" w:lineRule="exact"/>
        <w:rPr>
          <w:sz w:val="20"/>
          <w:szCs w:val="20"/>
          <w:color w:val="auto"/>
        </w:rPr>
      </w:pPr>
    </w:p>
    <w:p>
      <w:pPr>
        <w:ind w:left="424" w:right="220" w:hanging="424"/>
        <w:spacing w:after="0" w:line="250"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Class A common stock held by Advent, as disclosed in footnote (2) above. Each of Mr. Egan and Ms. Young disclaim beneficial ownership of the shares of Class A common stock held by the Advent funds except to the extent of their respective pecuniary interest therein.</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37,037 shares of Class A common stock held indirectly by AMHAM DH LLC, a subsidiary of Samuel Allen Hamood Revocable Trust dtd Aug. 27, 2010, of which Mr. Hamood is a trustee and beneficiary, (ii) 4,475 shares of Class A common stock held directly by Mr. Hamood, (iii) 10,070 shares of Class A common stock subject to RSU awards vesting within 60 days of April 3, 2023 and (iv) 301,204 shares of Class B common stock held by AMHAM DH LLC. Mr. Hamood has shared voting and dispositive power over the shares held by AMHAM DH LLC.</w:t>
      </w:r>
    </w:p>
    <w:p>
      <w:pPr>
        <w:spacing w:after="0" w:line="1" w:lineRule="exact"/>
        <w:rPr>
          <w:rFonts w:ascii="Times New Roman" w:cs="Times New Roman" w:eastAsia="Times New Roman" w:hAnsi="Times New Roman"/>
          <w:sz w:val="18"/>
          <w:szCs w:val="18"/>
          <w:color w:val="auto"/>
        </w:rPr>
      </w:pPr>
    </w:p>
    <w:p>
      <w:pPr>
        <w:jc w:val="both"/>
        <w:ind w:left="424" w:right="360" w:hanging="424"/>
        <w:spacing w:after="0" w:line="250"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Class A common stock and Class B common Stock held by the Spectrum Equity funds, as disclosed in footnote (3) above. Mr. Mitchell and Mr. Haywood disclaim beneficial ownership of the shares of Class A common stock and Class B common stock held by the Spectrum Equity funds except to the extent of their respective pecuniary interest therein.</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4,475 shares of Class A common stock held directly by Ms. Larsen, (ii) 10,070 shares of Class A common stock subject to RSUs vesting within 60 days of April 3, 2023, (iii) 4,657 shares of Class B common stock held directly by Ms. Larsen and (iv) 33,289 shares of Class B common stock held by DIGITAL HR LLC of which Ms. Larsen is the sole member. Ms. Larsen has sole voting and dispositive power over the shares held by DIGITAL HR LLC.</w:t>
      </w:r>
    </w:p>
    <w:p>
      <w:pPr>
        <w:spacing w:after="0" w:line="1" w:lineRule="exact"/>
        <w:rPr>
          <w:rFonts w:ascii="Times New Roman" w:cs="Times New Roman" w:eastAsia="Times New Roman" w:hAnsi="Times New Roman"/>
          <w:sz w:val="18"/>
          <w:szCs w:val="18"/>
          <w:color w:val="auto"/>
        </w:rPr>
      </w:pPr>
    </w:p>
    <w:p>
      <w:pPr>
        <w:ind w:left="424" w:right="260" w:hanging="424"/>
        <w:spacing w:after="0" w:line="250"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5,025 shares of Class A common stock held by Ms. Winters and (ii) 10,070 shares of Class A common stock subject to RSUs vesting within 60 days of April 3, 2023.</w:t>
      </w: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7,282 shares of Class A common stock subject to RSUs vesting within 60 days of April 3, 2023.</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4"/>
          </w:cols>
          <w:pgMar w:left="436" w:top="297" w:right="47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AND RELATED PERSON TRANSACTIONS</w:t>
      </w:r>
    </w:p>
    <w:p>
      <w:pPr>
        <w:spacing w:after="0" w:line="22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Set forth below is a description of certain relationships and related person transactions between us or our subsidiaries and our directors, director nominees, executive officers, or holders of more than 5% of our voting securities during fiscal year 2022. We also summarize our policies and procedures for the review, approval or ratification of transactions with such related persons.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unless otherwise noted or the context requires otherwise:</w:t>
      </w:r>
    </w:p>
    <w:p>
      <w:pPr>
        <w:spacing w:after="0" w:line="131" w:lineRule="exact"/>
        <w:rPr>
          <w:sz w:val="20"/>
          <w:szCs w:val="20"/>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“22C Capital” refers to investment funds associated with 22C Capital LLC, a private equity firm.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refers to funds affiliated with Advent International, a global private equity firm.</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LLC Agreement” refers to the second amended and restated limited liability company agreement of Definitive OpCo, entered into in connection with the Reorganization Transactions.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Companies” refers to certain entities treated as corporations for U.S. tax purposes that merged into Definitive Healthcare Corp. in connection with the Reorganization Transactions.</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Pre-IPO LLC Members” refers to certain Pre-IPO LLC Members who retained their equity ownership in Definitive OpCo in the form of LLC Units immediately following the consummation of the Reorganization Transactions.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OpCo” refers to AIDH TopCo, LLC, a subsidiary of Definitive Healthcare Corp.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Units” refers to limited liability company interests in Definitive OpCo.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refers to the series of transactions we completed in connection with our initial public offering.</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Parties” refers to the shareholders of the Blocker Companies prior to the merger of the Blocker Companies into Definitive Healthcare Corp.</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Equity” refers to investment funds associated with Spectrum Equity Management, L.P., a private equity firm.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refers collectively to Advent, Spectrum Equity, and 22C Capital.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refers to holders who hold their ownership in Definitive OpCo in the form of LLC Units.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 refers to the tax receivable agreement entered into with the TRA Parties.</w:t>
      </w:r>
    </w:p>
    <w:p>
      <w:pPr>
        <w:spacing w:after="0" w:line="130"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Parties” refers collectively to Continuing Pre-IPO LLC Members, the Reorganization Parties, and any future party to the Tax Receivable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Agreement</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our IPO, we entered into a series of Reorganization Transactions. In order to effect the Reorganization Transactions, we entered into a reorganization agreement and related agreements with Definitive OpCo, and certain Unitholders. The table below sets forth the consideration in LLC Units and Class B common stock received by our directors, officers and 5% equity holders in the Reorganization Transactions: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and LLC Units Issued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520" w:type="dxa"/>
            <w:vAlign w:val="bottom"/>
            <w:vMerge w:val="restart"/>
          </w:tcPr>
          <w:p>
            <w:pPr>
              <w:spacing w:after="0"/>
              <w:rPr>
                <w:sz w:val="12"/>
                <w:szCs w:val="12"/>
                <w:color w:val="auto"/>
              </w:rPr>
            </w:pPr>
          </w:p>
        </w:tc>
        <w:tc>
          <w:tcPr>
            <w:tcW w:w="14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 the Reorganization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14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0" w:type="dxa"/>
            <w:vAlign w:val="bottom"/>
          </w:tcPr>
          <w:p>
            <w:pPr>
              <w:spacing w:after="0"/>
              <w:rPr>
                <w:sz w:val="1"/>
                <w:szCs w:val="1"/>
                <w:color w:val="auto"/>
              </w:rPr>
            </w:pPr>
          </w:p>
        </w:tc>
      </w:tr>
      <w:tr>
        <w:trPr>
          <w:trHeight w:val="203"/>
        </w:trPr>
        <w:tc>
          <w:tcPr>
            <w:tcW w:w="6880" w:type="dxa"/>
            <w:vAlign w:val="bottom"/>
            <w:tcBorders>
              <w:top w:val="single" w:sz="8" w:color="D1FCFC"/>
            </w:tcBorders>
            <w:gridSpan w:val="2"/>
            <w:shd w:val="clear" w:color="auto" w:fill="D1FCFC"/>
          </w:tcPr>
          <w:p>
            <w:pPr>
              <w:spacing w:after="0" w:line="203" w:lineRule="exact"/>
              <w:rPr>
                <w:sz w:val="20"/>
                <w:szCs w:val="20"/>
                <w:color w:val="auto"/>
              </w:rPr>
            </w:pPr>
            <w:r>
              <w:rPr>
                <w:rFonts w:ascii="Times New Roman" w:cs="Times New Roman" w:eastAsia="Times New Roman" w:hAnsi="Times New Roman"/>
                <w:sz w:val="18"/>
                <w:szCs w:val="18"/>
                <w:color w:val="auto"/>
              </w:rPr>
              <w:t>Affiliates of Advent and certain other minority equity holders</w:t>
            </w:r>
          </w:p>
        </w:tc>
        <w:tc>
          <w:tcPr>
            <w:tcW w:w="1440" w:type="dxa"/>
            <w:vAlign w:val="bottom"/>
            <w:tcBorders>
              <w:top w:val="single" w:sz="8" w:color="auto"/>
            </w:tcBorders>
            <w:shd w:val="clear" w:color="auto" w:fill="D1FCFC"/>
          </w:tcPr>
          <w:p>
            <w:pPr>
              <w:jc w:val="right"/>
              <w:ind w:right="1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Affiliates of Spectrum Equity</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28,352,972</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Jason Krantz</w:t>
            </w:r>
          </w:p>
        </w:tc>
        <w:tc>
          <w:tcPr>
            <w:tcW w:w="148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21,994,281</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AIDH Management Holdings, LLC</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6,098,909</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Affiliates of 22C Capital</w:t>
            </w:r>
          </w:p>
        </w:tc>
        <w:tc>
          <w:tcPr>
            <w:tcW w:w="148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4,390,661</w:t>
            </w:r>
          </w:p>
        </w:tc>
        <w:tc>
          <w:tcPr>
            <w:tcW w:w="0" w:type="dxa"/>
            <w:vAlign w:val="bottom"/>
          </w:tcPr>
          <w:p>
            <w:pPr>
              <w:spacing w:after="0"/>
              <w:rPr>
                <w:sz w:val="1"/>
                <w:szCs w:val="1"/>
                <w:color w:val="auto"/>
              </w:rPr>
            </w:pPr>
          </w:p>
        </w:tc>
      </w:tr>
      <w:tr>
        <w:trPr>
          <w:trHeight w:val="365"/>
        </w:trPr>
        <w:tc>
          <w:tcPr>
            <w:tcW w:w="6880" w:type="dxa"/>
            <w:vAlign w:val="bottom"/>
            <w:gridSpan w:val="2"/>
          </w:tcPr>
          <w:p>
            <w:pPr>
              <w:ind w:left="4100"/>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Definitive OpCo Amended LLC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Amended LLC Agreement, we operate our business through Definitive OpCo. Pursuant to the terms of the Amended LLC Agreement, we will not, without the prior written consent of the majority-in-interest of the members in Definitive OpCo other than us (if any), engage in any activity unrelated to the business or ownership of Definitive OpCo or own any material assets other than limited liability company interests in Definitive OpCo and/or any cash or other property or assets distributed by or otherwise received from Definitive OpCo.</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the sole managing member of Definitive OpCo, we have control over all of the affairs and decision making of Definitive OpCo, subject to certain exceptions. As such, through our officers and directors, we are responsible for all operational and administrative decisions of Definitive OpCo and the day-to-day management of Definitive OpCo’s business. We will fund any dividends to our stockholders by causing Definitive OpCo to make distributions to the Unitholders and us, subject to the limitations imposed by our debt agreements.</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Unitholders generally incur U.S. federal, state, and local income taxes on their proportionate share of any taxable income of Definitive OpCo. Under the Amended LLC Agreement, to the extent Definitive OpCo has available cash we are required to cause Definitive OpCo to make pro rata cash distributions to the Unitholders for purposes of funding their tax obligations in respect of the taxable income of Definitive OpCo that is allocated to them. Generally, the pro rata amount to be distributed to each Unitholder is calculated based on the distribution to the Unitholder that would have the highest tax distribution on a per unit basis, with such calculated based on estimated net taxable income of Definitive OpCo allocable to the Unitholders and assumed tax rates equal to the highest effective marginal combined U.S. federal, state, and local income tax rate prescribed for an individual or corporate resident of New York, NY (whichever is higher) for the applicable year (taking into account the deductibility of state and local taxes to the extent applicable and the character of Definitive OpCo’s income). As a result of (i) potential differences in the amount of taxable income allocable to us and the other Unitholders,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 (as described below).</w:t>
      </w:r>
    </w:p>
    <w:p>
      <w:pPr>
        <w:spacing w:after="0" w:line="19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Except as otherwise determined by us and subject to certain exceptions, if at any time we issue a share of our Class A common stock, the net proceeds received by us with respect to such share, if any (less any amounts used to fund expenses or other obligations as to which we would be entitled to a distribution or reimbursement from Definitive OpCo), shall be concurrently contributed to Definitive OpCo and Definitive OpCo shall issue to us one LLC Unit, unless such share was issued by us solely to fund the purchase of an LLC Unit from a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any person other than us, we will issue an equal number of shares of our Class B common stock to such person (or, in the case of LLC Units corresponding to units of AIDH Management Holdings, LLC, to the holder of such units of AIDH Management Holdings, LLC).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(with corresponding changes made with respect to any other exchangeable or convertible securities), and conversely, we will not effect any subdivision or combination of any class of our common stock unless it is accompanied by a substantively identical subdivision or combination, as applicable, of the LLC Units.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93" w:right="459" w:bottom="1440" w:gutter="0" w:footer="0" w:header="0"/>
        </w:sectPr>
      </w:pPr>
    </w:p>
    <w:bookmarkStart w:id="74" w:name="page75"/>
    <w:bookmarkEnd w:id="74"/>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Under our Amended LLC Agreement, Unitholders (other than us) have the right to require Definitive OpCo to redeem or exchange all or a portion of their vested LLC Units for newly-issued shares of Class A common stock, which may consist of unregistered shares, on a one-for-one basis (subject to customary adjustments, including for stock splits, stock dividends, and reclassifications), subject to certain exceptions.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surrendering holder of LLC Units. Definitive OpCo will then distribute the shares of our Class A common stock to such holder to complete the exchange. Alternatively, we may at our option effect the exchange in the form of a direct exchange of Class A common stock for LLC Units.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Upon such an exchange, shares of Class B common stock held by the exchanging holder of LLC Units will be canceled on a one-for-one basis. Similarly, the holders of vested equity in AIDH Management Holdings, LLC have the right, pursuant to the terms of the amended and restated limited liability company agreement of AIDH Management Holdings, LLC, to cause Definitive OpCo or us to redeem or exchange (at our election) their vested equity for newly issued shares of Class A common stock on a one-for-one basis as though such holder were the direct member of Definitive OpCo pursuant to the terms of the Amended LLC Agreement. Upon such an exchange, shares of Class B common stock held by the exchanging holder of units of AIDH Management Holdings, LLC will be canceled on a one-for-one basis.</w:t>
      </w:r>
    </w:p>
    <w:p>
      <w:pPr>
        <w:spacing w:after="0" w:line="196"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Amended LLC Agreement provides that, in the event that a tender offer, share exchange offer, issuer bid, take-over bid, recapitalization, or similar transaction with respect to our Class A common stock is proposed by us or to us or our stockholders and approved by our Board of Directors or is otherwise effected or consented to or approved by our Board of Directors, holders of vested LLC Units other than us will be permitted to participate in such offer by delivery of a notice of exchange that is effective immediately prior to the consummation of such offer. In the case of any such offer proposed by us, we are obligated to use our reasonable best efforts to enable and permit such Unitholders to participate in such offer to the same extent or on an economically equivalent basis as the holders of shares of our Class A common stock without discrimination. In addition, we are obligated to use our reasonable best efforts to ensure that such Unitholders may participate in each such offer without being required to exchange LLC Units to the extent practicable.</w:t>
      </w:r>
    </w:p>
    <w:p>
      <w:pPr>
        <w:spacing w:after="0" w:line="192" w:lineRule="exact"/>
        <w:rPr>
          <w:sz w:val="20"/>
          <w:szCs w:val="20"/>
          <w:color w:val="auto"/>
        </w:rPr>
      </w:pPr>
    </w:p>
    <w:p>
      <w:pPr>
        <w:ind w:left="4" w:right="840"/>
        <w:spacing w:after="0" w:line="282" w:lineRule="auto"/>
        <w:rPr>
          <w:sz w:val="20"/>
          <w:szCs w:val="20"/>
          <w:color w:val="auto"/>
        </w:rPr>
      </w:pPr>
      <w:r>
        <w:rPr>
          <w:rFonts w:ascii="Times New Roman" w:cs="Times New Roman" w:eastAsia="Times New Roman" w:hAnsi="Times New Roman"/>
          <w:sz w:val="18"/>
          <w:szCs w:val="18"/>
          <w:color w:val="auto"/>
        </w:rPr>
        <w:t>The Amended LLC Agreement provides that, subject to certain exceptions, including transfers to us as provided above or to certain permitted transferees, the LLC Units and shares of Class B common stock may not be sold, transferred, or otherwise disposed of.</w:t>
      </w:r>
    </w:p>
    <w:p>
      <w:pPr>
        <w:spacing w:after="0" w:line="162"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Subject to certain exceptions, Definitive OpCo will indemnify all of its members and their officers and certain other related parties against all losses or expenses arising from claims or other legal proceedings in which such person (in its capacity as such) may be involved or become subject to in connection with Definitive OpCo’s business or affairs, the Amended LLC Agreement or any related document.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Definitive OpCo may be dissolved upon the earliest to occur of (i) 45 days after the sale or other disposition of all or substantially all of its assets,</w:t>
      </w:r>
    </w:p>
    <w:p>
      <w:pPr>
        <w:spacing w:after="0" w:line="27" w:lineRule="exact"/>
        <w:rPr>
          <w:sz w:val="20"/>
          <w:szCs w:val="20"/>
          <w:color w:val="auto"/>
        </w:rPr>
      </w:pPr>
    </w:p>
    <w:p>
      <w:pPr>
        <w:ind w:left="4" w:right="60" w:hanging="4"/>
        <w:spacing w:after="0" w:line="252"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approval of such a dissolution, (iii) the entry of a decree of dissolution, or (iv) such time as there are no remaining members,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their respective affiliates that are creditors)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4"/>
          </w:cols>
          <w:pgMar w:left="436" w:top="297"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Tax Receivable Agreement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IPO, we entered into a Tax Receivable Agreement, or TRA, with the TRA Parties. Under the TRA, the Company generally will be required to pay to the TRA Parties 85% of the amount of cash savings, if any, in U.S. federal, state, or local tax that the Company actually realizes, or in certain circumstances is deemed to realize, directly or indirectly (or are deemed to realize in certain circumstances) as a result of (i) certain tax attributes that the Company acquired from the Blocker Companies, (ii) certain tax basis adjustments resulting from (a) acquisitions by the Company of LLC Units from pre-IPO holders in connection with the IPO and (b) subsequent redemptions or exchanges of LLC Units by Unitholders of LLC Units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1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recorded a tax receivable agreement liability of $156.3 million related to these benefits as of December 31, 2022. To the extent that we determine that we are able to realize the tax benefits associated with the basis adjustments and net operating losses, we would record an additional liability of $109.1 million for a total liability of $265.4 million. There were no payments made pursuant to the Tax Receivable Agreement during the year ended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Agreements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entered into nominating agreements, pursuant to which (a) Advent and its affiliates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certain of the Unitholders and affiliates of Advent, affiliates of Spectrum Equity, Jason Krantz, AIDH Management Holdings, LLC, and affiliates of 22C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Directors’ Liability and Indemnification Matters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Charter and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Bylaws also require us, if so requested, to advance expenses that such director or officer incurred in defending or investigating a threatened or pending action, suit, or proceeding, provided that such person will return any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93" w:right="459" w:bottom="1440" w:gutter="0" w:footer="0" w:header="0"/>
        </w:sectPr>
      </w:pPr>
    </w:p>
    <w:bookmarkStart w:id="76" w:name="page77"/>
    <w:bookmarkEnd w:id="76"/>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advance if it is ultimately determined that such person is not entitled to indemnification by us. We have entered into, and intend to continue to enter into, indemnification agreements with our directors and officers. We also maintain insurance on behalf of any person who is or was a director or officer of the Company against any loss arising from any claim asserted against him or her and incurred by him or her in any such capacity, subject to certain exclusions.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Related Party Transactions Policies and Procedures</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We have a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76" w:lineRule="exact"/>
        <w:rPr>
          <w:sz w:val="20"/>
          <w:szCs w:val="20"/>
          <w:color w:val="auto"/>
        </w:rPr>
      </w:pPr>
    </w:p>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w:t>
      </w:r>
    </w:p>
    <w:p>
      <w:pPr>
        <w:spacing w:after="0" w:line="176" w:lineRule="exact"/>
        <w:rPr>
          <w:sz w:val="20"/>
          <w:szCs w:val="20"/>
          <w:color w:val="auto"/>
        </w:rPr>
      </w:pPr>
    </w:p>
    <w:p>
      <w:pPr>
        <w:ind w:left="4" w:right="120"/>
        <w:spacing w:after="0" w:line="269" w:lineRule="auto"/>
        <w:rPr>
          <w:sz w:val="20"/>
          <w:szCs w:val="20"/>
          <w:color w:val="auto"/>
        </w:rPr>
      </w:pPr>
      <w:r>
        <w:rPr>
          <w:rFonts w:ascii="Times New Roman" w:cs="Times New Roman" w:eastAsia="Times New Roman" w:hAnsi="Times New Roman"/>
          <w:sz w:val="17"/>
          <w:szCs w:val="17"/>
          <w:color w:val="auto"/>
        </w:rPr>
        <w:t>The Policy requires that notice of a proposed transaction or arrangement that could be a related person transaction be provided to our Chief Legal Officer, or his or her designee, the chair of the Board, or the chair of the Audit Committee prior to entry into such transaction. If it is determined that such transaction could be a related person transaction, the proposed transaction will be submitted to our Audit Committee for consideration at its next meeting or sooner if determined to be necessary by the Chief Legal Officer. Under the Policy, our Audit Committee may, in its discretion based upon a determination that such transactions are in the best interests of the Company and such other determinations as the Audit Committee deems appropriate,</w:t>
      </w:r>
    </w:p>
    <w:p>
      <w:pPr>
        <w:spacing w:after="0" w:line="3" w:lineRule="exact"/>
        <w:rPr>
          <w:sz w:val="20"/>
          <w:szCs w:val="20"/>
          <w:color w:val="auto"/>
        </w:rPr>
      </w:pPr>
    </w:p>
    <w:p>
      <w:pPr>
        <w:ind w:left="4" w:right="280" w:hanging="4"/>
        <w:spacing w:after="0" w:line="260"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ratify such transactions, as applicable, (ii) request that the transaction be modified as a condition to the Audit Committee’s approval or ratification, or (iii) reject the transaction.</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4"/>
          </w:cols>
          <w:pgMar w:left="436" w:top="297" w:right="47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HOUSEHOLDING OF PROXY MATERIALS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rules adopted by the SEC, we are permitted to deliver a single Notice of Internet Availability of Proxy Materials and, if you requested printed versions by mail, this Proxy Statement and the Annual Report on Form 10-K for the year ended December 31, 2022, to any household in which two or more stockholders reside if we believe the stockholders are members of the same family. This process, called householding, allows us to reduce the number of copies of these materials we must print and mail. Even if householding is used, each stockholder will continue to be entitled to submit a separate proxy or voting instructions.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year, we, or some brokers and nominees who hold Company shares on behalf of stockholders, may participate in the practice of householding proxy statements and annual reports for those stockholders. If your household receives a single Notice of Internet Availability of Proxy Materials for this year and, if you requested printed versions by mail, this Proxy Statement and the Annual Report on Form 10-K for the year ended December 31, 2022, but you would like to receive your own copy, please contact our Chief Legal Officer and Secretary, at Definitive Healthcare Corp., Chief Legal Officer, 492 Old Connecticut Path, Suite 401, Framingham, MA 01701, and we will promptly send you a copy. If a broker or nominee holds Company shares on your behalf and you share the same last name and address with another stockholder for whom a broker or nominee holds Company shares, and together both of you would like to receive only a single set of the Company’s disclosure documents, please contact your broker or nominee as described in the voter instruction card or other information you received from your broker or nominee.</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consent to householding, your election will remain in effect until you revoke it. Should you later revoke your consent, you will be sent separate copies of those documents that are mailed at least 30 days or more after receipt of your revocation.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93" w:right="45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 FOR THE 2024 ANNUAL MEETING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stockholder wishes to propose a matter for consideration at our 2024 Annual Meeting of Stockholders (the “2024 Annual Meeting”), the proposal should be mailed by certified mail return receipt requested, to our Chief Legal Officer and Secretary, Definitive Healthcare Corp., Chief Legal Officer, 492 Old Connecticut Path, Suite 401, Framingham, MA 01701. To be eligible under the SEC’s stockholder proposal rule (Rule 14a-8(e) of the Exchange Act) for inclusion in our proxy statement for the 2024 Annual Meeting, a proposal must be received by our Secretary on or before December 22, 2023. Failure to deliver a proposal in accordance with this procedure may result in it not being deemed timely received.</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2024 Annual Meeting, you must submit a timely notice in accordance with the procedures described in our Bylaws. To be timely, a stockholder’s notice must be delivered to the Chief Legal Officer and Secretary at the principal executive offices of the Company not less than 90 days nor more than 120 days prior to the date of the first anniversary of the preceding year’s annual meeting. Therefore, to be presented at our 2024 Annual Meeting, such a proposal must be received on or after February 2, 2024, but not later than March 3, 2024. In the event that the date of the 2024 Annual Meeting is more than 30 days before or more than 60 days after such anniversary date of this year’s Annual Meeting, notice by the stockholder to be timely must be so delivered not earlier than the open of business on the 120th day prior to the 2024 Annual Meeting and not later than the close of business on the later of the 90th day prior to the 2024 Annual Meeting, or, if the first public announcement by the Company of the date of the 2024 Annual Meeting is less than 100 days prior to the 2024 Annual Meeting, the tenth day following the day on which public announcement of the date of the 2024 Annual Meeting is first made by the Company. Any such proposal will be considered timely only if it is otherwise in compliance with the requirements set forth in our Bylaws. In addition to satisfying the foregoing requirements under our Bylaws, to comply with the universal proxy rules, stockholders who intend to solicit proxies in support of director nominees other than our Board of Director’s Nominees must provide in their notice the additional information required by Rule 14a-19 under the Exchange Act.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93" w:right="459"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will vote your shares in accordance with their best judgment. This discretionary authority is granted by the execution of the form of proxy.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1739900" cy="368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3990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Matt Ruderman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Legal Officer (Acting) and Secretary</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all of our filings that are made electronically with the SEC, including Forms 10-K, 10-Q, and 8-K. To access these filings, go to our website </w:t>
      </w:r>
      <w:r>
        <w:rPr>
          <w:rFonts w:ascii="Times New Roman" w:cs="Times New Roman" w:eastAsia="Times New Roman" w:hAnsi="Times New Roman"/>
          <w:sz w:val="18"/>
          <w:szCs w:val="18"/>
          <w:i w:val="1"/>
          <w:iCs w:val="1"/>
          <w:color w:val="auto"/>
        </w:rPr>
        <w:t>(ir.definitivehc.com)</w:t>
      </w:r>
      <w:r>
        <w:rPr>
          <w:rFonts w:ascii="Times New Roman" w:cs="Times New Roman" w:eastAsia="Times New Roman" w:hAnsi="Times New Roman"/>
          <w:sz w:val="18"/>
          <w:szCs w:val="18"/>
          <w:color w:val="auto"/>
        </w:rPr>
        <w:t xml:space="preserve"> and click on “SEC Filings” under the “Financials” heading. Copies of our Annual Report on Form 10-K for the year ended December 31, 2022, including financial statements and schedules thereto, filed with the SEC, will also be available without charge to stockholders upon written request addressed to:</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40"/>
          </w:cols>
          <w:pgMar w:left="440" w:top="293" w:right="519" w:bottom="1440" w:gutter="0" w:footer="0" w:header="0"/>
        </w:sectPr>
      </w:pPr>
    </w:p>
    <w:bookmarkStart w:id="80" w:name="page81"/>
    <w:bookmarkEnd w:id="8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A – RECONCILIATION OF NON-GAAP FINANCIAL MEASURES</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This proxy statement contains non-GAAP financial measures under the caption “Compensation Discussion and Analysis”, including Adjusted EBITDA and Adjusted EBITDA Margin. See below for a definition of each non-GAAP financial measure and a reconciliation to net loss, the most comparable GAAP measure.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integration and restructuring expenses, and other non-recurring items.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84"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measures derived in accordance with GAAP, or as measures of operating cash flows or liquidity.</w:t>
      </w:r>
    </w:p>
    <w:p>
      <w:pPr>
        <w:spacing w:after="0" w:line="75"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In evaluating our non-GAAP financial measures, you should be aware that in the future we may incur expenses similar to those eliminated in these presentations.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for the periods presented:</w:t>
      </w:r>
    </w:p>
    <w:p>
      <w:pPr>
        <w:spacing w:after="0" w:line="124"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42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D1FCFC"/>
            </w:tcBorders>
            <w:gridSpan w:val="2"/>
            <w:shd w:val="clear" w:color="auto" w:fill="D1FC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top w:val="single" w:sz="8" w:color="D1FCFC"/>
            </w:tcBorders>
            <w:shd w:val="clear" w:color="auto" w:fill="D1FCFC"/>
          </w:tcPr>
          <w:p>
            <w:pPr>
              <w:spacing w:after="0"/>
              <w:rPr>
                <w:sz w:val="17"/>
                <w:szCs w:val="17"/>
                <w:color w:val="auto"/>
              </w:rPr>
            </w:pPr>
          </w:p>
        </w:tc>
        <w:tc>
          <w:tcPr>
            <w:tcW w:w="100" w:type="dxa"/>
            <w:vAlign w:val="bottom"/>
            <w:tcBorders>
              <w:top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(22,255)</w:t>
            </w:r>
          </w:p>
        </w:tc>
        <w:tc>
          <w:tcPr>
            <w:tcW w:w="300" w:type="dxa"/>
            <w:vAlign w:val="bottom"/>
            <w:tcBorders>
              <w:top w:val="single" w:sz="8" w:color="D1FCFC"/>
            </w:tcBorders>
            <w:shd w:val="clear" w:color="auto" w:fill="D1FCFC"/>
          </w:tcPr>
          <w:p>
            <w:pPr>
              <w:spacing w:after="0"/>
              <w:rPr>
                <w:sz w:val="17"/>
                <w:szCs w:val="17"/>
                <w:color w:val="auto"/>
              </w:rPr>
            </w:pPr>
          </w:p>
        </w:tc>
        <w:tc>
          <w:tcPr>
            <w:tcW w:w="240" w:type="dxa"/>
            <w:vAlign w:val="bottom"/>
            <w:tcBorders>
              <w:top w:val="single" w:sz="8" w:color="D1FCFC"/>
            </w:tcBorders>
            <w:shd w:val="clear" w:color="auto" w:fill="D1FCFC"/>
          </w:tcPr>
          <w:p>
            <w:pPr>
              <w:spacing w:after="0"/>
              <w:rPr>
                <w:sz w:val="17"/>
                <w:szCs w:val="17"/>
                <w:color w:val="auto"/>
              </w:rPr>
            </w:pPr>
          </w:p>
        </w:tc>
        <w:tc>
          <w:tcPr>
            <w:tcW w:w="80" w:type="dxa"/>
            <w:vAlign w:val="bottom"/>
            <w:tcBorders>
              <w:top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(61,257)</w:t>
            </w:r>
          </w:p>
        </w:tc>
        <w:tc>
          <w:tcPr>
            <w:tcW w:w="10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25,871</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60" w:type="dxa"/>
            <w:vAlign w:val="bottom"/>
            <w:shd w:val="clear" w:color="auto" w:fill="D1FCFC"/>
          </w:tcPr>
          <w:p>
            <w:pPr>
              <w:spacing w:after="0"/>
              <w:rPr>
                <w:sz w:val="18"/>
                <w:szCs w:val="18"/>
                <w:color w:val="auto"/>
              </w:rPr>
            </w:pPr>
          </w:p>
        </w:tc>
        <w:tc>
          <w:tcPr>
            <w:tcW w:w="100" w:type="dxa"/>
            <w:vAlign w:val="bottom"/>
            <w:shd w:val="clear" w:color="auto" w:fill="D1FCFC"/>
          </w:tcPr>
          <w:p>
            <w:pPr>
              <w:spacing w:after="0"/>
              <w:rPr>
                <w:sz w:val="18"/>
                <w:szCs w:val="18"/>
                <w:color w:val="auto"/>
              </w:rPr>
            </w:pPr>
          </w:p>
        </w:tc>
        <w:tc>
          <w:tcPr>
            <w:tcW w:w="880" w:type="dxa"/>
            <w:vAlign w:val="bottom"/>
            <w:gridSpan w:val="2"/>
            <w:shd w:val="clear" w:color="auto" w:fill="D1FCFC"/>
          </w:tcPr>
          <w:p>
            <w:pPr>
              <w:jc w:val="right"/>
              <w:ind w:right="240"/>
              <w:spacing w:after="0"/>
              <w:rPr>
                <w:sz w:val="20"/>
                <w:szCs w:val="20"/>
                <w:color w:val="auto"/>
              </w:rPr>
            </w:pPr>
            <w:r>
              <w:rPr>
                <w:rFonts w:ascii="Times New Roman" w:cs="Times New Roman" w:eastAsia="Times New Roman" w:hAnsi="Times New Roman"/>
                <w:sz w:val="18"/>
                <w:szCs w:val="18"/>
                <w:color w:val="auto"/>
              </w:rPr>
              <w:t>(17,185)</w:t>
            </w:r>
          </w:p>
        </w:tc>
        <w:tc>
          <w:tcPr>
            <w:tcW w:w="240" w:type="dxa"/>
            <w:vAlign w:val="bottom"/>
            <w:shd w:val="clear" w:color="auto" w:fill="D1FCFC"/>
          </w:tcPr>
          <w:p>
            <w:pPr>
              <w:spacing w:after="0"/>
              <w:rPr>
                <w:sz w:val="18"/>
                <w:szCs w:val="18"/>
                <w:color w:val="auto"/>
              </w:rPr>
            </w:pPr>
          </w:p>
        </w:tc>
        <w:tc>
          <w:tcPr>
            <w:tcW w:w="80" w:type="dxa"/>
            <w:vAlign w:val="bottom"/>
            <w:shd w:val="clear" w:color="auto" w:fill="D1FCFC"/>
          </w:tcPr>
          <w:p>
            <w:pPr>
              <w:spacing w:after="0"/>
              <w:rPr>
                <w:sz w:val="18"/>
                <w:szCs w:val="18"/>
                <w:color w:val="auto"/>
              </w:rPr>
            </w:pPr>
          </w:p>
        </w:tc>
        <w:tc>
          <w:tcPr>
            <w:tcW w:w="700" w:type="dxa"/>
            <w:vAlign w:val="bottom"/>
            <w:gridSpan w:val="2"/>
            <w:shd w:val="clear" w:color="auto" w:fill="D1FCFC"/>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9,873</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60" w:type="dxa"/>
            <w:vAlign w:val="bottom"/>
            <w:shd w:val="clear" w:color="auto" w:fill="D1FCFC"/>
          </w:tcPr>
          <w:p>
            <w:pPr>
              <w:spacing w:after="0"/>
              <w:rPr>
                <w:sz w:val="18"/>
                <w:szCs w:val="18"/>
                <w:color w:val="auto"/>
              </w:rPr>
            </w:pPr>
          </w:p>
        </w:tc>
        <w:tc>
          <w:tcPr>
            <w:tcW w:w="100" w:type="dxa"/>
            <w:vAlign w:val="bottom"/>
            <w:shd w:val="clear" w:color="auto" w:fill="D1FCFC"/>
          </w:tcPr>
          <w:p>
            <w:pPr>
              <w:spacing w:after="0"/>
              <w:rPr>
                <w:sz w:val="18"/>
                <w:szCs w:val="18"/>
                <w:color w:val="auto"/>
              </w:rPr>
            </w:pPr>
          </w:p>
        </w:tc>
        <w:tc>
          <w:tcPr>
            <w:tcW w:w="88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8"/>
                <w:szCs w:val="18"/>
                <w:color w:val="auto"/>
              </w:rPr>
              <w:t>56,904</w:t>
            </w:r>
          </w:p>
        </w:tc>
        <w:tc>
          <w:tcPr>
            <w:tcW w:w="240" w:type="dxa"/>
            <w:vAlign w:val="bottom"/>
            <w:shd w:val="clear" w:color="auto" w:fill="D1FCFC"/>
          </w:tcPr>
          <w:p>
            <w:pPr>
              <w:spacing w:after="0"/>
              <w:rPr>
                <w:sz w:val="18"/>
                <w:szCs w:val="18"/>
                <w:color w:val="auto"/>
              </w:rPr>
            </w:pPr>
          </w:p>
        </w:tc>
        <w:tc>
          <w:tcPr>
            <w:tcW w:w="80" w:type="dxa"/>
            <w:vAlign w:val="bottom"/>
            <w:shd w:val="clear" w:color="auto" w:fill="D1FCFC"/>
          </w:tcPr>
          <w:p>
            <w:pPr>
              <w:spacing w:after="0"/>
              <w:rPr>
                <w:sz w:val="18"/>
                <w:szCs w:val="18"/>
                <w:color w:val="auto"/>
              </w:rPr>
            </w:pPr>
          </w:p>
        </w:tc>
        <w:tc>
          <w:tcPr>
            <w:tcW w:w="700" w:type="dxa"/>
            <w:vAlign w:val="bottom"/>
            <w:gridSpan w:val="2"/>
            <w:shd w:val="clear" w:color="auto" w:fill="D1FCFC"/>
          </w:tcPr>
          <w:p>
            <w:pPr>
              <w:jc w:val="right"/>
              <w:ind w:right="100"/>
              <w:spacing w:after="0"/>
              <w:rPr>
                <w:sz w:val="20"/>
                <w:szCs w:val="20"/>
                <w:color w:val="auto"/>
              </w:rPr>
            </w:pPr>
            <w:r>
              <w:rPr>
                <w:rFonts w:ascii="Times New Roman" w:cs="Times New Roman" w:eastAsia="Times New Roman" w:hAnsi="Times New Roman"/>
                <w:sz w:val="18"/>
                <w:szCs w:val="18"/>
                <w:color w:val="auto"/>
              </w:rPr>
              <w:t>59,947</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(income) expense, net </w:t>
            </w:r>
            <w:r>
              <w:rPr>
                <w:rFonts w:ascii="Times New Roman" w:cs="Times New Roman" w:eastAsia="Times New Roman" w:hAnsi="Times New Roman"/>
                <w:sz w:val="25"/>
                <w:szCs w:val="25"/>
                <w:color w:val="auto"/>
                <w:vertAlign w:val="superscript"/>
              </w:rPr>
              <w:t>(a)</w:t>
            </w:r>
          </w:p>
        </w:tc>
        <w:tc>
          <w:tcPr>
            <w:tcW w:w="1260" w:type="dxa"/>
            <w:vAlign w:val="bottom"/>
            <w:shd w:val="clear" w:color="auto" w:fill="D1FCFC"/>
          </w:tcPr>
          <w:p>
            <w:pPr>
              <w:spacing w:after="0"/>
              <w:rPr>
                <w:sz w:val="18"/>
                <w:szCs w:val="18"/>
                <w:color w:val="auto"/>
              </w:rPr>
            </w:pPr>
          </w:p>
        </w:tc>
        <w:tc>
          <w:tcPr>
            <w:tcW w:w="100" w:type="dxa"/>
            <w:vAlign w:val="bottom"/>
            <w:shd w:val="clear" w:color="auto" w:fill="D1FCFC"/>
          </w:tcPr>
          <w:p>
            <w:pPr>
              <w:spacing w:after="0"/>
              <w:rPr>
                <w:sz w:val="18"/>
                <w:szCs w:val="18"/>
                <w:color w:val="auto"/>
              </w:rPr>
            </w:pPr>
          </w:p>
        </w:tc>
        <w:tc>
          <w:tcPr>
            <w:tcW w:w="880" w:type="dxa"/>
            <w:vAlign w:val="bottom"/>
            <w:gridSpan w:val="2"/>
            <w:shd w:val="clear" w:color="auto" w:fill="D1FCFC"/>
          </w:tcPr>
          <w:p>
            <w:pPr>
              <w:jc w:val="right"/>
              <w:ind w:right="240"/>
              <w:spacing w:after="0"/>
              <w:rPr>
                <w:sz w:val="20"/>
                <w:szCs w:val="20"/>
                <w:color w:val="auto"/>
              </w:rPr>
            </w:pPr>
            <w:r>
              <w:rPr>
                <w:rFonts w:ascii="Times New Roman" w:cs="Times New Roman" w:eastAsia="Times New Roman" w:hAnsi="Times New Roman"/>
                <w:sz w:val="18"/>
                <w:szCs w:val="18"/>
                <w:color w:val="auto"/>
              </w:rPr>
              <w:t>(10,236)</w:t>
            </w:r>
          </w:p>
        </w:tc>
        <w:tc>
          <w:tcPr>
            <w:tcW w:w="240" w:type="dxa"/>
            <w:vAlign w:val="bottom"/>
            <w:shd w:val="clear" w:color="auto" w:fill="D1FCFC"/>
          </w:tcPr>
          <w:p>
            <w:pPr>
              <w:spacing w:after="0"/>
              <w:rPr>
                <w:sz w:val="18"/>
                <w:szCs w:val="18"/>
                <w:color w:val="auto"/>
              </w:rPr>
            </w:pPr>
          </w:p>
        </w:tc>
        <w:tc>
          <w:tcPr>
            <w:tcW w:w="80" w:type="dxa"/>
            <w:vAlign w:val="bottom"/>
            <w:shd w:val="clear" w:color="auto" w:fill="D1FCFC"/>
          </w:tcPr>
          <w:p>
            <w:pPr>
              <w:spacing w:after="0"/>
              <w:rPr>
                <w:sz w:val="18"/>
                <w:szCs w:val="18"/>
                <w:color w:val="auto"/>
              </w:rPr>
            </w:pPr>
          </w:p>
        </w:tc>
        <w:tc>
          <w:tcPr>
            <w:tcW w:w="70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Equity-based compensation </w:t>
            </w:r>
            <w:r>
              <w:rPr>
                <w:rFonts w:ascii="Times New Roman" w:cs="Times New Roman" w:eastAsia="Times New Roman" w:hAnsi="Times New Roman"/>
                <w:sz w:val="25"/>
                <w:szCs w:val="25"/>
                <w:color w:val="auto"/>
                <w:vertAlign w:val="superscript"/>
              </w:rPr>
              <w:t>(b)</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36,434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9,957</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Transaction, integration and restructuring expenses</w:t>
            </w:r>
            <w:r>
              <w:rPr>
                <w:rFonts w:ascii="Times New Roman" w:cs="Times New Roman" w:eastAsia="Times New Roman" w:hAnsi="Times New Roman"/>
                <w:sz w:val="25"/>
                <w:szCs w:val="25"/>
                <w:color w:val="auto"/>
                <w:vertAlign w:val="superscript"/>
              </w:rPr>
              <w:t>(c)</w:t>
            </w:r>
          </w:p>
        </w:tc>
        <w:tc>
          <w:tcPr>
            <w:tcW w:w="1260" w:type="dxa"/>
            <w:vAlign w:val="bottom"/>
            <w:shd w:val="clear" w:color="auto" w:fill="D1FCFC"/>
          </w:tcPr>
          <w:p>
            <w:pPr>
              <w:spacing w:after="0"/>
              <w:rPr>
                <w:sz w:val="18"/>
                <w:szCs w:val="18"/>
                <w:color w:val="auto"/>
              </w:rPr>
            </w:pPr>
          </w:p>
        </w:tc>
        <w:tc>
          <w:tcPr>
            <w:tcW w:w="100" w:type="dxa"/>
            <w:vAlign w:val="bottom"/>
            <w:shd w:val="clear" w:color="auto" w:fill="D1FCFC"/>
          </w:tcPr>
          <w:p>
            <w:pPr>
              <w:spacing w:after="0"/>
              <w:rPr>
                <w:sz w:val="18"/>
                <w:szCs w:val="18"/>
                <w:color w:val="auto"/>
              </w:rPr>
            </w:pPr>
          </w:p>
        </w:tc>
        <w:tc>
          <w:tcPr>
            <w:tcW w:w="88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8"/>
                <w:szCs w:val="18"/>
                <w:color w:val="auto"/>
              </w:rPr>
              <w:t>7,890</w:t>
            </w:r>
          </w:p>
        </w:tc>
        <w:tc>
          <w:tcPr>
            <w:tcW w:w="240" w:type="dxa"/>
            <w:vAlign w:val="bottom"/>
            <w:shd w:val="clear" w:color="auto" w:fill="D1FCFC"/>
          </w:tcPr>
          <w:p>
            <w:pPr>
              <w:spacing w:after="0"/>
              <w:rPr>
                <w:sz w:val="18"/>
                <w:szCs w:val="18"/>
                <w:color w:val="auto"/>
              </w:rPr>
            </w:pPr>
          </w:p>
        </w:tc>
        <w:tc>
          <w:tcPr>
            <w:tcW w:w="80" w:type="dxa"/>
            <w:vAlign w:val="bottom"/>
            <w:shd w:val="clear" w:color="auto" w:fill="D1FCFC"/>
          </w:tcPr>
          <w:p>
            <w:pPr>
              <w:spacing w:after="0"/>
              <w:rPr>
                <w:sz w:val="18"/>
                <w:szCs w:val="18"/>
                <w:color w:val="auto"/>
              </w:rPr>
            </w:pPr>
          </w:p>
        </w:tc>
        <w:tc>
          <w:tcPr>
            <w:tcW w:w="700" w:type="dxa"/>
            <w:vAlign w:val="bottom"/>
            <w:gridSpan w:val="2"/>
            <w:shd w:val="clear" w:color="auto" w:fill="D1FCFC"/>
          </w:tcPr>
          <w:p>
            <w:pPr>
              <w:jc w:val="right"/>
              <w:ind w:right="100"/>
              <w:spacing w:after="0"/>
              <w:rPr>
                <w:sz w:val="20"/>
                <w:szCs w:val="20"/>
                <w:color w:val="auto"/>
              </w:rPr>
            </w:pPr>
            <w:r>
              <w:rPr>
                <w:rFonts w:ascii="Times New Roman" w:cs="Times New Roman" w:eastAsia="Times New Roman" w:hAnsi="Times New Roman"/>
                <w:sz w:val="18"/>
                <w:szCs w:val="18"/>
                <w:color w:val="auto"/>
              </w:rPr>
              <w:t>6,287</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non-recurring items </w:t>
            </w:r>
            <w:r>
              <w:rPr>
                <w:rFonts w:ascii="Times New Roman" w:cs="Times New Roman" w:eastAsia="Times New Roman" w:hAnsi="Times New Roman"/>
                <w:sz w:val="25"/>
                <w:szCs w:val="25"/>
                <w:color w:val="auto"/>
                <w:vertAlign w:val="superscript"/>
              </w:rPr>
              <w:t>(d)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8"/>
                <w:szCs w:val="18"/>
                <w:color w:val="auto"/>
              </w:rPr>
              <w:t>63,746</w:t>
            </w:r>
          </w:p>
        </w:tc>
        <w:tc>
          <w:tcPr>
            <w:tcW w:w="32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D1FCFC"/>
          </w:tcPr>
          <w:p>
            <w:pPr>
              <w:jc w:val="right"/>
              <w:ind w:right="100"/>
              <w:spacing w:after="0"/>
              <w:rPr>
                <w:sz w:val="20"/>
                <w:szCs w:val="20"/>
                <w:color w:val="auto"/>
              </w:rPr>
            </w:pPr>
            <w:r>
              <w:rPr>
                <w:rFonts w:ascii="Times New Roman" w:cs="Times New Roman" w:eastAsia="Times New Roman" w:hAnsi="Times New Roman"/>
                <w:sz w:val="18"/>
                <w:szCs w:val="18"/>
                <w:color w:val="auto"/>
              </w:rPr>
              <w:t>55,990</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222,653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166,154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60" w:type="dxa"/>
            <w:vAlign w:val="bottom"/>
            <w:shd w:val="clear" w:color="auto" w:fill="D1FCFC"/>
          </w:tcPr>
          <w:p>
            <w:pPr>
              <w:spacing w:after="0"/>
              <w:rPr>
                <w:sz w:val="18"/>
                <w:szCs w:val="18"/>
                <w:color w:val="auto"/>
              </w:rPr>
            </w:pPr>
          </w:p>
        </w:tc>
        <w:tc>
          <w:tcPr>
            <w:tcW w:w="100" w:type="dxa"/>
            <w:vAlign w:val="bottom"/>
            <w:shd w:val="clear" w:color="auto" w:fill="D1FCFC"/>
          </w:tcPr>
          <w:p>
            <w:pPr>
              <w:spacing w:after="0"/>
              <w:rPr>
                <w:sz w:val="18"/>
                <w:szCs w:val="18"/>
                <w:color w:val="auto"/>
              </w:rPr>
            </w:pPr>
          </w:p>
        </w:tc>
        <w:tc>
          <w:tcPr>
            <w:tcW w:w="88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D1FCFC"/>
          </w:tcPr>
          <w:p>
            <w:pPr>
              <w:spacing w:after="0"/>
              <w:rPr>
                <w:sz w:val="18"/>
                <w:szCs w:val="18"/>
                <w:color w:val="auto"/>
              </w:rPr>
            </w:pPr>
          </w:p>
        </w:tc>
        <w:tc>
          <w:tcPr>
            <w:tcW w:w="80" w:type="dxa"/>
            <w:vAlign w:val="bottom"/>
            <w:shd w:val="clear" w:color="auto" w:fill="D1FCFC"/>
          </w:tcPr>
          <w:p>
            <w:pPr>
              <w:spacing w:after="0"/>
              <w:rPr>
                <w:sz w:val="18"/>
                <w:szCs w:val="18"/>
                <w:color w:val="auto"/>
              </w:rPr>
            </w:pPr>
          </w:p>
        </w:tc>
        <w:tc>
          <w:tcPr>
            <w:tcW w:w="700" w:type="dxa"/>
            <w:vAlign w:val="bottom"/>
            <w:gridSpan w:val="2"/>
            <w:shd w:val="clear" w:color="auto" w:fill="D1FCFC"/>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tax receivable agreement liability remeasurement gains and losses.</w:t>
      </w:r>
    </w:p>
    <w:p>
      <w:pPr>
        <w:spacing w:after="0" w:line="27" w:lineRule="exact"/>
        <w:rPr>
          <w:rFonts w:ascii="Times New Roman" w:cs="Times New Roman" w:eastAsia="Times New Roman" w:hAnsi="Times New Roman"/>
          <w:sz w:val="18"/>
          <w:szCs w:val="18"/>
          <w:color w:val="auto"/>
        </w:rPr>
      </w:pPr>
    </w:p>
    <w:p>
      <w:pPr>
        <w:ind w:left="424" w:right="420" w:hanging="424"/>
        <w:spacing w:after="0" w:line="250"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424" w:right="380" w:hanging="424"/>
        <w:spacing w:after="0" w:line="250"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including a go-to market integration project conducted in 2022. Restructuring expenses relate to impairment and restructuring charges related to office relocations.</w:t>
      </w:r>
    </w:p>
    <w:p>
      <w:pPr>
        <w:spacing w:after="0" w:line="1"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represent expenses that are typically by nature one-time, non-operational, and unrelated to our core operations. One-time expenses are comprised primarily of professional fees related to financing, capital structure changes, and other non-recurring set-up costs related to public company operations for the current period, and IPO readiness costs for the prior periods.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4"/>
          </w:cols>
          <w:pgMar w:left="436" w:top="293" w:right="459" w:bottom="1440" w:gutter="0" w:footer="0" w:header="0"/>
        </w:sectPr>
      </w:pPr>
    </w:p>
    <w:bookmarkStart w:id="81" w:name="page82"/>
    <w:bookmarkEnd w:id="81"/>
    <w:p>
      <w:pPr>
        <w:ind w:left="70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YOUR VOTE IS IMPORTANT! PLEASE VOTE BY:</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85"/>
        </w:trPr>
        <w:tc>
          <w:tcPr>
            <w:tcW w:w="6240" w:type="dxa"/>
            <w:vAlign w:val="bottom"/>
            <w:tcBorders>
              <w:right w:val="single" w:sz="8" w:color="auto"/>
            </w:tcBorders>
          </w:tcPr>
          <w:p>
            <w:pPr>
              <w:spacing w:after="0"/>
              <w:rPr>
                <w:sz w:val="24"/>
                <w:szCs w:val="24"/>
                <w:color w:val="auto"/>
              </w:rPr>
            </w:pPr>
          </w:p>
        </w:tc>
        <w:tc>
          <w:tcPr>
            <w:tcW w:w="4680" w:type="dxa"/>
            <w:vAlign w:val="bottom"/>
            <w:tcBorders>
              <w:top w:val="single" w:sz="8" w:color="auto"/>
              <w:right w:val="single" w:sz="8" w:color="auto"/>
            </w:tcBorders>
            <w:gridSpan w:val="2"/>
          </w:tcPr>
          <w:p>
            <w:pPr>
              <w:ind w:left="840"/>
              <w:spacing w:after="0"/>
              <w:rPr>
                <w:sz w:val="20"/>
                <w:szCs w:val="20"/>
                <w:color w:val="auto"/>
              </w:rPr>
            </w:pPr>
            <w:r>
              <w:rPr>
                <w:rFonts w:ascii="Arial" w:cs="Arial" w:eastAsia="Arial" w:hAnsi="Arial"/>
                <w:sz w:val="16"/>
                <w:szCs w:val="16"/>
                <w:b w:val="1"/>
                <w:bCs w:val="1"/>
                <w:color w:val="auto"/>
              </w:rPr>
              <w:t>INTERNET</w:t>
            </w:r>
          </w:p>
        </w:tc>
      </w:tr>
      <w:tr>
        <w:trPr>
          <w:trHeight w:val="228"/>
        </w:trPr>
        <w:tc>
          <w:tcPr>
            <w:tcW w:w="6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gridSpan w:val="2"/>
          </w:tcPr>
          <w:p>
            <w:pPr>
              <w:ind w:left="84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www.proxypush.com/DH</w:t>
            </w:r>
          </w:p>
        </w:tc>
      </w:tr>
      <w:tr>
        <w:trPr>
          <w:trHeight w:val="189"/>
        </w:trPr>
        <w:tc>
          <w:tcPr>
            <w:tcW w:w="6240" w:type="dxa"/>
            <w:vAlign w:val="bottom"/>
            <w:tcBorders>
              <w:right w:val="single" w:sz="8" w:color="auto"/>
            </w:tcBorders>
          </w:tcPr>
          <w:p>
            <w:pPr>
              <w:spacing w:after="0"/>
              <w:rPr>
                <w:sz w:val="16"/>
                <w:szCs w:val="16"/>
                <w:color w:val="auto"/>
              </w:rPr>
            </w:pPr>
          </w:p>
        </w:tc>
        <w:tc>
          <w:tcPr>
            <w:tcW w:w="980" w:type="dxa"/>
            <w:vAlign w:val="bottom"/>
          </w:tcPr>
          <w:p>
            <w:pPr>
              <w:ind w:left="840"/>
              <w:spacing w:after="0"/>
              <w:rPr>
                <w:sz w:val="20"/>
                <w:szCs w:val="20"/>
                <w:color w:val="auto"/>
              </w:rPr>
            </w:pPr>
            <w:r>
              <w:rPr>
                <w:rFonts w:ascii="Arial" w:cs="Arial" w:eastAsia="Arial" w:hAnsi="Arial"/>
                <w:sz w:val="12"/>
                <w:szCs w:val="12"/>
                <w:color w:val="auto"/>
                <w:w w:val="73"/>
              </w:rPr>
              <w:t>• </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 Cast your vote online</w:t>
            </w:r>
          </w:p>
        </w:tc>
      </w:tr>
      <w:tr>
        <w:trPr>
          <w:trHeight w:val="189"/>
        </w:trPr>
        <w:tc>
          <w:tcPr>
            <w:tcW w:w="62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P.O. BOX 8016, CARY, NC 27512-9903</w:t>
            </w:r>
          </w:p>
        </w:tc>
        <w:tc>
          <w:tcPr>
            <w:tcW w:w="980" w:type="dxa"/>
            <w:vAlign w:val="bottom"/>
          </w:tcPr>
          <w:p>
            <w:pPr>
              <w:ind w:left="840"/>
              <w:spacing w:after="0"/>
              <w:rPr>
                <w:sz w:val="20"/>
                <w:szCs w:val="20"/>
                <w:color w:val="auto"/>
              </w:rPr>
            </w:pPr>
            <w:r>
              <w:rPr>
                <w:rFonts w:ascii="Arial" w:cs="Arial" w:eastAsia="Arial" w:hAnsi="Arial"/>
                <w:sz w:val="12"/>
                <w:szCs w:val="12"/>
                <w:b w:val="1"/>
                <w:bCs w:val="1"/>
                <w:color w:val="auto"/>
                <w:w w:val="73"/>
              </w:rPr>
              <w:t>• </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 Have your Proxy Card ready</w:t>
            </w:r>
          </w:p>
        </w:tc>
      </w:tr>
      <w:tr>
        <w:trPr>
          <w:trHeight w:val="190"/>
        </w:trPr>
        <w:tc>
          <w:tcPr>
            <w:tcW w:w="6240" w:type="dxa"/>
            <w:vAlign w:val="bottom"/>
            <w:tcBorders>
              <w:right w:val="single" w:sz="8" w:color="auto"/>
            </w:tcBorders>
          </w:tcPr>
          <w:p>
            <w:pPr>
              <w:spacing w:after="0"/>
              <w:rPr>
                <w:sz w:val="16"/>
                <w:szCs w:val="16"/>
                <w:color w:val="auto"/>
              </w:rPr>
            </w:pPr>
          </w:p>
        </w:tc>
        <w:tc>
          <w:tcPr>
            <w:tcW w:w="980" w:type="dxa"/>
            <w:vAlign w:val="bottom"/>
          </w:tcPr>
          <w:p>
            <w:pPr>
              <w:ind w:left="840"/>
              <w:spacing w:after="0"/>
              <w:rPr>
                <w:sz w:val="20"/>
                <w:szCs w:val="20"/>
                <w:color w:val="auto"/>
              </w:rPr>
            </w:pPr>
            <w:r>
              <w:rPr>
                <w:rFonts w:ascii="Arial" w:cs="Arial" w:eastAsia="Arial" w:hAnsi="Arial"/>
                <w:sz w:val="12"/>
                <w:szCs w:val="12"/>
                <w:color w:val="auto"/>
                <w:w w:val="73"/>
              </w:rPr>
              <w:t>• </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 Follow the simple instructions to record your vote</w:t>
            </w:r>
          </w:p>
        </w:tc>
      </w:tr>
      <w:tr>
        <w:trPr>
          <w:trHeight w:val="76"/>
        </w:trPr>
        <w:tc>
          <w:tcPr>
            <w:tcW w:w="6240" w:type="dxa"/>
            <w:vAlign w:val="bottom"/>
            <w:tcBorders>
              <w:right w:val="single" w:sz="8" w:color="auto"/>
            </w:tcBorders>
          </w:tcPr>
          <w:p>
            <w:pPr>
              <w:spacing w:after="0"/>
              <w:rPr>
                <w:sz w:val="6"/>
                <w:szCs w:val="6"/>
                <w:color w:val="auto"/>
              </w:rPr>
            </w:pPr>
          </w:p>
        </w:tc>
        <w:tc>
          <w:tcPr>
            <w:tcW w:w="4680" w:type="dxa"/>
            <w:vAlign w:val="bottom"/>
            <w:tcBorders>
              <w:bottom w:val="single" w:sz="8" w:color="auto"/>
              <w:right w:val="single" w:sz="8" w:color="auto"/>
            </w:tcBorders>
            <w:gridSpan w:val="2"/>
          </w:tcPr>
          <w:p>
            <w:pPr>
              <w:spacing w:after="0"/>
              <w:rPr>
                <w:sz w:val="6"/>
                <w:szCs w:val="6"/>
                <w:color w:val="auto"/>
              </w:rPr>
            </w:pPr>
          </w:p>
        </w:tc>
      </w:tr>
      <w:tr>
        <w:trPr>
          <w:trHeight w:val="281"/>
        </w:trPr>
        <w:tc>
          <w:tcPr>
            <w:tcW w:w="624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gridSpan w:val="2"/>
          </w:tcPr>
          <w:p>
            <w:pPr>
              <w:ind w:left="84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4"/>
                <w:szCs w:val="14"/>
                <w:color w:val="auto"/>
              </w:rPr>
              <w:t>Call</w:t>
            </w:r>
            <w:r>
              <w:rPr>
                <w:rFonts w:ascii="Arial" w:cs="Arial" w:eastAsia="Arial" w:hAnsi="Arial"/>
                <w:sz w:val="16"/>
                <w:szCs w:val="16"/>
                <w:b w:val="1"/>
                <w:bCs w:val="1"/>
                <w:color w:val="auto"/>
              </w:rPr>
              <w:t xml:space="preserve"> 1-866-460-4208</w:t>
            </w:r>
          </w:p>
        </w:tc>
      </w:tr>
      <w:tr>
        <w:trPr>
          <w:trHeight w:val="162"/>
        </w:trPr>
        <w:tc>
          <w:tcPr>
            <w:tcW w:w="6240" w:type="dxa"/>
            <w:vAlign w:val="bottom"/>
            <w:tcBorders>
              <w:right w:val="single" w:sz="8" w:color="auto"/>
            </w:tcBorders>
          </w:tcPr>
          <w:p>
            <w:pPr>
              <w:spacing w:after="0"/>
              <w:rPr>
                <w:sz w:val="14"/>
                <w:szCs w:val="14"/>
                <w:color w:val="auto"/>
              </w:rPr>
            </w:pPr>
          </w:p>
        </w:tc>
        <w:tc>
          <w:tcPr>
            <w:tcW w:w="980" w:type="dxa"/>
            <w:vAlign w:val="bottom"/>
          </w:tcPr>
          <w:p>
            <w:pPr>
              <w:ind w:left="840"/>
              <w:spacing w:after="0"/>
              <w:rPr>
                <w:sz w:val="20"/>
                <w:szCs w:val="20"/>
                <w:color w:val="auto"/>
              </w:rPr>
            </w:pPr>
            <w:r>
              <w:rPr>
                <w:rFonts w:ascii="Arial" w:cs="Arial" w:eastAsia="Arial" w:hAnsi="Arial"/>
                <w:sz w:val="12"/>
                <w:szCs w:val="12"/>
                <w:color w:val="auto"/>
                <w:w w:val="73"/>
              </w:rPr>
              <w:t>• </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 Use any touch-tone telephone</w:t>
            </w:r>
          </w:p>
        </w:tc>
      </w:tr>
      <w:tr>
        <w:trPr>
          <w:trHeight w:val="162"/>
        </w:trPr>
        <w:tc>
          <w:tcPr>
            <w:tcW w:w="6240" w:type="dxa"/>
            <w:vAlign w:val="bottom"/>
            <w:tcBorders>
              <w:right w:val="single" w:sz="8" w:color="auto"/>
            </w:tcBorders>
          </w:tcPr>
          <w:p>
            <w:pPr>
              <w:spacing w:after="0"/>
              <w:rPr>
                <w:sz w:val="14"/>
                <w:szCs w:val="14"/>
                <w:color w:val="auto"/>
              </w:rPr>
            </w:pPr>
          </w:p>
        </w:tc>
        <w:tc>
          <w:tcPr>
            <w:tcW w:w="980" w:type="dxa"/>
            <w:vAlign w:val="bottom"/>
          </w:tcPr>
          <w:p>
            <w:pPr>
              <w:ind w:left="840"/>
              <w:spacing w:after="0"/>
              <w:rPr>
                <w:sz w:val="20"/>
                <w:szCs w:val="20"/>
                <w:color w:val="auto"/>
              </w:rPr>
            </w:pPr>
            <w:r>
              <w:rPr>
                <w:rFonts w:ascii="Arial" w:cs="Arial" w:eastAsia="Arial" w:hAnsi="Arial"/>
                <w:sz w:val="12"/>
                <w:szCs w:val="12"/>
                <w:b w:val="1"/>
                <w:bCs w:val="1"/>
                <w:color w:val="auto"/>
                <w:w w:val="73"/>
              </w:rPr>
              <w:t>• </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 Have your Proxy Card ready</w:t>
            </w:r>
          </w:p>
        </w:tc>
      </w:tr>
      <w:tr>
        <w:trPr>
          <w:trHeight w:val="190"/>
        </w:trPr>
        <w:tc>
          <w:tcPr>
            <w:tcW w:w="6240" w:type="dxa"/>
            <w:vAlign w:val="bottom"/>
            <w:tcBorders>
              <w:right w:val="single" w:sz="8" w:color="auto"/>
            </w:tcBorders>
          </w:tcPr>
          <w:p>
            <w:pPr>
              <w:spacing w:after="0"/>
              <w:rPr>
                <w:sz w:val="16"/>
                <w:szCs w:val="16"/>
                <w:color w:val="auto"/>
              </w:rPr>
            </w:pPr>
          </w:p>
        </w:tc>
        <w:tc>
          <w:tcPr>
            <w:tcW w:w="980" w:type="dxa"/>
            <w:vAlign w:val="bottom"/>
          </w:tcPr>
          <w:p>
            <w:pPr>
              <w:ind w:left="840"/>
              <w:spacing w:after="0"/>
              <w:rPr>
                <w:sz w:val="20"/>
                <w:szCs w:val="20"/>
                <w:color w:val="auto"/>
              </w:rPr>
            </w:pPr>
            <w:r>
              <w:rPr>
                <w:rFonts w:ascii="Arial" w:cs="Arial" w:eastAsia="Arial" w:hAnsi="Arial"/>
                <w:sz w:val="12"/>
                <w:szCs w:val="12"/>
                <w:color w:val="auto"/>
                <w:w w:val="73"/>
              </w:rPr>
              <w:t>• </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 Follow the simple recorded instructions</w:t>
            </w:r>
          </w:p>
        </w:tc>
      </w:tr>
      <w:tr>
        <w:trPr>
          <w:trHeight w:val="75"/>
        </w:trPr>
        <w:tc>
          <w:tcPr>
            <w:tcW w:w="6240" w:type="dxa"/>
            <w:vAlign w:val="bottom"/>
            <w:tcBorders>
              <w:right w:val="single" w:sz="8" w:color="auto"/>
            </w:tcBorders>
          </w:tcPr>
          <w:p>
            <w:pPr>
              <w:spacing w:after="0"/>
              <w:rPr>
                <w:sz w:val="6"/>
                <w:szCs w:val="6"/>
                <w:color w:val="auto"/>
              </w:rPr>
            </w:pPr>
          </w:p>
        </w:tc>
        <w:tc>
          <w:tcPr>
            <w:tcW w:w="4680" w:type="dxa"/>
            <w:vAlign w:val="bottom"/>
            <w:tcBorders>
              <w:bottom w:val="single" w:sz="8" w:color="auto"/>
              <w:right w:val="single" w:sz="8" w:color="auto"/>
            </w:tcBorders>
            <w:gridSpan w:val="2"/>
          </w:tcPr>
          <w:p>
            <w:pPr>
              <w:spacing w:after="0"/>
              <w:rPr>
                <w:sz w:val="6"/>
                <w:szCs w:val="6"/>
                <w:color w:val="auto"/>
              </w:rPr>
            </w:pPr>
          </w:p>
        </w:tc>
      </w:tr>
      <w:tr>
        <w:trPr>
          <w:trHeight w:val="281"/>
        </w:trPr>
        <w:tc>
          <w:tcPr>
            <w:tcW w:w="624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gridSpan w:val="2"/>
          </w:tcPr>
          <w:p>
            <w:pPr>
              <w:ind w:left="840"/>
              <w:spacing w:after="0"/>
              <w:rPr>
                <w:sz w:val="20"/>
                <w:szCs w:val="20"/>
                <w:color w:val="auto"/>
              </w:rPr>
            </w:pPr>
            <w:r>
              <w:rPr>
                <w:rFonts w:ascii="Arial" w:cs="Arial" w:eastAsia="Arial" w:hAnsi="Arial"/>
                <w:sz w:val="16"/>
                <w:szCs w:val="16"/>
                <w:b w:val="1"/>
                <w:bCs w:val="1"/>
                <w:color w:val="auto"/>
              </w:rPr>
              <w:t>MAIL</w:t>
            </w:r>
          </w:p>
        </w:tc>
      </w:tr>
      <w:tr>
        <w:trPr>
          <w:trHeight w:val="162"/>
        </w:trPr>
        <w:tc>
          <w:tcPr>
            <w:tcW w:w="6240" w:type="dxa"/>
            <w:vAlign w:val="bottom"/>
            <w:tcBorders>
              <w:right w:val="single" w:sz="8" w:color="auto"/>
            </w:tcBorders>
          </w:tcPr>
          <w:p>
            <w:pPr>
              <w:spacing w:after="0"/>
              <w:rPr>
                <w:sz w:val="14"/>
                <w:szCs w:val="14"/>
                <w:color w:val="auto"/>
              </w:rPr>
            </w:pPr>
          </w:p>
        </w:tc>
        <w:tc>
          <w:tcPr>
            <w:tcW w:w="980" w:type="dxa"/>
            <w:vAlign w:val="bottom"/>
          </w:tcPr>
          <w:p>
            <w:pPr>
              <w:ind w:left="840"/>
              <w:spacing w:after="0"/>
              <w:rPr>
                <w:sz w:val="20"/>
                <w:szCs w:val="20"/>
                <w:color w:val="auto"/>
              </w:rPr>
            </w:pPr>
            <w:r>
              <w:rPr>
                <w:rFonts w:ascii="Arial" w:cs="Arial" w:eastAsia="Arial" w:hAnsi="Arial"/>
                <w:sz w:val="12"/>
                <w:szCs w:val="12"/>
                <w:color w:val="auto"/>
                <w:w w:val="73"/>
              </w:rPr>
              <w:t>• </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 Mark, sign and date your Proxy Card</w:t>
            </w:r>
          </w:p>
        </w:tc>
      </w:tr>
      <w:tr>
        <w:trPr>
          <w:trHeight w:val="162"/>
        </w:trPr>
        <w:tc>
          <w:tcPr>
            <w:tcW w:w="6240" w:type="dxa"/>
            <w:vAlign w:val="bottom"/>
            <w:tcBorders>
              <w:right w:val="single" w:sz="8" w:color="auto"/>
            </w:tcBorders>
          </w:tcPr>
          <w:p>
            <w:pPr>
              <w:spacing w:after="0"/>
              <w:rPr>
                <w:sz w:val="14"/>
                <w:szCs w:val="14"/>
                <w:color w:val="auto"/>
              </w:rPr>
            </w:pPr>
          </w:p>
        </w:tc>
        <w:tc>
          <w:tcPr>
            <w:tcW w:w="980" w:type="dxa"/>
            <w:vAlign w:val="bottom"/>
          </w:tcPr>
          <w:p>
            <w:pPr>
              <w:ind w:left="840"/>
              <w:spacing w:after="0"/>
              <w:rPr>
                <w:sz w:val="20"/>
                <w:szCs w:val="20"/>
                <w:color w:val="auto"/>
              </w:rPr>
            </w:pPr>
            <w:r>
              <w:rPr>
                <w:rFonts w:ascii="Arial" w:cs="Arial" w:eastAsia="Arial" w:hAnsi="Arial"/>
                <w:sz w:val="12"/>
                <w:szCs w:val="12"/>
                <w:color w:val="auto"/>
                <w:w w:val="73"/>
              </w:rPr>
              <w:t>• </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 Fold and return your Proxy Card in the postage-paid</w:t>
            </w:r>
          </w:p>
        </w:tc>
      </w:tr>
      <w:tr>
        <w:trPr>
          <w:trHeight w:val="190"/>
        </w:trPr>
        <w:tc>
          <w:tcPr>
            <w:tcW w:w="62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envelope provided</w:t>
            </w:r>
          </w:p>
        </w:tc>
      </w:tr>
      <w:tr>
        <w:trPr>
          <w:trHeight w:val="75"/>
        </w:trPr>
        <w:tc>
          <w:tcPr>
            <w:tcW w:w="6240" w:type="dxa"/>
            <w:vAlign w:val="bottom"/>
            <w:tcBorders>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-1662430</wp:posOffset>
            </wp:positionV>
            <wp:extent cx="36830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8300" cy="24003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-942340</wp:posOffset>
            </wp:positionV>
            <wp:extent cx="179705" cy="325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9705" cy="325755"/>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-376555</wp:posOffset>
            </wp:positionV>
            <wp:extent cx="403225" cy="282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322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-209550</wp:posOffset>
            </wp:positionV>
            <wp:extent cx="1131570"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1570" cy="29146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of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For Stockholders of record as of April 3, 2023</w:t>
      </w:r>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Thursday, June 1, 2023 3:00 PM, Eastern Time</w:t>
      </w:r>
    </w:p>
    <w:p>
      <w:pPr>
        <w:spacing w:after="0" w:line="21"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492 Old Connecticut Path</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Framingham, MA 01701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being solicited on behalf of the Board of Directors of Definitive Healthcare Corp.</w:t>
      </w:r>
    </w:p>
    <w:p>
      <w:pPr>
        <w:spacing w:after="0" w:line="73"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The undersigned hereby appoints Matthew Ruderman, Robert Musslewhite and Richard Booth (the “Named Proxies”), and each or any of them, as the true and lawful attorneys of the undersigned, with full power of substitution and revocation, and authorizes them, and each of them, to vote all the shares of capital stock of Definitive Healthcare Corp. which the undersigned is entitled to vote at said meeting and any adjournment or postponement thereof upon the matters specified and in their discretion upon such other matters as may be properly brought before the meeting or any adjournment or postponement thereof (including, without limitation, with discretionary authority with respect to Proposal 1 to vote for a substitute nominee if any nominee is unable to serve or for good cause will not serve), conferring authority upon such true and lawful attorneys to vote in their discretion on such other matters as may properly come before the meeting and revoking any proxy heretofore given.</w:t>
      </w:r>
    </w:p>
    <w:p>
      <w:pPr>
        <w:spacing w:after="0" w:line="114"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THE SHARES REPRESENTED BY THIS PROXY WILL BE VOTED AS DIRECTED BY THE STOCKHOLDER(S)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05"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ectPr>
          <w:pgSz w:w="11900" w:h="16838" w:orient="portrait"/>
          <w:cols w:equalWidth="0" w:num="1">
            <w:col w:w="10980"/>
          </w:cols>
          <w:pgMar w:left="440" w:top="306" w:right="479" w:bottom="1440" w:gutter="0" w:footer="0" w:header="0"/>
        </w:sectPr>
      </w:pPr>
    </w:p>
    <w:bookmarkStart w:id="82" w:name="page83"/>
    <w:bookmarkEnd w:id="82"/>
    <w:p>
      <w:pPr>
        <w:jc w:val="center"/>
        <w:ind w:left="112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Definitive Healthcare Corp.</w:t>
      </w:r>
    </w:p>
    <w:p>
      <w:pPr>
        <w:spacing w:after="0" w:line="74" w:lineRule="exact"/>
        <w:rPr>
          <w:sz w:val="20"/>
          <w:szCs w:val="20"/>
          <w:color w:val="auto"/>
        </w:rPr>
      </w:pPr>
    </w:p>
    <w:p>
      <w:pPr>
        <w:ind w:left="3864"/>
        <w:spacing w:after="0"/>
        <w:rPr>
          <w:sz w:val="20"/>
          <w:szCs w:val="20"/>
          <w:color w:val="auto"/>
        </w:rPr>
      </w:pPr>
      <w:r>
        <w:rPr>
          <w:rFonts w:ascii="Arial" w:cs="Arial" w:eastAsia="Arial" w:hAnsi="Arial"/>
          <w:sz w:val="22"/>
          <w:szCs w:val="22"/>
          <w:b w:val="1"/>
          <w:bCs w:val="1"/>
          <w:color w:val="auto"/>
        </w:rPr>
        <w:t>Annual Meeting of Stockholders</w:t>
      </w:r>
    </w:p>
    <w:p>
      <w:pPr>
        <w:spacing w:after="0" w:line="200" w:lineRule="exact"/>
        <w:rPr>
          <w:sz w:val="20"/>
          <w:szCs w:val="20"/>
          <w:color w:val="auto"/>
        </w:rPr>
      </w:pPr>
    </w:p>
    <w:p>
      <w:pPr>
        <w:spacing w:after="0" w:line="26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Please make your marks like this: </w:t>
      </w:r>
      <w:r>
        <w:rPr>
          <w:sz w:val="1"/>
          <w:szCs w:val="1"/>
          <w:color w:val="auto"/>
        </w:rPr>
        <w:drawing>
          <wp:inline distT="0" distB="0" distL="0" distR="0">
            <wp:extent cx="196850" cy="1968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850" cy="196850"/>
                    </a:xfrm>
                    <a:prstGeom prst="rect">
                      <a:avLst/>
                    </a:prstGeom>
                    <a:noFill/>
                    <a:ln>
                      <a:noFill/>
                    </a:ln>
                  </pic:spPr>
                </pic:pic>
              </a:graphicData>
            </a:graphic>
          </wp:inline>
        </w:drawing>
      </w:r>
    </w:p>
    <w:p>
      <w:pPr>
        <w:spacing w:after="0" w:line="5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42" w:lineRule="exact"/>
        <w:rPr>
          <w:sz w:val="20"/>
          <w:szCs w:val="20"/>
          <w:color w:val="auto"/>
        </w:rPr>
      </w:pPr>
    </w:p>
    <w:p>
      <w:pPr>
        <w:ind w:left="444"/>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ON PROPOSALS 1 AND 3</w:t>
      </w:r>
    </w:p>
    <w:p>
      <w:pPr>
        <w:spacing w:after="0" w:line="15" w:lineRule="exact"/>
        <w:rPr>
          <w:sz w:val="20"/>
          <w:szCs w:val="20"/>
          <w:color w:val="auto"/>
        </w:rPr>
      </w:pPr>
    </w:p>
    <w:p>
      <w:pPr>
        <w:ind w:left="444" w:right="1120"/>
        <w:spacing w:after="0" w:line="264" w:lineRule="auto"/>
        <w:rPr>
          <w:sz w:val="20"/>
          <w:szCs w:val="20"/>
          <w:color w:val="auto"/>
        </w:rPr>
      </w:pPr>
      <w:r>
        <w:rPr>
          <w:rFonts w:ascii="Arial" w:cs="Arial" w:eastAsia="Arial" w:hAnsi="Arial"/>
          <w:sz w:val="14"/>
          <w:szCs w:val="14"/>
          <w:color w:val="auto"/>
        </w:rPr>
        <w:t>THE BOARD RECOMMENDS THAT AN ADVISORY VOTE ON THE COMPENSATION FOR NAMED EXECUTIVE OFFICERS BE HELD EVERY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4"/>
        <w:spacing w:after="0"/>
        <w:tabs>
          <w:tab w:leader="none" w:pos="8384" w:val="left"/>
        </w:tabs>
        <w:rPr>
          <w:sz w:val="20"/>
          <w:szCs w:val="20"/>
          <w:color w:val="auto"/>
        </w:rPr>
      </w:pPr>
      <w:r>
        <w:rPr>
          <w:rFonts w:ascii="Arial" w:cs="Arial" w:eastAsia="Arial" w:hAnsi="Arial"/>
          <w:sz w:val="11"/>
          <w:szCs w:val="11"/>
          <w:b w:val="1"/>
          <w:bCs w:val="1"/>
          <w:color w:val="auto"/>
        </w:rPr>
        <w:t>PROPOSAL</w:t>
      </w:r>
      <w:r>
        <w:rPr>
          <w:sz w:val="20"/>
          <w:szCs w:val="20"/>
          <w:color w:val="auto"/>
        </w:rPr>
        <w:tab/>
      </w:r>
      <w:r>
        <w:rPr>
          <w:rFonts w:ascii="Arial" w:cs="Arial" w:eastAsia="Arial" w:hAnsi="Arial"/>
          <w:sz w:val="11"/>
          <w:szCs w:val="11"/>
          <w:b w:val="1"/>
          <w:bCs w:val="1"/>
          <w:color w:val="auto"/>
        </w:rPr>
        <w:t>YOUR VOTE</w:t>
      </w:r>
    </w:p>
    <w:p>
      <w:pPr>
        <w:spacing w:after="0" w:line="107" w:lineRule="exact"/>
        <w:rPr>
          <w:sz w:val="20"/>
          <w:szCs w:val="20"/>
          <w:color w:val="auto"/>
        </w:rPr>
      </w:pPr>
    </w:p>
    <w:p>
      <w:pPr>
        <w:ind w:left="324" w:right="2880" w:hanging="324"/>
        <w:spacing w:after="0" w:line="244" w:lineRule="auto"/>
        <w:tabs>
          <w:tab w:leader="none" w:pos="324"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elect four Class II directors of Definitive Healthcare Corp., each to serve a three-year term expiring at the 2026 annual meeting of stockholders and until such director’s successor is duly elected and qualified, or until such director’s earlier death, resignation or removal.</w:t>
      </w:r>
    </w:p>
    <w:p>
      <w:pPr>
        <w:spacing w:after="0" w:line="1" w:lineRule="exact"/>
        <w:rPr>
          <w:sz w:val="20"/>
          <w:szCs w:val="20"/>
          <w:color w:val="auto"/>
        </w:rPr>
      </w:pPr>
    </w:p>
    <w:p>
      <w:pPr>
        <w:ind w:left="7524"/>
        <w:spacing w:after="0"/>
        <w:tabs>
          <w:tab w:leader="none" w:pos="7984" w:val="left"/>
        </w:tabs>
        <w:rPr>
          <w:sz w:val="20"/>
          <w:szCs w:val="20"/>
          <w:color w:val="auto"/>
        </w:rPr>
      </w:pPr>
      <w:r>
        <w:rPr>
          <w:rFonts w:ascii="Arial" w:cs="Arial" w:eastAsia="Arial" w:hAnsi="Arial"/>
          <w:sz w:val="11"/>
          <w:szCs w:val="11"/>
          <w:b w:val="1"/>
          <w:bCs w:val="1"/>
          <w:color w:val="auto"/>
        </w:rPr>
        <w:t>FOR</w:t>
      </w:r>
      <w:r>
        <w:rPr>
          <w:sz w:val="20"/>
          <w:szCs w:val="20"/>
          <w:color w:val="auto"/>
        </w:rPr>
        <w:tab/>
      </w:r>
      <w:r>
        <w:rPr>
          <w:rFonts w:ascii="Arial" w:cs="Arial" w:eastAsia="Arial" w:hAnsi="Arial"/>
          <w:sz w:val="11"/>
          <w:szCs w:val="11"/>
          <w:b w:val="1"/>
          <w:bCs w:val="1"/>
          <w:color w:val="auto"/>
        </w:rPr>
        <w:t>WITHHOLD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-635</wp:posOffset>
            </wp:positionV>
            <wp:extent cx="13716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-635</wp:posOffset>
            </wp:positionV>
            <wp:extent cx="13716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ind w:left="324"/>
        <w:spacing w:after="0"/>
        <w:rPr>
          <w:sz w:val="20"/>
          <w:szCs w:val="20"/>
          <w:color w:val="auto"/>
        </w:rPr>
      </w:pPr>
      <w:r>
        <w:rPr>
          <w:rFonts w:ascii="Arial" w:cs="Arial" w:eastAsia="Arial" w:hAnsi="Arial"/>
          <w:sz w:val="14"/>
          <w:szCs w:val="14"/>
          <w:color w:val="auto"/>
        </w:rPr>
        <w:t>1.01 Chris Egan</w:t>
      </w:r>
    </w:p>
    <w:p>
      <w:pPr>
        <w:spacing w:after="0" w:line="149" w:lineRule="exact"/>
        <w:rPr>
          <w:sz w:val="20"/>
          <w:szCs w:val="20"/>
          <w:color w:val="auto"/>
        </w:rPr>
      </w:pPr>
    </w:p>
    <w:p>
      <w:pPr>
        <w:ind w:left="324"/>
        <w:spacing w:after="0"/>
        <w:rPr>
          <w:sz w:val="20"/>
          <w:szCs w:val="20"/>
          <w:color w:val="auto"/>
        </w:rPr>
      </w:pPr>
      <w:r>
        <w:rPr>
          <w:rFonts w:ascii="Arial" w:cs="Arial" w:eastAsia="Arial" w:hAnsi="Arial"/>
          <w:sz w:val="14"/>
          <w:szCs w:val="14"/>
          <w:color w:val="auto"/>
        </w:rPr>
        <w:t>1.02 Samuel A. Hamood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-95885</wp:posOffset>
            </wp:positionV>
            <wp:extent cx="13716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-95885</wp:posOffset>
            </wp:positionV>
            <wp:extent cx="137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43" w:lineRule="exact"/>
        <w:rPr>
          <w:sz w:val="20"/>
          <w:szCs w:val="20"/>
          <w:color w:val="auto"/>
        </w:rPr>
      </w:pPr>
    </w:p>
    <w:p>
      <w:pPr>
        <w:ind w:left="324"/>
        <w:spacing w:after="0"/>
        <w:rPr>
          <w:sz w:val="20"/>
          <w:szCs w:val="20"/>
          <w:color w:val="auto"/>
        </w:rPr>
      </w:pPr>
      <w:r>
        <w:rPr>
          <w:rFonts w:ascii="Arial" w:cs="Arial" w:eastAsia="Arial" w:hAnsi="Arial"/>
          <w:sz w:val="14"/>
          <w:szCs w:val="14"/>
          <w:color w:val="auto"/>
        </w:rPr>
        <w:t>1.03 Jill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-95885</wp:posOffset>
            </wp:positionV>
            <wp:extent cx="1371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-95885</wp:posOffset>
            </wp:positionV>
            <wp:extent cx="1371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43" w:lineRule="exact"/>
        <w:rPr>
          <w:sz w:val="20"/>
          <w:szCs w:val="20"/>
          <w:color w:val="auto"/>
        </w:rPr>
      </w:pPr>
    </w:p>
    <w:p>
      <w:pPr>
        <w:ind w:left="324"/>
        <w:spacing w:after="0"/>
        <w:rPr>
          <w:sz w:val="20"/>
          <w:szCs w:val="20"/>
          <w:color w:val="auto"/>
        </w:rPr>
      </w:pPr>
      <w:r>
        <w:rPr>
          <w:rFonts w:ascii="Arial" w:cs="Arial" w:eastAsia="Arial" w:hAnsi="Arial"/>
          <w:sz w:val="14"/>
          <w:szCs w:val="14"/>
          <w:color w:val="auto"/>
        </w:rPr>
        <w:t>1.04 Sastry Chilukuri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-95885</wp:posOffset>
            </wp:positionV>
            <wp:extent cx="1371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-95885</wp:posOffset>
            </wp:positionV>
            <wp:extent cx="1371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55" w:lineRule="exact"/>
        <w:rPr>
          <w:sz w:val="20"/>
          <w:szCs w:val="20"/>
          <w:color w:val="auto"/>
        </w:rPr>
      </w:pPr>
    </w:p>
    <w:p>
      <w:pPr>
        <w:jc w:val="both"/>
        <w:ind w:left="7544"/>
        <w:spacing w:after="0"/>
        <w:tabs>
          <w:tab w:leader="none" w:pos="8184" w:val="left"/>
          <w:tab w:leader="none" w:pos="8884" w:val="left"/>
          <w:tab w:leader="none" w:pos="9404" w:val="left"/>
        </w:tabs>
        <w:rPr>
          <w:sz w:val="20"/>
          <w:szCs w:val="20"/>
          <w:color w:val="auto"/>
        </w:rPr>
      </w:pPr>
      <w:r>
        <w:rPr>
          <w:rFonts w:ascii="Arial" w:cs="Arial" w:eastAsia="Arial" w:hAnsi="Arial"/>
          <w:sz w:val="11"/>
          <w:szCs w:val="11"/>
          <w:b w:val="1"/>
          <w:bCs w:val="1"/>
          <w:color w:val="auto"/>
        </w:rPr>
        <w:t>1YR</w:t>
      </w:r>
      <w:r>
        <w:rPr>
          <w:sz w:val="20"/>
          <w:szCs w:val="20"/>
          <w:color w:val="auto"/>
        </w:rPr>
        <w:tab/>
      </w:r>
      <w:r>
        <w:rPr>
          <w:rFonts w:ascii="Arial" w:cs="Arial" w:eastAsia="Arial" w:hAnsi="Arial"/>
          <w:sz w:val="11"/>
          <w:szCs w:val="11"/>
          <w:b w:val="1"/>
          <w:bCs w:val="1"/>
          <w:color w:val="auto"/>
        </w:rPr>
        <w:t>2YR</w:t>
      </w:r>
      <w:r>
        <w:rPr>
          <w:sz w:val="20"/>
          <w:szCs w:val="20"/>
          <w:color w:val="auto"/>
        </w:rPr>
        <w:tab/>
      </w:r>
      <w:r>
        <w:rPr>
          <w:rFonts w:ascii="Arial" w:cs="Arial" w:eastAsia="Arial" w:hAnsi="Arial"/>
          <w:sz w:val="11"/>
          <w:szCs w:val="11"/>
          <w:b w:val="1"/>
          <w:bCs w:val="1"/>
          <w:color w:val="auto"/>
        </w:rPr>
        <w:t>3YR</w:t>
      </w:r>
      <w:r>
        <w:rPr>
          <w:sz w:val="20"/>
          <w:szCs w:val="20"/>
          <w:color w:val="auto"/>
        </w:rPr>
        <w:tab/>
      </w:r>
      <w:r>
        <w:rPr>
          <w:rFonts w:ascii="Arial" w:cs="Arial" w:eastAsia="Arial" w:hAnsi="Arial"/>
          <w:sz w:val="10"/>
          <w:szCs w:val="10"/>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5080</wp:posOffset>
            </wp:positionV>
            <wp:extent cx="1371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5080</wp:posOffset>
            </wp:positionV>
            <wp:extent cx="13716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5080</wp:posOffset>
            </wp:positionV>
            <wp:extent cx="1371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5080</wp:posOffset>
            </wp:positionV>
            <wp:extent cx="1371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ind w:left="324" w:right="3540" w:hanging="324"/>
        <w:spacing w:after="0" w:line="264" w:lineRule="auto"/>
        <w:tabs>
          <w:tab w:leader="none" w:pos="324"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indicate, on an advisory basis, the preferred frequency of shareholder advisory votes on the compensation of the Company’s named executive officers.</w:t>
      </w:r>
    </w:p>
    <w:p>
      <w:pPr>
        <w:spacing w:after="0" w:line="127" w:lineRule="exact"/>
        <w:rPr>
          <w:sz w:val="20"/>
          <w:szCs w:val="20"/>
          <w:color w:val="auto"/>
        </w:rPr>
      </w:pPr>
    </w:p>
    <w:p>
      <w:pPr>
        <w:ind w:left="7524"/>
        <w:spacing w:after="0"/>
        <w:tabs>
          <w:tab w:leader="none" w:pos="8044" w:val="left"/>
          <w:tab w:leader="none" w:pos="8744" w:val="left"/>
        </w:tabs>
        <w:rPr>
          <w:sz w:val="20"/>
          <w:szCs w:val="20"/>
          <w:color w:val="auto"/>
        </w:rPr>
      </w:pPr>
      <w:r>
        <w:rPr>
          <w:rFonts w:ascii="Arial" w:cs="Arial" w:eastAsia="Arial" w:hAnsi="Arial"/>
          <w:sz w:val="11"/>
          <w:szCs w:val="11"/>
          <w:b w:val="1"/>
          <w:bCs w:val="1"/>
          <w:color w:val="auto"/>
        </w:rPr>
        <w:t>FOR</w:t>
      </w:r>
      <w:r>
        <w:rPr>
          <w:sz w:val="20"/>
          <w:szCs w:val="20"/>
          <w:color w:val="auto"/>
        </w:rPr>
        <w:tab/>
      </w:r>
      <w:r>
        <w:rPr>
          <w:rFonts w:ascii="Arial" w:cs="Arial" w:eastAsia="Arial" w:hAnsi="Arial"/>
          <w:sz w:val="11"/>
          <w:szCs w:val="11"/>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5080</wp:posOffset>
            </wp:positionV>
            <wp:extent cx="1371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5080</wp:posOffset>
            </wp:positionV>
            <wp:extent cx="1371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5080</wp:posOffset>
            </wp:positionV>
            <wp:extent cx="1371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ind w:left="324" w:right="2980" w:hanging="324"/>
        <w:spacing w:after="0" w:line="264" w:lineRule="auto"/>
        <w:tabs>
          <w:tab w:leader="none" w:pos="324" w:val="left"/>
        </w:tabs>
        <w:numPr>
          <w:ilvl w:val="0"/>
          <w:numId w:val="67"/>
        </w:numPr>
        <w:rPr>
          <w:rFonts w:ascii="Arial" w:cs="Arial" w:eastAsia="Arial" w:hAnsi="Arial"/>
          <w:sz w:val="14"/>
          <w:szCs w:val="14"/>
          <w:color w:val="auto"/>
        </w:rPr>
      </w:pPr>
      <w:r>
        <w:rPr>
          <w:rFonts w:ascii="Arial" w:cs="Arial" w:eastAsia="Arial" w:hAnsi="Arial"/>
          <w:sz w:val="14"/>
          <w:szCs w:val="14"/>
          <w:color w:val="auto"/>
        </w:rPr>
        <w:t>To ratify the appointment of Deloitte &amp; Touche LLP as our independent registered public accounting firm for the fiscal year ending December 31, 2023.</w:t>
      </w:r>
    </w:p>
    <w:p>
      <w:pPr>
        <w:spacing w:after="0" w:line="63" w:lineRule="exact"/>
        <w:rPr>
          <w:rFonts w:ascii="Arial" w:cs="Arial" w:eastAsia="Arial" w:hAnsi="Arial"/>
          <w:sz w:val="14"/>
          <w:szCs w:val="14"/>
          <w:color w:val="auto"/>
        </w:rPr>
      </w:pPr>
    </w:p>
    <w:p>
      <w:pPr>
        <w:ind w:left="324" w:right="3000"/>
        <w:spacing w:after="0" w:line="256" w:lineRule="auto"/>
        <w:rPr>
          <w:rFonts w:ascii="Arial" w:cs="Arial" w:eastAsia="Arial" w:hAnsi="Arial"/>
          <w:sz w:val="14"/>
          <w:szCs w:val="14"/>
          <w:color w:val="auto"/>
        </w:rPr>
      </w:pPr>
      <w:r>
        <w:rPr>
          <w:rFonts w:ascii="Arial" w:cs="Arial" w:eastAsia="Arial" w:hAnsi="Arial"/>
          <w:sz w:val="14"/>
          <w:szCs w:val="14"/>
          <w:color w:val="auto"/>
        </w:rPr>
        <w:t>NOTE: Your proxy holder will also vote in their discretion upon such other matters as may be properly brought before the meeting or any adjournment or postponement thereof (including, without limitation, with discretionary authority with respect to Proposal 1 to vote for a substitute nominee if any nominee is unable to serve or for good cause will not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1944370</wp:posOffset>
            </wp:positionV>
            <wp:extent cx="179705"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line="287" w:lineRule="auto"/>
        <w:rPr>
          <w:sz w:val="20"/>
          <w:szCs w:val="20"/>
          <w:color w:val="auto"/>
        </w:rPr>
      </w:pPr>
      <w:r>
        <w:rPr>
          <w:rFonts w:ascii="Arial" w:cs="Arial" w:eastAsia="Arial" w:hAnsi="Arial"/>
          <w:sz w:val="10"/>
          <w:szCs w:val="10"/>
          <w:b w:val="1"/>
          <w:bCs w:val="1"/>
          <w:color w:val="auto"/>
        </w:rPr>
        <w:t>BOARD OF DIRECTORS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80645</wp:posOffset>
            </wp:positionV>
            <wp:extent cx="325755" cy="3600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7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FOR</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FOR</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FOR</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FOR</w:t>
      </w:r>
    </w:p>
    <w:p>
      <w:pPr>
        <w:spacing w:after="0" w:line="200" w:lineRule="exact"/>
        <w:rPr>
          <w:sz w:val="20"/>
          <w:szCs w:val="20"/>
          <w:color w:val="auto"/>
        </w:rPr>
      </w:pPr>
    </w:p>
    <w:p>
      <w:pPr>
        <w:spacing w:after="0" w:line="301" w:lineRule="exact"/>
        <w:rPr>
          <w:sz w:val="20"/>
          <w:szCs w:val="20"/>
          <w:color w:val="auto"/>
        </w:rPr>
      </w:pPr>
    </w:p>
    <w:p>
      <w:pPr>
        <w:ind w:left="240" w:right="120" w:hanging="107"/>
        <w:spacing w:after="0" w:line="978" w:lineRule="auto"/>
        <w:tabs>
          <w:tab w:leader="none" w:pos="252"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YEAR FOR</w:t>
      </w:r>
    </w:p>
    <w:p>
      <w:pPr>
        <w:spacing w:after="0" w:line="627" w:lineRule="exact"/>
        <w:rPr>
          <w:sz w:val="20"/>
          <w:szCs w:val="20"/>
          <w:color w:val="auto"/>
        </w:rPr>
      </w:pPr>
    </w:p>
    <w:p>
      <w:pPr>
        <w:sectPr>
          <w:pgSz w:w="11900" w:h="16838" w:orient="portrait"/>
          <w:cols w:equalWidth="0" w:num="2">
            <w:col w:w="9884" w:space="300"/>
            <w:col w:w="780"/>
          </w:cols>
          <w:pgMar w:left="436" w:top="28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4"/>
        <w:spacing w:after="0"/>
        <w:rPr>
          <w:sz w:val="20"/>
          <w:szCs w:val="20"/>
          <w:color w:val="auto"/>
        </w:rPr>
      </w:pPr>
      <w:r>
        <w:rPr>
          <w:rFonts w:ascii="Arial" w:cs="Arial" w:eastAsia="Arial" w:hAnsi="Arial"/>
          <w:sz w:val="18"/>
          <w:szCs w:val="18"/>
          <w:b w:val="1"/>
          <w:bCs w:val="1"/>
          <w:color w:val="auto"/>
        </w:rPr>
        <w:t>Check here if you would like to attend the meeting in person.</w:t>
      </w:r>
    </w:p>
    <w:p>
      <w:pPr>
        <w:spacing w:after="0" w:line="235" w:lineRule="exact"/>
        <w:rPr>
          <w:sz w:val="20"/>
          <w:szCs w:val="20"/>
          <w:color w:val="auto"/>
        </w:rPr>
      </w:pPr>
    </w:p>
    <w:p>
      <w:pPr>
        <w:ind w:left="544"/>
        <w:spacing w:after="0"/>
        <w:rPr>
          <w:sz w:val="20"/>
          <w:szCs w:val="20"/>
          <w:color w:val="auto"/>
        </w:rPr>
      </w:pPr>
      <w:r>
        <w:rPr>
          <w:rFonts w:ascii="Arial" w:cs="Arial" w:eastAsia="Arial" w:hAnsi="Arial"/>
          <w:sz w:val="14"/>
          <w:szCs w:val="14"/>
          <w:color w:val="auto"/>
        </w:rPr>
        <w:t>Authorized Signatures - Must be completed for your instructions to be executed.</w:t>
      </w:r>
    </w:p>
    <w:p>
      <w:pPr>
        <w:spacing w:after="0" w:line="15" w:lineRule="exact"/>
        <w:rPr>
          <w:sz w:val="20"/>
          <w:szCs w:val="20"/>
          <w:color w:val="auto"/>
        </w:rPr>
      </w:pPr>
    </w:p>
    <w:p>
      <w:pPr>
        <w:ind w:left="544" w:right="20"/>
        <w:spacing w:after="0" w:line="264" w:lineRule="auto"/>
        <w:rPr>
          <w:sz w:val="20"/>
          <w:szCs w:val="20"/>
          <w:color w:val="auto"/>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
        <w:spacing w:after="0"/>
        <w:tabs>
          <w:tab w:leader="none" w:pos="4264" w:val="left"/>
          <w:tab w:leader="none" w:pos="5524" w:val="left"/>
          <w:tab w:leader="none" w:pos="10044"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(if held jointly)</w:t>
      </w:r>
      <w:r>
        <w:rPr>
          <w:sz w:val="20"/>
          <w:szCs w:val="20"/>
          <w:color w:val="auto"/>
        </w:rPr>
        <w:tab/>
      </w:r>
      <w:r>
        <w:rPr>
          <w:rFonts w:ascii="Arial" w:cs="Arial" w:eastAsia="Arial" w:hAnsi="Arial"/>
          <w:sz w:val="14"/>
          <w:szCs w:val="14"/>
          <w:color w:val="auto"/>
        </w:rPr>
        <w:t>Date</w:t>
      </w:r>
    </w:p>
    <w:sectPr>
      <w:pgSz w:w="11900" w:h="16838" w:orient="portrait"/>
      <w:cols w:equalWidth="0" w:num="1">
        <w:col w:w="10964"/>
      </w:cols>
      <w:pgMar w:left="436" w:top="28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44"/>
    </w:lvl>
  </w:abstractNum>
  <w:abstractNum w:abstractNumId="11">
    <w:nsid w:val="2D517796"/>
    <w:multiLevelType w:val="hybridMultilevel"/>
    <w:lvl w:ilvl="0">
      <w:lvlJc w:val="left"/>
      <w:lvlText w:val="%1"/>
      <w:numFmt w:val="decimal"/>
      <w:start w:val="53"/>
    </w:lvl>
  </w:abstractNum>
  <w:abstractNum w:abstractNumId="12">
    <w:nsid w:val="580BD78F"/>
    <w:multiLevelType w:val="hybridMultilevel"/>
    <w:lvl w:ilvl="0">
      <w:lvlJc w:val="left"/>
      <w:lvlText w:val="%1"/>
      <w:numFmt w:val="decimal"/>
      <w:start w:val="55"/>
    </w:lvl>
  </w:abstractNum>
  <w:abstractNum w:abstractNumId="13">
    <w:nsid w:val="153EA438"/>
    <w:multiLevelType w:val="hybridMultilevel"/>
    <w:lvl w:ilvl="0">
      <w:lvlJc w:val="left"/>
      <w:lvlText w:val="%1"/>
      <w:numFmt w:val="decimal"/>
      <w:start w:val="50"/>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lvl w:ilvl="1">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5"/>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3"/>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8"/>
    </w:lvl>
  </w:abstractNum>
  <w:abstractNum w:abstractNumId="40">
    <w:nsid w:val="4F4EF005"/>
    <w:multiLevelType w:val="hybridMultilevel"/>
    <w:lvl w:ilvl="0">
      <w:lvlJc w:val="left"/>
      <w:lvlText w:val="(%1)"/>
      <w:numFmt w:val="decimal"/>
      <w:start w:val="19"/>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1"/>
    </w:lvl>
  </w:abstractNum>
  <w:abstractNum w:abstractNumId="44">
    <w:nsid w:val="39386575"/>
    <w:multiLevelType w:val="hybridMultilevel"/>
    <w:lvl w:ilvl="0">
      <w:lvlJc w:val="left"/>
      <w:lvlText w:val="(%1)"/>
      <w:numFmt w:val="lowerRoman"/>
      <w:start w:val="1"/>
    </w:lvl>
  </w:abstractNum>
  <w:abstractNum w:abstractNumId="45">
    <w:nsid w:val="1CF10FD8"/>
    <w:multiLevelType w:val="hybridMultilevel"/>
    <w:lvl w:ilvl="0">
      <w:lvlJc w:val="left"/>
      <w:lvlText w:val="(%1)"/>
      <w:numFmt w:val="lowerRoman"/>
      <w:start w:val="1"/>
    </w:lvl>
  </w:abstractNum>
  <w:abstractNum w:abstractNumId="46">
    <w:nsid w:val="180115BE"/>
    <w:multiLevelType w:val="hybridMultilevel"/>
    <w:lvl w:ilvl="0">
      <w:lvlJc w:val="left"/>
      <w:lvlText w:val="(%1)"/>
      <w:numFmt w:val="decimal"/>
      <w:start w:val="30"/>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decimal"/>
      <w:start w:val="4"/>
    </w:lvl>
  </w:abstractNum>
  <w:abstractNum w:abstractNumId="50">
    <w:nsid w:val="15B5AF5C"/>
    <w:multiLevelType w:val="hybridMultilevel"/>
    <w:lvl w:ilvl="0">
      <w:lvlJc w:val="left"/>
      <w:lvlText w:val="(%1)"/>
      <w:numFmt w:val="decimal"/>
      <w:start w:val="6"/>
    </w:lvl>
  </w:abstractNum>
  <w:abstractNum w:abstractNumId="51">
    <w:nsid w:val="741226BB"/>
    <w:multiLevelType w:val="hybridMultilevel"/>
    <w:lvl w:ilvl="0">
      <w:lvlJc w:val="left"/>
      <w:lvlText w:val="(%1)"/>
      <w:numFmt w:val="decimal"/>
      <w:start w:val="8"/>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lowerRoman"/>
      <w:start w:val="2"/>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3"/>
    </w:lvl>
  </w:abstractNum>
  <w:abstractNum w:abstractNumId="59">
    <w:nsid w:val="310C50B3"/>
    <w:multiLevelType w:val="hybridMultilevel"/>
    <w:lvl w:ilvl="0">
      <w:lvlJc w:val="left"/>
      <w:lvlText w:val="(%1)"/>
      <w:numFmt w:val="decimal"/>
      <w:start w:val="7"/>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1)"/>
      <w:numFmt w:val="lowerRoman"/>
      <w:start w:val="2"/>
    </w:lvl>
  </w:abstractNum>
  <w:abstractNum w:abstractNumId="62">
    <w:nsid w:val="25A70BF7"/>
    <w:multiLevelType w:val="hybridMultilevel"/>
    <w:lvl w:ilvl="0">
      <w:lvlJc w:val="left"/>
      <w:lvlText w:val="(%1)"/>
      <w:numFmt w:val="lowerRoman"/>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2"/>
    </w:lvl>
  </w:abstractNum>
  <w:abstractNum w:abstractNumId="66">
    <w:nsid w:val="1381823A"/>
    <w:multiLevelType w:val="hybridMultilevel"/>
    <w:lvl w:ilvl="0">
      <w:lvlJc w:val="left"/>
      <w:lvlText w:val="%1."/>
      <w:numFmt w:val="decimal"/>
      <w:start w:val="3"/>
    </w:lvl>
  </w:abstractNum>
  <w:abstractNum w:abstractNumId="67">
    <w:nsid w:val="5DB70AE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2023-04-20T19:08:47Z</dcterms:created>
  <dcterms:modified xsi:type="dcterms:W3CDTF">2023-04-20T19:08:47Z</dcterms:modified>
</cp:coreProperties>
</file>