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60810.htm"/>
      <w:bookmarkStart w:id="1" w:name="ksdh20260810"/>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August 10, 2026</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10, 2026, Definitive Healthcare Corp. (the “Company”) issued a press release announcing its financial results for the second quarter ended June 30, 2026. A copy of the press release is furnished as Exhibit 99.1 to this Current Report on Form 8-K and is incorporated by reference 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color w:val="0000FF"/>
                  <w:sz w:val="20"/>
                  <w:u w:val="single"/>
                </w:rPr>
                <w:t>Press Release Dated August 10, 2026 (furnished herewith pursuant to Item 2.02)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h-ex99_1.htm"/>
      <w:bookmarkStart w:id="3" w:name="ksdhex99_1"/>
      <w:bookmarkEnd w:id="2"/>
      <w:bookmarkEnd w:id="3"/>
      <w:r>
        <w:rPr>
          <w:rFonts w:ascii="Arial" w:hAnsi="Arial"/>
          <w:b/>
          <w:color w:val="000000"/>
          <w:sz w:val="22"/>
        </w:rPr>
        <w:t>Exhibit 99.1</w:t>
      </w:r>
      <w:r>
        <w:br w:type="page"/>
      </w:r>
    </w:p>
    <w:p>
      <w:pPr>
        <w:pStyle w:val="TextBody"/>
        <w:bidi w:val="0"/>
        <w:jc w:val="right"/>
        <w:rPr/>
      </w:pPr>
      <w:r>
        <w:rPr/>
        <w:t> </w:t>
      </w:r>
    </w:p>
    <w:p>
      <w:pPr>
        <w:pStyle w:val="TextBody"/>
        <w:bidi w:val="0"/>
        <w:jc w:val="center"/>
        <w:rPr/>
      </w:pPr>
      <w:r>
        <w:rPr/>
        <w:t> </w:t>
      </w:r>
    </w:p>
    <w:p>
      <w:pPr>
        <w:pStyle w:val="TextBody"/>
        <w:bidi w:val="0"/>
        <w:spacing w:before="0" w:after="240"/>
        <w:jc w:val="center"/>
        <w:rPr>
          <w:rFonts w:ascii="Arial" w:hAnsi="Arial"/>
          <w:b/>
          <w:color w:val="000000"/>
          <w:sz w:val="22"/>
        </w:rPr>
      </w:pPr>
      <w:r>
        <w:rPr>
          <w:rFonts w:ascii="Arial" w:hAnsi="Arial"/>
          <w:b/>
          <w:color w:val="000000"/>
          <w:sz w:val="22"/>
        </w:rPr>
        <w:t>Definitive Healthcare Reports Financial Results for Second Quarter 2026</w:t>
      </w:r>
    </w:p>
    <w:p>
      <w:pPr>
        <w:pStyle w:val="TextBody"/>
        <w:bidi w:val="0"/>
        <w:spacing w:before="0" w:after="120"/>
        <w:jc w:val="center"/>
        <w:rPr>
          <w:rFonts w:ascii="Arial" w:hAnsi="Arial"/>
          <w:i/>
          <w:color w:val="000000"/>
          <w:sz w:val="22"/>
        </w:rPr>
      </w:pPr>
      <w:r>
        <w:rPr>
          <w:rFonts w:ascii="Arial" w:hAnsi="Arial"/>
          <w:i/>
          <w:color w:val="000000"/>
          <w:sz w:val="22"/>
        </w:rPr>
        <w:t>Second Quarter Revenue Within Guidance Range; Profit Surpasses Expectations</w:t>
      </w:r>
    </w:p>
    <w:p>
      <w:pPr>
        <w:pStyle w:val="TextBody"/>
        <w:bidi w:val="0"/>
        <w:spacing w:before="0" w:after="120"/>
        <w:jc w:val="left"/>
        <w:rPr>
          <w:rFonts w:ascii="Times New Roman" w:hAnsi="Times New Roman"/>
          <w:sz w:val="20"/>
        </w:rPr>
      </w:pPr>
      <w:r>
        <w:rPr>
          <w:rFonts w:ascii="Arial" w:hAnsi="Arial"/>
          <w:b/>
          <w:color w:val="000000"/>
          <w:sz w:val="22"/>
        </w:rPr>
        <w:t>Framingham, MA (August 10, 2026)</w:t>
      </w:r>
      <w:r>
        <w:rPr>
          <w:rFonts w:ascii="Times New Roman" w:hAnsi="Times New Roman"/>
          <w:color w:val="000000"/>
          <w:sz w:val="20"/>
        </w:rPr>
        <w:t xml:space="preserve"> – </w:t>
      </w:r>
      <w:r>
        <w:rPr>
          <w:rFonts w:ascii="Arial" w:hAnsi="Arial"/>
          <w:color w:val="000000"/>
          <w:sz w:val="22"/>
        </w:rPr>
        <w:t>Definitive Healthcare Corp. (“Definitive Healthcare” or the “Company”) (Nasdaq: DH), an industry leader in healthcare market data and analytics, today announced financial results for the quarter ended June 30, 2026.</w:t>
      </w:r>
      <w:r>
        <w:rPr>
          <w:rFonts w:ascii="Times New Roman" w:hAnsi="Times New Roman"/>
          <w:color w:val="000000"/>
          <w:sz w:val="20"/>
        </w:rPr>
        <w:t xml:space="preserve"> </w:t>
      </w:r>
    </w:p>
    <w:p>
      <w:pPr>
        <w:pStyle w:val="TextBody"/>
        <w:bidi w:val="0"/>
        <w:jc w:val="both"/>
        <w:rPr>
          <w:rFonts w:ascii="Arial" w:hAnsi="Arial"/>
          <w:b/>
          <w:color w:val="000000"/>
          <w:sz w:val="22"/>
        </w:rPr>
      </w:pPr>
      <w:r>
        <w:rPr>
          <w:rFonts w:ascii="Arial" w:hAnsi="Arial"/>
          <w:b/>
          <w:color w:val="000000"/>
          <w:sz w:val="22"/>
        </w:rPr>
        <w:t>Second Quarter 2026 Financial Highlights: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color w:val="000000"/>
          <w:sz w:val="22"/>
        </w:rPr>
        <w:t>was $55.2 million, a decrease of 9% from $60.8 million in Q2 2025.</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Net Loss </w:t>
      </w:r>
      <w:r>
        <w:rPr>
          <w:rFonts w:ascii="Arial" w:hAnsi="Arial"/>
          <w:color w:val="000000"/>
          <w:sz w:val="22"/>
        </w:rPr>
        <w:t>was $(7.5) million, or (14)% of revenue, compared to $(9.3) million, or (15)% of revenue in Q2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color w:val="000000"/>
          <w:sz w:val="22"/>
        </w:rPr>
        <w:t>was $7.5 million, compared to $9.7 million in Q2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color w:val="000000"/>
          <w:sz w:val="22"/>
        </w:rPr>
        <w:t>was $14.6 million, or 26% of revenue, compared to $18.7 million, or 31% of revenue in Q2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color w:val="000000"/>
          <w:sz w:val="22"/>
        </w:rPr>
        <w:t>was $11.5 million in the quarter.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color w:val="000000"/>
          <w:sz w:val="22"/>
        </w:rPr>
        <w:t>was $11.6 million in the quarter.</w:t>
      </w:r>
    </w:p>
    <w:p>
      <w:pPr>
        <w:pStyle w:val="TextBody"/>
        <w:bidi w:val="0"/>
        <w:spacing w:before="0" w:after="120"/>
        <w:jc w:val="left"/>
        <w:rPr/>
      </w:pPr>
      <w:r>
        <w:rPr/>
        <w:t> </w:t>
      </w:r>
    </w:p>
    <w:p>
      <w:pPr>
        <w:pStyle w:val="TextBody"/>
        <w:bidi w:val="0"/>
        <w:spacing w:before="120" w:after="120"/>
        <w:jc w:val="left"/>
        <w:rPr>
          <w:color w:val="000000"/>
        </w:rPr>
      </w:pPr>
      <w:r>
        <w:rPr>
          <w:color w:val="000000"/>
        </w:rPr>
        <w:t>“</w:t>
      </w:r>
      <w:r>
        <w:rPr>
          <w:rFonts w:ascii="Arial" w:hAnsi="Arial"/>
          <w:color w:val="000000"/>
          <w:sz w:val="22"/>
        </w:rPr>
        <w:t>Definitive Healthcare delivered another quarter in line with or above our guidance ranges, reflecting continued discipline alongside targeted investment in our growth priorities," said Kevin Coop, CEO of Definitive Healthcare. "We're encouraged by our second consecutive quarter of year-over-year improvement in net dollar retention, strong win-back momentum across our end markets, and the launch of Turbo, our new AI-powered healthcare intelligence platform, which marks a significant milestone in our innovation strategy. We remain confident that our focus on data quality and customer success is the right path to return to sustained, predictable growth, while continuing to generate strong profitability and cash flow.”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Recent Business and Operating Highlights:</w:t>
      </w:r>
    </w:p>
    <w:p>
      <w:pPr>
        <w:pStyle w:val="TextBody"/>
        <w:bidi w:val="0"/>
        <w:spacing w:before="360" w:after="283"/>
        <w:jc w:val="both"/>
        <w:rPr>
          <w:rFonts w:ascii="Arial" w:hAnsi="Arial"/>
          <w:b/>
          <w:color w:val="000000"/>
          <w:sz w:val="22"/>
        </w:rPr>
      </w:pPr>
      <w:r>
        <w:rPr>
          <w:rFonts w:ascii="Arial" w:hAnsi="Arial"/>
          <w:b/>
          <w:color w:val="000000"/>
          <w:sz w:val="22"/>
        </w:rPr>
        <w:t>Customer Wins</w:t>
      </w:r>
    </w:p>
    <w:p>
      <w:pPr>
        <w:pStyle w:val="TextBody"/>
        <w:bidi w:val="0"/>
        <w:spacing w:before="240" w:after="120"/>
        <w:jc w:val="left"/>
        <w:rPr>
          <w:rFonts w:ascii="Arial" w:hAnsi="Arial"/>
          <w:color w:val="000000"/>
          <w:sz w:val="22"/>
        </w:rPr>
      </w:pPr>
      <w:r>
        <w:rPr>
          <w:rFonts w:ascii="Arial" w:hAnsi="Arial"/>
          <w:color w:val="000000"/>
          <w:sz w:val="22"/>
        </w:rPr>
        <w:t>In the second quarter, Definitive Healthcare continued to win new logos and expansion opportunities across all end-markets, by providing the data, insights and integrations that drive their critical business use cases. Customer wins for the quarter included: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diversified-business customer returned to Definitive Healthcare in a six-figure, three-year win-back enterprise agreement. This win reinforces a recurring theme: customers who believe a lower-cost alternative will be “good enough” ultimately recognize that the cost of an inferior dataset outweighs the savings, validating the business value our data and products deliver and reaffirming that our focus on data quality and service, rather than price, is the right path forward.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One long-standing population-intelligence customer expanded from an initial test into a total activation commitment of several hundred thousand dollars, illustrating that activation growth is now being driven not only by new direct customers but also by rising adoption and spend across our agency ecosystem, which gives us a broader, more scalable path forward.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Business Outlook</w:t>
      </w:r>
    </w:p>
    <w:p>
      <w:pPr>
        <w:pStyle w:val="TextBody"/>
        <w:bidi w:val="0"/>
        <w:spacing w:before="120" w:after="283"/>
        <w:jc w:val="both"/>
        <w:rPr>
          <w:rFonts w:ascii="Arial" w:hAnsi="Arial"/>
          <w:color w:val="000000"/>
          <w:sz w:val="22"/>
        </w:rPr>
      </w:pPr>
      <w:r>
        <w:rPr>
          <w:rFonts w:ascii="Arial" w:hAnsi="Arial"/>
          <w:color w:val="000000"/>
          <w:sz w:val="22"/>
        </w:rPr>
        <w:t>Based on information as of August 10, 2026, the Company is issuing the following financial guidance.</w:t>
      </w:r>
    </w:p>
    <w:p>
      <w:pPr>
        <w:pStyle w:val="TextBody"/>
        <w:bidi w:val="0"/>
        <w:spacing w:before="120" w:after="283"/>
        <w:jc w:val="both"/>
        <w:rPr>
          <w:rFonts w:ascii="Arial" w:hAnsi="Arial"/>
          <w:b/>
          <w:color w:val="000000"/>
          <w:sz w:val="22"/>
        </w:rPr>
      </w:pPr>
      <w:r>
        <w:rPr>
          <w:rFonts w:ascii="Arial" w:hAnsi="Arial"/>
          <w:b/>
          <w:color w:val="000000"/>
          <w:sz w:val="22"/>
        </w:rPr>
        <w:t>Third Quarter 2026:</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Revenue</w:t>
      </w:r>
      <w:r>
        <w:rPr>
          <w:color w:val="000000"/>
        </w:rPr>
        <w:t xml:space="preserve"> </w:t>
      </w:r>
      <w:r>
        <w:rPr>
          <w:rFonts w:ascii="Arial" w:hAnsi="Arial"/>
          <w:color w:val="000000"/>
          <w:sz w:val="22"/>
        </w:rPr>
        <w:t xml:space="preserve">is expected to be in the range of $54.0 – $55.0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 xml:space="preserve">is expected to be in the range of $10.5 – $11.5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EBITDA</w:t>
      </w:r>
      <w:r>
        <w:rPr>
          <w:color w:val="000000"/>
        </w:rPr>
        <w:t xml:space="preserve"> </w:t>
      </w:r>
      <w:r>
        <w:rPr>
          <w:rFonts w:ascii="Arial" w:hAnsi="Arial"/>
          <w:color w:val="000000"/>
          <w:sz w:val="22"/>
        </w:rPr>
        <w:t xml:space="preserve">is expected to be in the range of $13.5 – $14.5 million, and 25% – 27% adjusted EBITDA Margin.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 xml:space="preserve">is expected to be $5.5 – $6.5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$0.04 to $0.05 per share on approximately 145.1 million weighted-average shares outstanding.</w:t>
      </w:r>
    </w:p>
    <w:p>
      <w:pPr>
        <w:pStyle w:val="TextBody"/>
        <w:bidi w:val="0"/>
        <w:spacing w:before="120" w:after="283"/>
        <w:jc w:val="both"/>
        <w:rPr>
          <w:rFonts w:ascii="Arial" w:hAnsi="Arial"/>
          <w:b/>
          <w:color w:val="000000"/>
          <w:sz w:val="22"/>
        </w:rPr>
      </w:pPr>
      <w:r>
        <w:rPr>
          <w:rFonts w:ascii="Arial" w:hAnsi="Arial"/>
          <w:b/>
          <w:color w:val="000000"/>
          <w:sz w:val="22"/>
        </w:rPr>
        <w:t>Full Year 2026:</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 xml:space="preserve">Revenue </w:t>
      </w:r>
      <w:r>
        <w:rPr>
          <w:rFonts w:ascii="Arial" w:hAnsi="Arial"/>
          <w:color w:val="000000"/>
          <w:sz w:val="22"/>
        </w:rPr>
        <w:t>is expected to be in the range of $220.0 – $222.0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is expected to be in the range of $45.5 – $47.5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 xml:space="preserve">Adjusted EBITDA </w:t>
      </w:r>
      <w:r>
        <w:rPr>
          <w:rFonts w:ascii="Arial" w:hAnsi="Arial"/>
          <w:color w:val="000000"/>
          <w:sz w:val="22"/>
        </w:rPr>
        <w:t>is expected to be in the range of $57.0 – $59.0 million, and 26% – 27% adjusted EBITDA Margin.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is expected to be $27.0 – $29.0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$0.18 to $0.20 per share on approximately 144.6 million weighted-average shares outstanding.</w:t>
      </w:r>
    </w:p>
    <w:p>
      <w:pPr>
        <w:pStyle w:val="TextBody"/>
        <w:bidi w:val="0"/>
        <w:jc w:val="left"/>
        <w:rPr>
          <w:rFonts w:ascii="Arial" w:hAnsi="Arial"/>
          <w:i/>
          <w:color w:val="000000"/>
          <w:sz w:val="22"/>
        </w:rPr>
      </w:pPr>
      <w:r>
        <w:rPr>
          <w:rFonts w:ascii="Arial" w:hAnsi="Arial"/>
          <w:i/>
          <w:color w:val="000000"/>
          <w:sz w:val="22"/>
        </w:rPr>
        <w:t>We do not provide a quantitative reconciliation of the forward-looking non-GAAP financial measures included in this press release to the most directly comparable GAAP measures due to the high variability and difficulty in predicting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Conference Call Information</w:t>
      </w:r>
    </w:p>
    <w:p>
      <w:pPr>
        <w:pStyle w:val="TextBody"/>
        <w:bidi w:val="0"/>
        <w:jc w:val="left"/>
        <w:rPr>
          <w:rFonts w:ascii="Arial" w:hAnsi="Arial"/>
          <w:color w:val="000000"/>
          <w:sz w:val="22"/>
        </w:rPr>
      </w:pPr>
      <w:r>
        <w:rPr>
          <w:rFonts w:ascii="Arial" w:hAnsi="Arial"/>
          <w:color w:val="000000"/>
          <w:sz w:val="22"/>
        </w:rPr>
        <w:t>Definitive Healthcare will host a conference call today, August 10, 2026, at 5:00 p.m. (Eastern Time) to discuss the Company's full financial results and current business outlook. Participants may access the call at 1-877-358-7298 or 1-848-488-9244. Shortly after the conclusion of the call, a replay of this conference call will be available through September 9, 2026, at 1-800-645-7964 or 1-757-849-6722. The replay passcode is 1765#. A live audio webcast of the event will be available on Definitive Healthcare’s Investor Relations website at ir.definitivehc.com/.</w:t>
      </w:r>
    </w:p>
    <w:p>
      <w:pPr>
        <w:pStyle w:val="TextBody"/>
        <w:bidi w:val="0"/>
        <w:spacing w:before="360" w:after="283"/>
        <w:jc w:val="left"/>
        <w:rPr>
          <w:rFonts w:ascii="Arial" w:hAnsi="Arial"/>
          <w:b/>
          <w:color w:val="000000"/>
          <w:sz w:val="22"/>
        </w:rPr>
      </w:pPr>
      <w:r>
        <w:rPr>
          <w:rFonts w:ascii="Arial" w:hAnsi="Arial"/>
          <w:b/>
          <w:color w:val="000000"/>
          <w:sz w:val="22"/>
        </w:rPr>
        <w:t>About Definitive Healthcare</w:t>
      </w:r>
    </w:p>
    <w:p>
      <w:pPr>
        <w:pStyle w:val="TextBody"/>
        <w:bidi w:val="0"/>
        <w:jc w:val="left"/>
        <w:rPr>
          <w:rFonts w:ascii="Arial" w:hAnsi="Arial"/>
          <w:color w:val="000000"/>
          <w:sz w:val="22"/>
        </w:rPr>
      </w:pPr>
      <w:r>
        <w:rPr>
          <w:rFonts w:ascii="Arial" w:hAnsi="Arial"/>
          <w:color w:val="000000"/>
          <w:sz w:val="22"/>
        </w:rPr>
        <w:t>Definitive Healthcare is a data and analytics company focused on the business side of healthcare. The healthcare market is complex — our data makes it clearer. We cut through the noise to deliver the insights that healthcare organizations and companies need to make smarter, faster, more strategic decisions. Because when our customers succeed, healthcare gets better for everyone. Learn more at 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Forward-Looking Statements</w:t>
      </w:r>
    </w:p>
    <w:p>
      <w:pPr>
        <w:pStyle w:val="TextBody"/>
        <w:bidi w:val="0"/>
        <w:spacing w:before="240" w:after="120"/>
        <w:jc w:val="left"/>
        <w:rPr>
          <w:rFonts w:ascii="Times New Roman" w:hAnsi="Times New Roman"/>
          <w:sz w:val="20"/>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 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and the possibility that our security measures are breached or unauthorized access to data is otherwise obtained.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sz w:val="20"/>
        </w:rPr>
      </w:pPr>
      <w:r>
        <w:rPr>
          <w:rFonts w:ascii="Arial" w:hAnsi="Arial"/>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22"/>
        </w:rPr>
        <w:t>For additional discussion of factors that could impact our operational and financial results, refer to our Quarterly Report on Form 10-Q for the three months ended June 30, 2026 that will be filed following this earnings release, as well as our Current Reports on Form 8-K and other subsequent SEC filings, which are or will be available on the Investor Relations page of our website at ir.definitivehc.com and on the U.S. Securities and Exchange Commission ("SEC”) website at www.sec.gov.</w:t>
      </w:r>
      <w:r>
        <w:rPr>
          <w:rFonts w:ascii="Times New Roman" w:hAnsi="Times New Roman"/>
          <w:color w:val="000000"/>
          <w:sz w:val="20"/>
        </w:rPr>
        <w:t xml:space="preserve"> </w:t>
      </w:r>
    </w:p>
    <w:p>
      <w:pPr>
        <w:pStyle w:val="TextBody"/>
        <w:bidi w:val="0"/>
        <w:spacing w:before="0" w:after="120"/>
        <w:jc w:val="left"/>
        <w:rPr>
          <w:rFonts w:ascii="Arial" w:hAnsi="Arial"/>
          <w:i/>
          <w:color w:val="000000"/>
          <w:sz w:val="22"/>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spacing w:before="240" w:after="283"/>
        <w:jc w:val="both"/>
        <w:rPr>
          <w:rFonts w:ascii="Arial" w:hAnsi="Arial"/>
          <w:b/>
          <w:color w:val="000000"/>
          <w:sz w:val="22"/>
        </w:rPr>
      </w:pPr>
      <w:r>
        <w:rPr>
          <w:rFonts w:ascii="Arial" w:hAnsi="Arial"/>
          <w:b/>
          <w:color w:val="000000"/>
          <w:sz w:val="22"/>
        </w:rPr>
        <w:t>Website</w:t>
      </w:r>
    </w:p>
    <w:p>
      <w:pPr>
        <w:pStyle w:val="TextBody"/>
        <w:bidi w:val="0"/>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definitivehc.com. Accordingly, you should monitor the investor relations portion of our website at 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ir.definitivehc.com.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Times New Roman" w:hAnsi="Times New Roman"/>
          <w:sz w:val="20"/>
        </w:rPr>
      </w:pPr>
      <w:r>
        <w:rPr>
          <w:rFonts w:ascii="Arial" w:hAnsi="Arial"/>
          <w:b/>
          <w:color w:val="000000"/>
          <w:sz w:val="22"/>
        </w:rPr>
        <w:t>Non-GAAP Financial Measures</w:t>
      </w:r>
      <w:r>
        <w:rPr>
          <w:rFonts w:ascii="Times New Roman" w:hAnsi="Times New Roman"/>
          <w:color w:val="000000"/>
          <w:sz w:val="20"/>
        </w:rPr>
        <w:t xml:space="preserve"> </w:t>
      </w:r>
    </w:p>
    <w:p>
      <w:pPr>
        <w:pStyle w:val="TextBody"/>
        <w:bidi w:val="0"/>
        <w:spacing w:before="240" w:after="120"/>
        <w:jc w:val="left"/>
        <w:rPr>
          <w:rFonts w:ascii="Arial" w:hAnsi="Arial"/>
          <w:i/>
          <w:color w:val="000000"/>
          <w:sz w:val="22"/>
        </w:rPr>
      </w:pPr>
      <w:r>
        <w:rPr>
          <w:rFonts w:ascii="Arial" w:hAnsi="Arial"/>
          <w:i/>
          <w:color w:val="000000"/>
          <w:sz w:val="22"/>
        </w:rPr>
        <w:t>This earnings release contains financial measures that have not been prepared in accordance with U.S. generally accepted accounting principles (“GAAP”), including Unlevered Free Cash Flow, Adjusted EBITDA, Adjusted EBITDA Margin, Adjusted Gross Profit, Adjusted Gross Margin, Adjusted Operating Income, Adjusted Net Income and Adjusted Net Income Per Diluted Share.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p>
    <w:p>
      <w:pPr>
        <w:pStyle w:val="TextBody"/>
        <w:bidi w:val="0"/>
        <w:spacing w:before="0" w:after="120"/>
        <w:jc w:val="both"/>
        <w:rPr>
          <w:rFonts w:ascii="Times New Roman" w:hAnsi="Times New Roman"/>
          <w:sz w:val="20"/>
        </w:rPr>
      </w:pPr>
      <w:r>
        <w:rPr>
          <w:rFonts w:ascii="Arial" w:hAnsi="Arial"/>
          <w:i/>
          <w:color w:val="000000"/>
          <w:sz w:val="22"/>
        </w:rPr>
        <w:t>These non-GAAP financial measures are not required by or prepared in accordance with GAAP. These are supplemental financial measures of our performance and should not be considered substitutes for cash provided by operating activities, loss from operations, net loss, net income margin, gross profit, gross margin, or any other measure derived in accordance with GAAP.</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Reconciliations to Certain Non-GAAP Measures</w:t>
      </w:r>
    </w:p>
    <w:p>
      <w:pPr>
        <w:pStyle w:val="TextBody"/>
        <w:bidi w:val="0"/>
        <w:spacing w:before="0" w:after="120"/>
        <w:jc w:val="both"/>
        <w:rPr>
          <w:rFonts w:ascii="Arial" w:hAnsi="Arial"/>
          <w:b/>
          <w:i/>
          <w:color w:val="000000"/>
          <w:sz w:val="22"/>
        </w:rPr>
      </w:pPr>
      <w:r>
        <w:rPr>
          <w:rFonts w:ascii="Arial" w:hAnsi="Arial"/>
          <w:b/>
          <w:i/>
          <w:color w:val="000000"/>
          <w:sz w:val="22"/>
        </w:rPr>
        <w:t>Unlevered Free Cash Flow</w:t>
      </w:r>
    </w:p>
    <w:p>
      <w:pPr>
        <w:pStyle w:val="TextBody"/>
        <w:bidi w:val="0"/>
        <w:spacing w:before="0" w:after="120"/>
        <w:jc w:val="both"/>
        <w:rPr>
          <w:rFonts w:ascii="Times New Roman" w:hAnsi="Times New Roman"/>
          <w:sz w:val="20"/>
        </w:rPr>
      </w:pPr>
      <w:r>
        <w:rPr>
          <w:rFonts w:ascii="Arial" w:hAnsi="Arial"/>
          <w:i/>
          <w:color w:val="000000"/>
          <w:sz w:val="22"/>
        </w:rPr>
        <w:t>We define Unlevered Free Cash Flow as net cash provided by operating activities less purchases of property, equipment and data assets, plus cash interest expense, and cash payments related to transaction, integration, and restructuring related expenses, earnouts, and other non-core items paid in cash. Unlevered Free Cash Flow does not represent residual cash flow available for discretionary expenditures since, among other things, we have mandatory debt service requirements.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Arial" w:hAnsi="Arial"/>
          <w:b/>
          <w:i/>
          <w:color w:val="000000"/>
          <w:sz w:val="22"/>
        </w:rPr>
      </w:pPr>
      <w:r>
        <w:rPr>
          <w:rFonts w:ascii="Arial" w:hAnsi="Arial"/>
          <w:b/>
          <w:i/>
          <w:color w:val="000000"/>
          <w:sz w:val="22"/>
        </w:rPr>
        <w:t>EBITDA, Adjusted EBITDA and Adjusted EBITDA Margin</w:t>
      </w:r>
    </w:p>
    <w:p>
      <w:pPr>
        <w:pStyle w:val="TextBody"/>
        <w:bidi w:val="0"/>
        <w:spacing w:before="0" w:after="120"/>
        <w:jc w:val="both"/>
        <w:rPr>
          <w:rFonts w:ascii="Times New Roman" w:hAnsi="Times New Roman"/>
          <w:sz w:val="20"/>
        </w:rPr>
      </w:pPr>
      <w:r>
        <w:rPr>
          <w:rFonts w:ascii="Arial" w:hAnsi="Arial"/>
          <w:i/>
          <w:color w:val="000000"/>
          <w:sz w:val="22"/>
        </w:rPr>
        <w:t>We define EBITDA as earnings before debt-related costs, including interest expense (income), net, and loss on partial extinguishment of debt, income taxes and depreciation and amortization. Adjusted EBITDA is defined as EBITDA adjusted to exclude certain items of a significant or unusual nature, including other income, net,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Gross Profit and Adjusted Gross Margin</w:t>
      </w:r>
    </w:p>
    <w:p>
      <w:pPr>
        <w:pStyle w:val="TextBody"/>
        <w:bidi w:val="0"/>
        <w:spacing w:before="0" w:after="120"/>
        <w:jc w:val="both"/>
        <w:rPr>
          <w:rFonts w:ascii="Times New Roman" w:hAnsi="Times New Roman"/>
          <w:sz w:val="20"/>
        </w:rPr>
      </w:pPr>
      <w:r>
        <w:rPr>
          <w:rFonts w:ascii="Arial" w:hAnsi="Arial"/>
          <w:i/>
          <w:color w:val="000000"/>
          <w:sz w:val="22"/>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Operating Income</w:t>
      </w:r>
    </w:p>
    <w:p>
      <w:pPr>
        <w:pStyle w:val="TextBody"/>
        <w:bidi w:val="0"/>
        <w:spacing w:before="0" w:after="120"/>
        <w:jc w:val="both"/>
        <w:rPr>
          <w:rFonts w:ascii="Times New Roman" w:hAnsi="Times New Roman"/>
          <w:sz w:val="20"/>
        </w:rPr>
      </w:pPr>
      <w:r>
        <w:rPr>
          <w:rFonts w:ascii="Arial" w:hAnsi="Arial"/>
          <w:i/>
          <w:color w:val="000000"/>
          <w:sz w:val="22"/>
        </w:rPr>
        <w:t>We define Adjusted Operating Income as loss from operations plus acquisition related amortization, equity-based compensation, transaction, integration, and restructuring expenses, goodwill impairments and other non-core expenses.</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Net Income and Adjusted Net Income Per Diluted Share</w:t>
      </w:r>
    </w:p>
    <w:p>
      <w:pPr>
        <w:pStyle w:val="TextBody"/>
        <w:bidi w:val="0"/>
        <w:spacing w:before="0" w:after="120"/>
        <w:jc w:val="both"/>
        <w:rPr>
          <w:rFonts w:ascii="Times New Roman" w:hAnsi="Times New Roman"/>
          <w:sz w:val="20"/>
        </w:rPr>
      </w:pPr>
      <w:r>
        <w:rPr>
          <w:rFonts w:ascii="Arial" w:hAnsi="Arial"/>
          <w:i/>
          <w:color w:val="000000"/>
          <w:sz w:val="22"/>
        </w:rPr>
        <w:t>We define Adjusted Net Income as Adjusted Operating Income less interest expense net, recurring income tax (provision) benefit, foreign currency (loss) gain, and tax impacts of adjustments. We define Adjusted Net Income Per Diluted Share as Adjusted Net Income divided by diluted outstanding shares.</w:t>
      </w:r>
      <w:r>
        <w:rPr>
          <w:rFonts w:ascii="Times New Roman" w:hAnsi="Times New Roman"/>
          <w:color w:val="000000"/>
          <w:sz w:val="20"/>
        </w:rPr>
        <w:t xml:space="preserve"> </w:t>
      </w:r>
    </w:p>
    <w:p>
      <w:pPr>
        <w:pStyle w:val="TextBody"/>
        <w:bidi w:val="0"/>
        <w:spacing w:before="0" w:after="120"/>
        <w:jc w:val="both"/>
        <w:rPr>
          <w:rFonts w:ascii="Arial" w:hAnsi="Arial"/>
          <w:i/>
          <w:color w:val="000000"/>
          <w:sz w:val="22"/>
        </w:rPr>
      </w:pPr>
      <w:r>
        <w:rPr>
          <w:rFonts w:ascii="Arial" w:hAnsi="Arial"/>
          <w:i/>
          <w:color w:val="000000"/>
          <w:sz w:val="22"/>
        </w:rPr>
        <w:t>In evaluating our non-GAAP financial measures, you should be aware that in the future we may incur expenses similar to those eliminated in these presentations.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Brian Denyeau</w:t>
      </w:r>
    </w:p>
    <w:p>
      <w:pPr>
        <w:pStyle w:val="TextBody"/>
        <w:bidi w:val="0"/>
        <w:jc w:val="left"/>
        <w:rPr>
          <w:rFonts w:ascii="Times New Roman" w:hAnsi="Times New Roman"/>
          <w:sz w:val="20"/>
        </w:rPr>
      </w:pPr>
      <w:r>
        <w:rPr>
          <w:rFonts w:ascii="Arial" w:hAnsi="Arial"/>
          <w:color w:val="000000"/>
          <w:sz w:val="22"/>
        </w:rPr>
        <w:t>ICR for Definitive Healthcare</w:t>
      </w:r>
      <w:r>
        <w:rPr>
          <w:rFonts w:ascii="Times New Roman" w:hAnsi="Times New Roman"/>
          <w:color w:val="000000"/>
          <w:sz w:val="20"/>
        </w:rPr>
        <w:t xml:space="preserve"> </w:t>
      </w:r>
    </w:p>
    <w:p>
      <w:pPr>
        <w:pStyle w:val="TextBody"/>
        <w:bidi w:val="0"/>
        <w:jc w:val="left"/>
        <w:rPr>
          <w:rFonts w:ascii="Arial" w:hAnsi="Arial"/>
          <w:color w:val="0000FF"/>
          <w:sz w:val="22"/>
          <w:u w:val="single"/>
        </w:rPr>
      </w:pPr>
      <w:r>
        <w:rPr>
          <w:rFonts w:ascii="Arial" w:hAnsi="Arial"/>
          <w:color w:val="0000FF"/>
          <w:sz w:val="22"/>
          <w:u w:val="single"/>
        </w:rPr>
        <w:t>brian.denyeau@icrinc.com</w:t>
      </w:r>
    </w:p>
    <w:p>
      <w:pPr>
        <w:pStyle w:val="TextBody"/>
        <w:bidi w:val="0"/>
        <w:jc w:val="left"/>
        <w:rPr>
          <w:rFonts w:ascii="Arial" w:hAnsi="Arial"/>
          <w:color w:val="000000"/>
          <w:sz w:val="22"/>
        </w:rPr>
      </w:pPr>
      <w:r>
        <w:rPr>
          <w:rFonts w:ascii="Arial" w:hAnsi="Arial"/>
          <w:color w:val="000000"/>
          <w:sz w:val="22"/>
        </w:rPr>
        <w:t>646-277-1251</w:t>
      </w:r>
    </w:p>
    <w:p>
      <w:pPr>
        <w:pStyle w:val="TextBody"/>
        <w:bidi w:val="0"/>
        <w:spacing w:before="240" w:after="283"/>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 xml:space="preserve">Bethany Swackhamer </w:t>
        <w:br/>
      </w:r>
      <w:r>
        <w:rPr>
          <w:rFonts w:ascii="Arial" w:hAnsi="Arial"/>
          <w:color w:val="0000FF"/>
          <w:sz w:val="22"/>
          <w:u w:val="single"/>
        </w:rPr>
        <w:t>bswackhamer@definitivehc.com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545"/>
        <w:gridCol w:w="246"/>
        <w:gridCol w:w="211"/>
        <w:gridCol w:w="931"/>
        <w:gridCol w:w="166"/>
        <w:gridCol w:w="246"/>
        <w:gridCol w:w="234"/>
        <w:gridCol w:w="1034"/>
        <w:gridCol w:w="592"/>
      </w:tblGrid>
      <w:tr>
        <w:trPr/>
        <w:tc>
          <w:tcPr>
            <w:tcW w:w="65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number of shares and par value; unaudited)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156,787</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106,405,766 and 104,020,957 shares issued and outstanding at June 30,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38,094,660 and 38,339,076 shares issued and outstanding at June 30, 2026 and December 31, 2025,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1,061,965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(779,506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center"/>
        <w:rPr/>
      </w:pPr>
      <w:r>
        <w:rPr/>
        <w:t> </w:t>
      </w:r>
    </w:p>
    <w:tbl>
      <w:tblPr>
        <w:tblW w:w="11386" w:type="dxa"/>
        <w:jc w:val="left"/>
        <w:tblInd w:w="0" w:type="dxa"/>
        <w:tblLayout w:type="fixed"/>
        <w:tblCellMar>
          <w:top w:w="28" w:type="dxa"/>
          <w:left w:w="28" w:type="dxa"/>
          <w:bottom w:w="28" w:type="dxa"/>
          <w:right w:w="28" w:type="dxa"/>
        </w:tblCellMar>
      </w:tblPr>
      <w:tblGrid>
        <w:gridCol w:w="2551"/>
        <w:gridCol w:w="1346"/>
        <w:gridCol w:w="211"/>
        <w:gridCol w:w="1141"/>
        <w:gridCol w:w="266"/>
        <w:gridCol w:w="246"/>
        <w:gridCol w:w="211"/>
        <w:gridCol w:w="1141"/>
        <w:gridCol w:w="266"/>
        <w:gridCol w:w="246"/>
        <w:gridCol w:w="211"/>
        <w:gridCol w:w="1141"/>
        <w:gridCol w:w="246"/>
        <w:gridCol w:w="211"/>
        <w:gridCol w:w="1141"/>
        <w:gridCol w:w="811"/>
      </w:tblGrid>
      <w:tr>
        <w:trP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057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7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7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amounts and per share data; 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119,941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Cost of revenue exclusive of amortization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290,229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279,329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(208,038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(188,956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(expense)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Benefit from (provision for)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105,810,516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106,815,740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105,245,928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109,782,640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Amounts include equity-based compensation expense as follows: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Total equity-based compensation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044"/>
        <w:gridCol w:w="946"/>
        <w:gridCol w:w="196"/>
        <w:gridCol w:w="691"/>
        <w:gridCol w:w="266"/>
        <w:gridCol w:w="246"/>
        <w:gridCol w:w="196"/>
        <w:gridCol w:w="691"/>
        <w:gridCol w:w="866"/>
        <w:gridCol w:w="846"/>
        <w:gridCol w:w="196"/>
        <w:gridCol w:w="751"/>
        <w:gridCol w:w="266"/>
        <w:gridCol w:w="246"/>
        <w:gridCol w:w="196"/>
        <w:gridCol w:w="751"/>
        <w:gridCol w:w="811"/>
      </w:tblGrid>
      <w:tr>
        <w:trPr/>
        <w:tc>
          <w:tcPr>
            <w:tcW w:w="20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93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(9,265</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(199,806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(164,358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868</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12,708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13,470</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3,988</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6,980</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Provision for (recovery of) doubtful 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2,901</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7,964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5,523</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21,223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15,874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1,453</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(2,465</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(5,787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(3,400</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(9,828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(11,091</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11,456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9,304</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23,020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35,370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property, equipment, and data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(2,293</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(9,999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(52,065</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44,196</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147,447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4,903</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(10,162</w:t>
            </w:r>
          </w:p>
        </w:tc>
        <w:tc>
          <w:tcPr>
            <w:tcW w:w="8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(1,318</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73,383</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(2,188</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(4,375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(248,438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(609</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(19,076</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(40,231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Member distributions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(24,700</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(134,406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increase (decrease) in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13,337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(25,558</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157,648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106,099</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170,866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80,984</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170,866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80,984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2,959</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 net of refunds received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4,947</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Reconciliations of Non-GAAP Financial Measures to Closest GAAP Equivalent</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65"/>
        <w:gridCol w:w="229"/>
        <w:gridCol w:w="734"/>
        <w:gridCol w:w="289"/>
        <w:gridCol w:w="267"/>
        <w:gridCol w:w="229"/>
        <w:gridCol w:w="734"/>
        <w:gridCol w:w="1050"/>
        <w:gridCol w:w="1028"/>
        <w:gridCol w:w="229"/>
        <w:gridCol w:w="734"/>
        <w:gridCol w:w="289"/>
        <w:gridCol w:w="267"/>
        <w:gridCol w:w="229"/>
        <w:gridCol w:w="734"/>
        <w:gridCol w:w="498"/>
      </w:tblGrid>
      <w:tr>
        <w:trPr/>
        <w:tc>
          <w:tcPr>
            <w:tcW w:w="26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Operating Cash Flow to Unlevered Free Cash Flow</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11,456</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23,020</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35,370</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equipment, and data assets</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paid in cash</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05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Transaction, integration, and restructuring expenses paid in cash </w:t>
            </w:r>
            <w:r>
              <w:rPr>
                <w:rFonts w:ascii="Times New Roman" w:hAnsi="Times New Roman"/>
                <w:color w:val="000000"/>
                <w:sz w:val="13"/>
              </w:rPr>
              <w:t>(a)</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05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2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paid in cash </w:t>
            </w:r>
            <w:r>
              <w:rPr>
                <w:rFonts w:ascii="Times New Roman" w:hAnsi="Times New Roman"/>
                <w:color w:val="000000"/>
                <w:sz w:val="13"/>
              </w:rPr>
              <w:t>(b)</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6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Unlevered Free Cash Flow</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11,478</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29,574</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Transaction and integration expenses paid in cash primarily represent legal, accounting, and consulting expenses related to our acquisitions. Restructuring expenses paid in cash relate to our restructuring plans.</w:t>
              <w:br/>
              <w:t>(b) Non-core items paid in cash represent expenses driven by events that are typically by nature one-time, non-operational, and unrelated to our core operations.</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tbl>
      <w:tblPr>
        <w:tblW w:w="10311" w:type="dxa"/>
        <w:jc w:val="left"/>
        <w:tblInd w:w="0" w:type="dxa"/>
        <w:tblLayout w:type="fixed"/>
        <w:tblCellMar>
          <w:top w:w="28" w:type="dxa"/>
          <w:left w:w="28" w:type="dxa"/>
          <w:bottom w:w="28" w:type="dxa"/>
          <w:right w:w="28" w:type="dxa"/>
        </w:tblCellMar>
      </w:tblPr>
      <w:tblGrid>
        <w:gridCol w:w="1496"/>
        <w:gridCol w:w="211"/>
        <w:gridCol w:w="1141"/>
        <w:gridCol w:w="266"/>
        <w:gridCol w:w="246"/>
        <w:gridCol w:w="211"/>
        <w:gridCol w:w="1141"/>
        <w:gridCol w:w="946"/>
        <w:gridCol w:w="946"/>
        <w:gridCol w:w="211"/>
        <w:gridCol w:w="1141"/>
        <w:gridCol w:w="246"/>
        <w:gridCol w:w="246"/>
        <w:gridCol w:w="211"/>
        <w:gridCol w:w="1141"/>
        <w:gridCol w:w="511"/>
      </w:tblGrid>
      <w:tr>
        <w:trPr/>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Net Income and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GAAP Operating Loss to Adjusted Operating Income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and per share amounts; unaudited)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Income tax (benefit)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Loss on partial extinguishment from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(208,038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(188,956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Amortization of intangible assets acquired through business combinations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Transaction, integration, and restructuring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Goodwill impairment charge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non-core items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Operating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15,639</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Recurring income tax benefit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Foreign currency gain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Tax impacts of adjustments to 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Net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Shares for Adjusted Net Income Per Diluted Share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143,964,049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145,675,930</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143,459,263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148,721,063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Income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165,263,337 and 158,527,020 as of June 30, 2026 and 2025, respectively.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pPr>
      <w:r>
        <w:rPr/>
        <w:t> </w:t>
      </w:r>
    </w:p>
    <w:tbl>
      <w:tblPr>
        <w:tblW w:w="10205" w:type="dxa"/>
        <w:jc w:val="left"/>
        <w:tblInd w:w="0" w:type="dxa"/>
        <w:tblLayout w:type="fixed"/>
        <w:tblCellMar>
          <w:top w:w="28" w:type="dxa"/>
          <w:left w:w="28" w:type="dxa"/>
          <w:bottom w:w="28" w:type="dxa"/>
          <w:right w:w="28" w:type="dxa"/>
        </w:tblCellMar>
      </w:tblPr>
      <w:tblGrid>
        <w:gridCol w:w="1234"/>
        <w:gridCol w:w="146"/>
        <w:gridCol w:w="196"/>
        <w:gridCol w:w="601"/>
        <w:gridCol w:w="146"/>
        <w:gridCol w:w="146"/>
        <w:gridCol w:w="244"/>
        <w:gridCol w:w="480"/>
        <w:gridCol w:w="271"/>
        <w:gridCol w:w="146"/>
        <w:gridCol w:w="196"/>
        <w:gridCol w:w="601"/>
        <w:gridCol w:w="146"/>
        <w:gridCol w:w="146"/>
        <w:gridCol w:w="244"/>
        <w:gridCol w:w="480"/>
        <w:gridCol w:w="271"/>
        <w:gridCol w:w="146"/>
        <w:gridCol w:w="196"/>
        <w:gridCol w:w="601"/>
        <w:gridCol w:w="146"/>
        <w:gridCol w:w="146"/>
        <w:gridCol w:w="244"/>
        <w:gridCol w:w="480"/>
        <w:gridCol w:w="271"/>
        <w:gridCol w:w="146"/>
        <w:gridCol w:w="196"/>
        <w:gridCol w:w="601"/>
        <w:gridCol w:w="146"/>
        <w:gridCol w:w="146"/>
        <w:gridCol w:w="244"/>
        <w:gridCol w:w="480"/>
        <w:gridCol w:w="322"/>
      </w:tblGrid>
      <w:tr>
        <w:trPr/>
        <w:tc>
          <w:tcPr>
            <w:tcW w:w="1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9883"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Gross Profit and Margin to Adjusted Gross Profit and Margin</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3"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Reported gross profit</w:t>
            </w:r>
            <w:r>
              <w:rPr>
                <w:rFonts w:ascii="Times New Roman" w:hAnsi="Times New Roman"/>
                <w:color w:val="000000"/>
                <w:sz w:val="18"/>
              </w:rPr>
              <w:t xml:space="preserve"> </w:t>
            </w:r>
            <w:r>
              <w:rPr>
                <w:rFonts w:ascii="Times New Roman" w:hAnsi="Times New Roman"/>
                <w:b/>
                <w:color w:val="000000"/>
                <w:sz w:val="18"/>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 acquired through business</w:t>
              <w:br/>
              <w:t>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97"/>
        <w:gridCol w:w="199"/>
        <w:gridCol w:w="613"/>
        <w:gridCol w:w="169"/>
        <w:gridCol w:w="148"/>
        <w:gridCol w:w="220"/>
        <w:gridCol w:w="525"/>
        <w:gridCol w:w="262"/>
        <w:gridCol w:w="148"/>
        <w:gridCol w:w="199"/>
        <w:gridCol w:w="613"/>
        <w:gridCol w:w="169"/>
        <w:gridCol w:w="148"/>
        <w:gridCol w:w="220"/>
        <w:gridCol w:w="525"/>
        <w:gridCol w:w="262"/>
        <w:gridCol w:w="148"/>
        <w:gridCol w:w="199"/>
        <w:gridCol w:w="766"/>
        <w:gridCol w:w="169"/>
        <w:gridCol w:w="186"/>
        <w:gridCol w:w="559"/>
        <w:gridCol w:w="262"/>
        <w:gridCol w:w="199"/>
        <w:gridCol w:w="766"/>
        <w:gridCol w:w="169"/>
        <w:gridCol w:w="186"/>
        <w:gridCol w:w="559"/>
        <w:gridCol w:w="320"/>
      </w:tblGrid>
      <w:tr>
        <w:trPr/>
        <w:tc>
          <w:tcPr>
            <w:tcW w:w="12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885" w:type="dxa"/>
            <w:gridSpan w:val="2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and Margin to Adjusted EBITDA and Margin</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5" w:type="dxa"/>
            <w:gridSpan w:val="2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margin</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(199,806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(164,358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(Benefit from) provision for income taxes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partial extinguishment of debt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&amp; amortization</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 and margin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income, net </w:t>
            </w:r>
            <w:r>
              <w:rPr>
                <w:rFonts w:ascii="Times New Roman" w:hAnsi="Times New Roman"/>
                <w:color w:val="000000"/>
                <w:sz w:val="12"/>
              </w:rPr>
              <w:t>(a)</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Equity-based compensation </w:t>
            </w:r>
            <w:r>
              <w:rPr>
                <w:rFonts w:ascii="Times New Roman" w:hAnsi="Times New Roman"/>
                <w:color w:val="000000"/>
                <w:sz w:val="12"/>
              </w:rPr>
              <w:t>(b)</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integration, and restructuring expenses </w:t>
            </w:r>
            <w:r>
              <w:rPr>
                <w:rFonts w:ascii="Times New Roman" w:hAnsi="Times New Roman"/>
                <w:color w:val="000000"/>
                <w:sz w:val="12"/>
              </w:rPr>
              <w:t>(c)</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Goodwill impairment </w:t>
            </w:r>
            <w:r>
              <w:rPr>
                <w:rFonts w:ascii="Times New Roman" w:hAnsi="Times New Roman"/>
                <w:color w:val="000000"/>
                <w:sz w:val="12"/>
              </w:rPr>
              <w:t>(d)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non-core items </w:t>
            </w:r>
            <w:r>
              <w:rPr>
                <w:rFonts w:ascii="Times New Roman" w:hAnsi="Times New Roman"/>
                <w:color w:val="000000"/>
                <w:sz w:val="12"/>
              </w:rPr>
              <w:t>(e)</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and margin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5" w:type="dxa"/>
            <w:gridSpan w:val="2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Primarily represents foreign exchange and Tax Receivable Agreement liability remeasurement gains and losses.</w:t>
              <w:br/>
              <w:t>(b) Equity-based compensation represents non-cash compensation expense recognized in association with equity awards made to employees and directors.</w:t>
              <w:br/>
              <w:t>(c) Transaction and integration expenses consist primarily of legal, accounting, consulting, and other costs incurred in connection with acquisitions and strategic partnerships, including fair value adjustments related to contingent consideration. For the periods presented, these expenses include a first quarter 2026 adjustment from the favorable settlement of a significant data contract terminated in 2025 in connection with the integration of a prior acquisition, and a second quarter 2026 adjustment related to the settlement of an earnout matter. Restructuring expenses consist primarily of severance and other employee separation benefits under the Company’s restructuring plans, as well as impairment and other charges related to office closures, relocations, and consolidations.</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052"/>
        <w:gridCol w:w="546"/>
        <w:gridCol w:w="223"/>
        <w:gridCol w:w="605"/>
        <w:gridCol w:w="260"/>
        <w:gridCol w:w="260"/>
        <w:gridCol w:w="223"/>
        <w:gridCol w:w="446"/>
        <w:gridCol w:w="546"/>
        <w:gridCol w:w="546"/>
        <w:gridCol w:w="211"/>
        <w:gridCol w:w="631"/>
        <w:gridCol w:w="266"/>
        <w:gridCol w:w="246"/>
        <w:gridCol w:w="211"/>
        <w:gridCol w:w="571"/>
        <w:gridCol w:w="666"/>
        <w:gridCol w:w="696"/>
      </w:tblGrid>
      <w:tr>
        <w:trPr/>
        <w:tc>
          <w:tcPr>
            <w:tcW w:w="305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first quarters of 2026 and 2025. As a result of the impairment tests conducted, we determined that the fair value of our single reporting unit was lower than its carrying value and, accordingly, recorded the impairment charges.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 Other non-core items represent expenses driven by events that are typically by nature one-time, non-operational, and/or unrelated to our core operations. These expenses are comprised of non-core legal, regulatory and advisory costs isolated to unique and extraordinary litigation, legal, regulatory, and other matters that are not considered normal and recurring business activity, including professional fees in connection with the evaluation of strategic, financial, tax, and capital structure alternatives. Other non-core items also include consulting fees and severance costs associated with strategic transition initiatives, as well as other non-core items.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5"/>
        <w:gridCol w:w="546"/>
        <w:gridCol w:w="235"/>
        <w:gridCol w:w="470"/>
        <w:gridCol w:w="274"/>
        <w:gridCol w:w="274"/>
        <w:gridCol w:w="235"/>
        <w:gridCol w:w="470"/>
        <w:gridCol w:w="546"/>
        <w:gridCol w:w="546"/>
        <w:gridCol w:w="211"/>
        <w:gridCol w:w="572"/>
        <w:gridCol w:w="246"/>
        <w:gridCol w:w="246"/>
        <w:gridCol w:w="211"/>
        <w:gridCol w:w="572"/>
        <w:gridCol w:w="646"/>
        <w:gridCol w:w="700"/>
      </w:tblGrid>
      <w:tr>
        <w:trPr/>
        <w:tc>
          <w:tcPr>
            <w:tcW w:w="320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3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regulatory, and advisory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2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5347</Words>
  <Characters>29578</Characters>
  <CharactersWithSpaces>35738</CharactersWithSpaces>
  <Paragraphs>3336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