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February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7" w:lineRule="exact"/>
        <w:rPr>
          <w:sz w:val="24"/>
          <w:szCs w:val="24"/>
          <w:color w:val="auto"/>
        </w:rPr>
      </w:pPr>
    </w:p>
    <w:tbl>
      <w:tblPr>
        <w:tblLayout w:type="fixed"/>
        <w:tblInd w:w="1420" w:type="dxa"/>
        <w:tblCellMar>
          <w:top w:w="0" w:type="dxa"/>
          <w:left w:w="0" w:type="dxa"/>
          <w:bottom w:w="0" w:type="dxa"/>
          <w:right w:w="0" w:type="dxa"/>
        </w:tblCellMar>
      </w:tblPr>
      <w:tr>
        <w:trPr>
          <w:trHeight w:val="534"/>
        </w:trPr>
        <w:tc>
          <w:tcPr>
            <w:tcW w:w="1320" w:type="dxa"/>
            <w:vAlign w:val="bottom"/>
          </w:tcPr>
          <w:p>
            <w:pPr>
              <w:spacing w:after="0"/>
              <w:rPr>
                <w:sz w:val="24"/>
                <w:szCs w:val="24"/>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43"/>
                <w:szCs w:val="43"/>
                <w:b w:val="1"/>
                <w:bCs w:val="1"/>
                <w:color w:val="auto"/>
              </w:rPr>
              <w:t>Definitive Healthcare Corp.</w:t>
            </w: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r>
      <w:tr>
        <w:trPr>
          <w:trHeight w:val="203"/>
        </w:trPr>
        <w:tc>
          <w:tcPr>
            <w:tcW w:w="1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3120" w:type="dxa"/>
            <w:vAlign w:val="bottom"/>
          </w:tcPr>
          <w:p>
            <w:pPr>
              <w:spacing w:after="0"/>
              <w:rPr>
                <w:sz w:val="17"/>
                <w:szCs w:val="17"/>
                <w:color w:val="auto"/>
              </w:rPr>
            </w:pPr>
          </w:p>
        </w:tc>
      </w:tr>
      <w:tr>
        <w:trPr>
          <w:trHeight w:val="426"/>
        </w:trPr>
        <w:tc>
          <w:tcPr>
            <w:tcW w:w="1320" w:type="dxa"/>
            <w:vAlign w:val="bottom"/>
          </w:tcPr>
          <w:p>
            <w:pPr>
              <w:spacing w:after="0"/>
              <w:rPr>
                <w:sz w:val="24"/>
                <w:szCs w:val="24"/>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8"/>
                <w:szCs w:val="18"/>
                <w:b w:val="1"/>
                <w:bCs w:val="1"/>
                <w:color w:val="auto"/>
              </w:rPr>
              <w:t>Commission File Number 1-40815</w:t>
            </w:r>
          </w:p>
        </w:tc>
      </w:tr>
      <w:tr>
        <w:trPr>
          <w:trHeight w:val="456"/>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120" w:type="dxa"/>
            <w:vAlign w:val="bottom"/>
            <w:gridSpan w:val="3"/>
          </w:tcPr>
          <w:p>
            <w:pPr>
              <w:jc w:val="center"/>
              <w:ind w:left="5986"/>
              <w:spacing w:after="0"/>
              <w:rPr>
                <w:sz w:val="20"/>
                <w:szCs w:val="20"/>
                <w:color w:val="auto"/>
              </w:rPr>
            </w:pPr>
            <w:r>
              <w:rPr>
                <w:rFonts w:ascii="Times New Roman" w:cs="Times New Roman" w:eastAsia="Times New Roman" w:hAnsi="Times New Roman"/>
                <w:sz w:val="18"/>
                <w:szCs w:val="18"/>
                <w:b w:val="1"/>
                <w:bCs w:val="1"/>
                <w:color w:val="auto"/>
              </w:rPr>
              <w:t>86-3988281</w:t>
            </w:r>
          </w:p>
        </w:tc>
      </w:tr>
      <w:tr>
        <w:trPr>
          <w:trHeight w:val="149"/>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3"/>
                <w:szCs w:val="13"/>
                <w:b w:val="1"/>
                <w:bCs w:val="1"/>
                <w:color w:val="auto"/>
                <w:w w:val="98"/>
              </w:rPr>
              <w:t>(State</w:t>
            </w:r>
          </w:p>
        </w:tc>
        <w:tc>
          <w:tcPr>
            <w:tcW w:w="17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120" w:type="dxa"/>
            <w:vAlign w:val="bottom"/>
          </w:tcPr>
          <w:p>
            <w:pPr>
              <w:jc w:val="center"/>
              <w:ind w:left="2013"/>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56"/>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17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120" w:type="dxa"/>
            <w:vAlign w:val="bottom"/>
          </w:tcPr>
          <w:p>
            <w:pPr>
              <w:jc w:val="center"/>
              <w:ind w:left="1993"/>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30"/>
        </w:trPr>
        <w:tc>
          <w:tcPr>
            <w:tcW w:w="1320" w:type="dxa"/>
            <w:vAlign w:val="bottom"/>
          </w:tcPr>
          <w:p>
            <w:pPr>
              <w:spacing w:after="0"/>
              <w:rPr>
                <w:sz w:val="19"/>
                <w:szCs w:val="19"/>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8"/>
                <w:szCs w:val="18"/>
                <w:b w:val="1"/>
                <w:bCs w:val="1"/>
                <w:color w:val="auto"/>
                <w:w w:val="99"/>
              </w:rPr>
              <w:t>492 Old Connecticut Path, Suite 401</w:t>
            </w:r>
          </w:p>
        </w:tc>
      </w:tr>
      <w:tr>
        <w:trPr>
          <w:trHeight w:val="238"/>
        </w:trPr>
        <w:tc>
          <w:tcPr>
            <w:tcW w:w="1320" w:type="dxa"/>
            <w:vAlign w:val="bottom"/>
          </w:tcPr>
          <w:p>
            <w:pPr>
              <w:spacing w:after="0"/>
              <w:rPr>
                <w:sz w:val="20"/>
                <w:szCs w:val="20"/>
                <w:color w:val="auto"/>
              </w:rPr>
            </w:pPr>
          </w:p>
        </w:tc>
        <w:tc>
          <w:tcPr>
            <w:tcW w:w="712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Framingham, Massachusetts 01701</w:t>
            </w:r>
          </w:p>
        </w:tc>
      </w:tr>
      <w:tr>
        <w:trPr>
          <w:trHeight w:val="215"/>
        </w:trPr>
        <w:tc>
          <w:tcPr>
            <w:tcW w:w="1320" w:type="dxa"/>
            <w:vAlign w:val="bottom"/>
          </w:tcPr>
          <w:p>
            <w:pPr>
              <w:spacing w:after="0"/>
              <w:rPr>
                <w:sz w:val="18"/>
                <w:szCs w:val="18"/>
                <w:color w:val="auto"/>
              </w:rPr>
            </w:pPr>
          </w:p>
        </w:tc>
        <w:tc>
          <w:tcPr>
            <w:tcW w:w="7120" w:type="dxa"/>
            <w:vAlign w:val="bottom"/>
            <w:gridSpan w:val="3"/>
          </w:tcPr>
          <w:p>
            <w:pPr>
              <w:jc w:val="center"/>
              <w:ind w:right="1313"/>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r>
      <w:tr>
        <w:trPr>
          <w:trHeight w:val="456"/>
        </w:trPr>
        <w:tc>
          <w:tcPr>
            <w:tcW w:w="1320" w:type="dxa"/>
            <w:vAlign w:val="bottom"/>
          </w:tcPr>
          <w:p>
            <w:pPr>
              <w:spacing w:after="0"/>
              <w:rPr>
                <w:sz w:val="24"/>
                <w:szCs w:val="24"/>
                <w:color w:val="auto"/>
              </w:rPr>
            </w:pPr>
          </w:p>
        </w:tc>
        <w:tc>
          <w:tcPr>
            <w:tcW w:w="4000" w:type="dxa"/>
            <w:vAlign w:val="bottom"/>
            <w:gridSpan w:val="2"/>
          </w:tcPr>
          <w:p>
            <w:pPr>
              <w:jc w:val="center"/>
              <w:ind w:left="1666"/>
              <w:spacing w:after="0"/>
              <w:rPr>
                <w:sz w:val="20"/>
                <w:szCs w:val="20"/>
                <w:color w:val="auto"/>
              </w:rPr>
            </w:pPr>
            <w:r>
              <w:rPr>
                <w:rFonts w:ascii="Times New Roman" w:cs="Times New Roman" w:eastAsia="Times New Roman" w:hAnsi="Times New Roman"/>
                <w:sz w:val="18"/>
                <w:szCs w:val="18"/>
                <w:b w:val="1"/>
                <w:bCs w:val="1"/>
                <w:color w:val="auto"/>
                <w:w w:val="99"/>
              </w:rPr>
              <w:t>508 720-4224</w:t>
            </w:r>
          </w:p>
        </w:tc>
        <w:tc>
          <w:tcPr>
            <w:tcW w:w="3120" w:type="dxa"/>
            <w:vAlign w:val="bottom"/>
          </w:tcPr>
          <w:p>
            <w:pPr>
              <w:spacing w:after="0"/>
              <w:rPr>
                <w:sz w:val="24"/>
                <w:szCs w:val="24"/>
                <w:color w:val="auto"/>
              </w:rPr>
            </w:pP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tc>
      </w:tr>
      <w:tr>
        <w:trPr>
          <w:trHeight w:val="591"/>
        </w:trPr>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380" w:type="dxa"/>
            <w:vAlign w:val="bottom"/>
            <w:gridSpan w:val="2"/>
          </w:tcPr>
          <w:p>
            <w:pPr>
              <w:jc w:val="center"/>
              <w:ind w:right="303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6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5" w:lineRule="exact"/>
        <w:rPr>
          <w:sz w:val="24"/>
          <w:szCs w:val="24"/>
          <w:color w:val="auto"/>
        </w:rPr>
      </w:pPr>
    </w:p>
    <w:tbl>
      <w:tblPr>
        <w:tblLayout w:type="fixed"/>
        <w:tblInd w:w="86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00" w:type="dxa"/>
            <w:vAlign w:val="bottom"/>
          </w:tcPr>
          <w:p>
            <w:pPr>
              <w:spacing w:after="0"/>
              <w:rPr>
                <w:sz w:val="12"/>
                <w:szCs w:val="12"/>
                <w:color w:val="auto"/>
              </w:rPr>
            </w:pPr>
          </w:p>
        </w:tc>
        <w:tc>
          <w:tcPr>
            <w:tcW w:w="3360" w:type="dxa"/>
            <w:vAlign w:val="bottom"/>
          </w:tcPr>
          <w:p>
            <w:pPr>
              <w:spacing w:after="0"/>
              <w:rPr>
                <w:sz w:val="12"/>
                <w:szCs w:val="12"/>
                <w:color w:val="auto"/>
              </w:rPr>
            </w:pPr>
          </w:p>
        </w:tc>
      </w:tr>
      <w:tr>
        <w:trPr>
          <w:trHeight w:val="17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w:t>
            </w:r>
          </w:p>
        </w:tc>
        <w:tc>
          <w:tcPr>
            <w:tcW w:w="100" w:type="dxa"/>
            <w:vAlign w:val="bottom"/>
          </w:tcPr>
          <w:p>
            <w:pPr>
              <w:spacing w:after="0"/>
              <w:rPr>
                <w:sz w:val="15"/>
                <w:szCs w:val="15"/>
                <w:color w:val="auto"/>
              </w:rPr>
            </w:pPr>
          </w:p>
        </w:tc>
        <w:tc>
          <w:tcPr>
            <w:tcW w:w="3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32"/>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$0.001 par value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DH</w:t>
            </w:r>
          </w:p>
        </w:tc>
        <w:tc>
          <w:tcPr>
            <w:tcW w:w="100" w:type="dxa"/>
            <w:vAlign w:val="bottom"/>
          </w:tcPr>
          <w:p>
            <w:pPr>
              <w:spacing w:after="0"/>
              <w:rPr>
                <w:sz w:val="20"/>
                <w:szCs w:val="20"/>
                <w:color w:val="auto"/>
              </w:rPr>
            </w:pPr>
          </w:p>
        </w:tc>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bl>
    <w:p>
      <w:pPr>
        <w:spacing w:after="0" w:line="121"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16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05" w:right="499" w:bottom="1440" w:gutter="0" w:footer="0" w:header="0"/>
        </w:sectPr>
      </w:pPr>
    </w:p>
    <w:bookmarkStart w:id="1" w:name="page2"/>
    <w:bookmarkEnd w:id="1"/>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February 28, 2024, Definitive Healthcare Corp. (the “Company”) issued a press release announcing its financial results for the fourth quarter and fiscal year ended December 31, 2023. A copy of the press release is furnished as Exhibit 99.1 to this Current Report on Form 8-K and is incorporated by reference herein.</w:t>
      </w:r>
    </w:p>
    <w:p>
      <w:pPr>
        <w:spacing w:after="0" w:line="176"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Item 2.02 on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regardless of any general incorporation language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592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9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February 28, 2024 (furnished herewith pursuant to Item 2.02)</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920" w:type="dxa"/>
            <w:vAlign w:val="bottom"/>
            <w:shd w:val="clear" w:color="auto" w:fill="0000FF"/>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128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Booth</w:t>
            </w:r>
          </w:p>
        </w:tc>
      </w:tr>
      <w:tr>
        <w:trPr>
          <w:trHeight w:val="21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Booth</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18" w:lineRule="exact"/>
        <w:rPr>
          <w:sz w:val="20"/>
          <w:szCs w:val="20"/>
          <w:color w:val="auto"/>
        </w:rPr>
      </w:pPr>
    </w:p>
    <w:p>
      <w:pPr>
        <w:ind w:left="1320"/>
        <w:spacing w:after="0"/>
        <w:rPr>
          <w:sz w:val="20"/>
          <w:szCs w:val="20"/>
          <w:color w:val="auto"/>
        </w:rPr>
      </w:pPr>
      <w:r>
        <w:rPr>
          <w:rFonts w:ascii="Arial" w:cs="Arial" w:eastAsia="Arial" w:hAnsi="Arial"/>
          <w:sz w:val="20"/>
          <w:szCs w:val="20"/>
          <w:b w:val="1"/>
          <w:bCs w:val="1"/>
          <w:color w:val="auto"/>
        </w:rPr>
        <w:t>Definitive Healthcare Reports Financial Results for Fourth Quarter and Full Fiscal Year 2023</w:t>
      </w:r>
    </w:p>
    <w:p>
      <w:pPr>
        <w:spacing w:after="0" w:line="96" w:lineRule="exact"/>
        <w:rPr>
          <w:sz w:val="20"/>
          <w:szCs w:val="20"/>
          <w:color w:val="auto"/>
        </w:rPr>
      </w:pPr>
    </w:p>
    <w:p>
      <w:pPr>
        <w:ind w:left="2840"/>
        <w:spacing w:after="0"/>
        <w:rPr>
          <w:sz w:val="20"/>
          <w:szCs w:val="20"/>
          <w:color w:val="auto"/>
        </w:rPr>
      </w:pPr>
      <w:r>
        <w:rPr>
          <w:rFonts w:ascii="Arial" w:cs="Arial" w:eastAsia="Arial" w:hAnsi="Arial"/>
          <w:sz w:val="20"/>
          <w:szCs w:val="20"/>
          <w:i w:val="1"/>
          <w:iCs w:val="1"/>
          <w:color w:val="auto"/>
        </w:rPr>
        <w:t>Fourth quarter revenue grew 9% year-over-year to $65.9 million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Full year 2023 revenue grew 13% year-over-year to $251.4 million</w:t>
      </w:r>
    </w:p>
    <w:p>
      <w:pPr>
        <w:spacing w:after="0" w:line="74" w:lineRule="exact"/>
        <w:rPr>
          <w:sz w:val="20"/>
          <w:szCs w:val="20"/>
          <w:color w:val="auto"/>
        </w:rPr>
      </w:pPr>
    </w:p>
    <w:p>
      <w:pPr>
        <w:ind w:right="120"/>
        <w:spacing w:after="0" w:line="242" w:lineRule="auto"/>
        <w:rPr>
          <w:sz w:val="20"/>
          <w:szCs w:val="20"/>
          <w:color w:val="auto"/>
        </w:rPr>
      </w:pPr>
      <w:r>
        <w:rPr>
          <w:rFonts w:ascii="Arial" w:cs="Arial" w:eastAsia="Arial" w:hAnsi="Arial"/>
          <w:sz w:val="20"/>
          <w:szCs w:val="20"/>
          <w:b w:val="1"/>
          <w:bCs w:val="1"/>
          <w:color w:val="auto"/>
        </w:rPr>
        <w:t xml:space="preserve">Framingham, MA (February 28, 2024) – </w:t>
      </w:r>
      <w:r>
        <w:rPr>
          <w:rFonts w:ascii="Arial" w:cs="Arial" w:eastAsia="Arial" w:hAnsi="Arial"/>
          <w:sz w:val="20"/>
          <w:szCs w:val="20"/>
          <w:color w:val="auto"/>
        </w:rPr>
        <w:t>Definitive Healthcare Corp. (“Definitive Healthcare” or the “Company”) (Nasdaq: DH),</w:t>
      </w:r>
      <w:r>
        <w:rPr>
          <w:rFonts w:ascii="Arial" w:cs="Arial" w:eastAsia="Arial" w:hAnsi="Arial"/>
          <w:sz w:val="20"/>
          <w:szCs w:val="20"/>
          <w:b w:val="1"/>
          <w:bCs w:val="1"/>
          <w:color w:val="auto"/>
        </w:rPr>
        <w:t xml:space="preserve"> </w:t>
      </w:r>
      <w:r>
        <w:rPr>
          <w:rFonts w:ascii="Arial" w:cs="Arial" w:eastAsia="Arial" w:hAnsi="Arial"/>
          <w:sz w:val="20"/>
          <w:szCs w:val="20"/>
          <w:color w:val="auto"/>
        </w:rPr>
        <w:t>an industry leader in healthcare commercial intelligence, today announced financial results for the quarter and full year ended December 31, 2023.</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2023 Financial Highlights:</w:t>
      </w:r>
    </w:p>
    <w:p>
      <w:pPr>
        <w:spacing w:after="0" w:line="202"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was $65.9 million, an increase of 9% from $60.6 million in Q4 2022.</w:t>
      </w:r>
    </w:p>
    <w:p>
      <w:pPr>
        <w:spacing w:after="0" w:line="214" w:lineRule="exact"/>
        <w:rPr>
          <w:rFonts w:ascii="Times New Roman" w:cs="Times New Roman" w:eastAsia="Times New Roman" w:hAnsi="Times New Roman"/>
          <w:sz w:val="20"/>
          <w:szCs w:val="20"/>
          <w:color w:val="auto"/>
        </w:rPr>
      </w:pPr>
    </w:p>
    <w:p>
      <w:pPr>
        <w:ind w:left="1020" w:right="20" w:hanging="503"/>
        <w:spacing w:after="0" w:line="259"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Net (Loss) Income </w:t>
      </w:r>
      <w:r>
        <w:rPr>
          <w:rFonts w:ascii="Arial" w:cs="Arial" w:eastAsia="Arial" w:hAnsi="Arial"/>
          <w:sz w:val="20"/>
          <w:szCs w:val="20"/>
          <w:color w:val="auto"/>
        </w:rPr>
        <w:t>was ($13.4) million, or (20)% of revenue, compared to $5.9 million, or 10% of revenue in Q4</w:t>
      </w:r>
      <w:r>
        <w:rPr>
          <w:rFonts w:ascii="Arial" w:cs="Arial" w:eastAsia="Arial" w:hAnsi="Arial"/>
          <w:sz w:val="20"/>
          <w:szCs w:val="20"/>
          <w:b w:val="1"/>
          <w:bCs w:val="1"/>
          <w:color w:val="auto"/>
        </w:rPr>
        <w:t xml:space="preserve"> </w:t>
      </w:r>
      <w:r>
        <w:rPr>
          <w:rFonts w:ascii="Arial" w:cs="Arial" w:eastAsia="Arial" w:hAnsi="Arial"/>
          <w:sz w:val="20"/>
          <w:szCs w:val="20"/>
          <w:color w:val="auto"/>
        </w:rPr>
        <w:t>2022.</w:t>
      </w:r>
    </w:p>
    <w:p>
      <w:pPr>
        <w:spacing w:after="0" w:line="150"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was $10.6 million, compared to $10.3 million in Q4 2022.</w:t>
      </w:r>
    </w:p>
    <w:p>
      <w:pPr>
        <w:spacing w:after="0" w:line="214"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Adjusted EBITDA </w:t>
      </w:r>
      <w:r>
        <w:rPr>
          <w:rFonts w:ascii="Arial" w:cs="Arial" w:eastAsia="Arial" w:hAnsi="Arial"/>
          <w:sz w:val="19"/>
          <w:szCs w:val="19"/>
          <w:color w:val="auto"/>
        </w:rPr>
        <w:t>was $19.8 million, or 30% of revenue, compared to $17.0 million, or 28% of revenue in Q4 2022.</w:t>
      </w:r>
    </w:p>
    <w:p>
      <w:pPr>
        <w:spacing w:after="0" w:line="226"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Cash Flow from Operations </w:t>
      </w:r>
      <w:r>
        <w:rPr>
          <w:rFonts w:ascii="Arial" w:cs="Arial" w:eastAsia="Arial" w:hAnsi="Arial"/>
          <w:sz w:val="20"/>
          <w:szCs w:val="20"/>
          <w:color w:val="auto"/>
        </w:rPr>
        <w:t>was $4.7 million in the quarter.</w:t>
      </w:r>
    </w:p>
    <w:p>
      <w:pPr>
        <w:spacing w:after="0" w:line="214"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Unlevered Free Cash Flow </w:t>
      </w:r>
      <w:r>
        <w:rPr>
          <w:rFonts w:ascii="Arial" w:cs="Arial" w:eastAsia="Arial" w:hAnsi="Arial"/>
          <w:sz w:val="20"/>
          <w:szCs w:val="20"/>
          <w:color w:val="auto"/>
        </w:rPr>
        <w:t>was $11.1 million in the quarter.</w:t>
      </w: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2023 Financial Highlights:</w:t>
      </w:r>
    </w:p>
    <w:p>
      <w:pPr>
        <w:spacing w:after="0" w:line="202"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was $251.4 million for the year, an increase of 13% from $222.7 million for the full year 2022.</w:t>
      </w:r>
    </w:p>
    <w:p>
      <w:pPr>
        <w:spacing w:after="0" w:line="214" w:lineRule="exact"/>
        <w:rPr>
          <w:rFonts w:ascii="Times New Roman" w:cs="Times New Roman" w:eastAsia="Times New Roman" w:hAnsi="Times New Roman"/>
          <w:sz w:val="20"/>
          <w:szCs w:val="20"/>
          <w:color w:val="auto"/>
        </w:rPr>
      </w:pPr>
    </w:p>
    <w:p>
      <w:pPr>
        <w:ind w:left="1020" w:right="340" w:hanging="503"/>
        <w:spacing w:after="0" w:line="259"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was ($289.6) million, or (115)% of revenue, compared to ($24.2) million, or (11)% of revenue for the full</w:t>
      </w:r>
      <w:r>
        <w:rPr>
          <w:rFonts w:ascii="Arial" w:cs="Arial" w:eastAsia="Arial" w:hAnsi="Arial"/>
          <w:sz w:val="20"/>
          <w:szCs w:val="20"/>
          <w:b w:val="1"/>
          <w:bCs w:val="1"/>
          <w:color w:val="auto"/>
        </w:rPr>
        <w:t xml:space="preserve"> </w:t>
      </w:r>
      <w:r>
        <w:rPr>
          <w:rFonts w:ascii="Arial" w:cs="Arial" w:eastAsia="Arial" w:hAnsi="Arial"/>
          <w:sz w:val="20"/>
          <w:szCs w:val="20"/>
          <w:color w:val="auto"/>
        </w:rPr>
        <w:t>year 2022.</w:t>
      </w:r>
    </w:p>
    <w:p>
      <w:pPr>
        <w:spacing w:after="0" w:line="150"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was $46.7 million, compared to $35.4 million for the full year 2022.</w:t>
      </w:r>
    </w:p>
    <w:p>
      <w:pPr>
        <w:spacing w:after="0" w:line="214" w:lineRule="exact"/>
        <w:rPr>
          <w:rFonts w:ascii="Times New Roman" w:cs="Times New Roman" w:eastAsia="Times New Roman" w:hAnsi="Times New Roman"/>
          <w:sz w:val="20"/>
          <w:szCs w:val="20"/>
          <w:color w:val="auto"/>
        </w:rPr>
      </w:pPr>
    </w:p>
    <w:p>
      <w:pPr>
        <w:ind w:left="1020" w:right="260" w:hanging="503"/>
        <w:spacing w:after="0" w:line="259"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was $74.5 million, or 30% of revenue, compared to $63.7 million, or 29% of revenue for the full</w:t>
      </w:r>
      <w:r>
        <w:rPr>
          <w:rFonts w:ascii="Arial" w:cs="Arial" w:eastAsia="Arial" w:hAnsi="Arial"/>
          <w:sz w:val="20"/>
          <w:szCs w:val="20"/>
          <w:b w:val="1"/>
          <w:bCs w:val="1"/>
          <w:color w:val="auto"/>
        </w:rPr>
        <w:t xml:space="preserve"> </w:t>
      </w:r>
      <w:r>
        <w:rPr>
          <w:rFonts w:ascii="Arial" w:cs="Arial" w:eastAsia="Arial" w:hAnsi="Arial"/>
          <w:sz w:val="20"/>
          <w:szCs w:val="20"/>
          <w:color w:val="auto"/>
        </w:rPr>
        <w:t>year 2022.</w:t>
      </w:r>
    </w:p>
    <w:p>
      <w:pPr>
        <w:spacing w:after="0" w:line="150"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Cash Flow from Operations </w:t>
      </w:r>
      <w:r>
        <w:rPr>
          <w:rFonts w:ascii="Arial" w:cs="Arial" w:eastAsia="Arial" w:hAnsi="Arial"/>
          <w:sz w:val="20"/>
          <w:szCs w:val="20"/>
          <w:color w:val="auto"/>
        </w:rPr>
        <w:t>was $41.2 million for the full year 2023.</w:t>
      </w:r>
    </w:p>
    <w:p>
      <w:pPr>
        <w:spacing w:after="0" w:line="214"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Unlevered Free Cash Flow </w:t>
      </w:r>
      <w:r>
        <w:rPr>
          <w:rFonts w:ascii="Arial" w:cs="Arial" w:eastAsia="Arial" w:hAnsi="Arial"/>
          <w:sz w:val="20"/>
          <w:szCs w:val="20"/>
          <w:color w:val="auto"/>
        </w:rPr>
        <w:t>was $68.6 million for the full year 2023.</w:t>
      </w:r>
    </w:p>
    <w:p>
      <w:pPr>
        <w:spacing w:after="0" w:line="217" w:lineRule="exact"/>
        <w:rPr>
          <w:sz w:val="20"/>
          <w:szCs w:val="20"/>
          <w:color w:val="auto"/>
        </w:rPr>
      </w:pPr>
    </w:p>
    <w:p>
      <w:pPr>
        <w:ind w:right="360"/>
        <w:spacing w:after="0" w:line="252" w:lineRule="auto"/>
        <w:rPr>
          <w:sz w:val="20"/>
          <w:szCs w:val="20"/>
          <w:color w:val="auto"/>
        </w:rPr>
      </w:pPr>
      <w:r>
        <w:rPr>
          <w:rFonts w:ascii="Arial" w:cs="Arial" w:eastAsia="Arial" w:hAnsi="Arial"/>
          <w:sz w:val="19"/>
          <w:szCs w:val="19"/>
          <w:color w:val="auto"/>
        </w:rPr>
        <w:t>“We are pleased with our performance in 2023. We delivered double-digit revenue growth year-over-year in a difficult macro environment, along with 30% full-year adjusted EBITDA margin, for Rule of Forty performance,” said Jason Krantz, Founder, Executive Chairman, and Interim CEO of Definitive Healthcare. “At the same time, we continued to make investments in innovative products that will help us continue to drive long term growth and profitability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Recent Business and Operating Highlights: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 Wins</w:t>
      </w:r>
    </w:p>
    <w:p>
      <w:pPr>
        <w:spacing w:after="0" w:line="6" w:lineRule="exact"/>
        <w:rPr>
          <w:sz w:val="20"/>
          <w:szCs w:val="20"/>
          <w:color w:val="auto"/>
        </w:rPr>
      </w:pPr>
    </w:p>
    <w:p>
      <w:pPr>
        <w:jc w:val="both"/>
        <w:ind w:right="280"/>
        <w:spacing w:after="0" w:line="234" w:lineRule="auto"/>
        <w:rPr>
          <w:sz w:val="20"/>
          <w:szCs w:val="20"/>
          <w:color w:val="auto"/>
        </w:rPr>
      </w:pPr>
      <w:r>
        <w:rPr>
          <w:rFonts w:ascii="Arial" w:cs="Arial" w:eastAsia="Arial" w:hAnsi="Arial"/>
          <w:sz w:val="20"/>
          <w:szCs w:val="20"/>
          <w:color w:val="auto"/>
        </w:rPr>
        <w:t>In the fourth quarter, Definitive Healthcare grew its enterprise client base by 28, or 5% year-over-year, ending the quarter with 565 enterprise customers, defined as those customers with more than $100,000 in annual recurring revenue. Customer wins included:</w:t>
      </w:r>
    </w:p>
    <w:p>
      <w:pPr>
        <w:spacing w:after="0" w:line="65" w:lineRule="exact"/>
        <w:rPr>
          <w:sz w:val="20"/>
          <w:szCs w:val="20"/>
          <w:color w:val="auto"/>
        </w:rPr>
      </w:pPr>
    </w:p>
    <w:p>
      <w:pPr>
        <w:jc w:val="both"/>
        <w:ind w:left="1020" w:right="20" w:hanging="503"/>
        <w:spacing w:after="0" w:line="241"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 Swiss robotics company, focused on minimally invasive surgery, plans to utilize our platform across their sales and marketing organization to create a game plan for entering the U.S. market by identifying and targeting the most valuable opportunities for their products within the surgery center, hospital, and individual physician market.</w:t>
      </w:r>
    </w:p>
    <w:p>
      <w:pPr>
        <w:spacing w:after="0" w:line="170" w:lineRule="exact"/>
        <w:rPr>
          <w:rFonts w:ascii="Times New Roman" w:cs="Times New Roman" w:eastAsia="Times New Roman" w:hAnsi="Times New Roman"/>
          <w:sz w:val="20"/>
          <w:szCs w:val="20"/>
          <w:color w:val="auto"/>
        </w:rPr>
      </w:pPr>
    </w:p>
    <w:p>
      <w:pPr>
        <w:jc w:val="both"/>
        <w:ind w:left="1020" w:hanging="503"/>
        <w:spacing w:after="0" w:line="241"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 New Jersey-based biopharma company, focused on oncology therapies for patients with limited treatment options, selected our Monocl platform to help their marketing and Medical Affairs teams grow their Key Opinion Leader network to support the launch of a new combination therapy to treat patients with liver cancer.</w:t>
      </w:r>
    </w:p>
    <w:p>
      <w:pPr>
        <w:spacing w:after="0" w:line="170" w:lineRule="exact"/>
        <w:rPr>
          <w:rFonts w:ascii="Times New Roman" w:cs="Times New Roman" w:eastAsia="Times New Roman" w:hAnsi="Times New Roman"/>
          <w:sz w:val="20"/>
          <w:szCs w:val="20"/>
          <w:color w:val="auto"/>
        </w:rPr>
      </w:pPr>
    </w:p>
    <w:p>
      <w:pPr>
        <w:jc w:val="both"/>
        <w:ind w:left="1020" w:hanging="503"/>
        <w:spacing w:after="0" w:line="241"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One of the largest not-for-profit, integrated health care systems based in Massachusetts, selected our new Populi platform to help them build their physician network by analyzing diagnoses and procedure volumes in their markets, physician referral patterns, and service line utilization.</w:t>
      </w:r>
    </w:p>
    <w:p>
      <w:pPr>
        <w:spacing w:after="0" w:line="170" w:lineRule="exact"/>
        <w:rPr>
          <w:rFonts w:ascii="Times New Roman" w:cs="Times New Roman" w:eastAsia="Times New Roman" w:hAnsi="Times New Roman"/>
          <w:sz w:val="20"/>
          <w:szCs w:val="20"/>
          <w:color w:val="auto"/>
        </w:rPr>
      </w:pPr>
    </w:p>
    <w:p>
      <w:pPr>
        <w:jc w:val="both"/>
        <w:ind w:left="1020" w:hanging="503"/>
        <w:spacing w:after="0" w:line="23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 global leader in commercial real estate commercial services and investment selected Definitive Healthcare to help them map out their clients’ market opportunities including specific pain points by geography. Additionally, they’re integrating our data into their Snowflake instance which is an integration partnership that we launched last year that reinforces our goal of becoming heavily integrated into our clients’ workflow.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Business Outlook</w:t>
      </w:r>
    </w:p>
    <w:p>
      <w:pPr>
        <w:spacing w:after="0" w:line="96"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auto"/>
        </w:rPr>
        <w:t>Based on information as of February 28, 2024, the Company is issuing the following financial guidance. This guidance includes the effect of the acquisition of the Carevoyance product suite.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2024:</w:t>
      </w:r>
    </w:p>
    <w:p>
      <w:pPr>
        <w:spacing w:after="0" w:line="94"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is expected to be in the range of $63.0 – $65.0 million, a 6-10% increase year over year.</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Operating Income </w:t>
      </w:r>
      <w:r>
        <w:rPr>
          <w:rFonts w:ascii="Arial" w:cs="Arial" w:eastAsia="Arial" w:hAnsi="Arial"/>
          <w:sz w:val="20"/>
          <w:szCs w:val="20"/>
          <w:color w:val="auto"/>
        </w:rPr>
        <w:t>is expected to be in the range of $18.0 – $19.0 million.</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is expected to be in the range of $19.5 – $20.5 million.</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is expected to be $12.0 – $13.0 million.</w:t>
      </w:r>
    </w:p>
    <w:p>
      <w:pPr>
        <w:spacing w:after="0" w:line="106" w:lineRule="exact"/>
        <w:rPr>
          <w:rFonts w:ascii="Times New Roman" w:cs="Times New Roman" w:eastAsia="Times New Roman" w:hAnsi="Times New Roman"/>
          <w:sz w:val="20"/>
          <w:szCs w:val="20"/>
          <w:color w:val="auto"/>
        </w:rPr>
      </w:pPr>
    </w:p>
    <w:p>
      <w:pPr>
        <w:ind w:left="1020" w:right="100" w:hanging="503"/>
        <w:spacing w:after="0" w:line="259"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Per Diluted Share </w:t>
      </w:r>
      <w:r>
        <w:rPr>
          <w:rFonts w:ascii="Arial" w:cs="Arial" w:eastAsia="Arial" w:hAnsi="Arial"/>
          <w:sz w:val="20"/>
          <w:szCs w:val="20"/>
          <w:color w:val="auto"/>
        </w:rPr>
        <w:t>is expected to be $0.07 – $0.08 per share on approximately 157.4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weighted-average shares outstanding.</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2024</w:t>
      </w:r>
    </w:p>
    <w:p>
      <w:pPr>
        <w:spacing w:after="0" w:line="202" w:lineRule="exact"/>
        <w:rPr>
          <w:sz w:val="20"/>
          <w:szCs w:val="20"/>
          <w:color w:val="auto"/>
        </w:rPr>
      </w:pPr>
    </w:p>
    <w:p>
      <w:pPr>
        <w:ind w:left="1020" w:hanging="503"/>
        <w:spacing w:after="0" w:line="259"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is expected to be in the range of $263.0 – $269.0 million, a 5-7% increase from the prior year at the</w:t>
      </w:r>
      <w:r>
        <w:rPr>
          <w:rFonts w:ascii="Arial" w:cs="Arial" w:eastAsia="Arial" w:hAnsi="Arial"/>
          <w:sz w:val="20"/>
          <w:szCs w:val="20"/>
          <w:b w:val="1"/>
          <w:bCs w:val="1"/>
          <w:color w:val="auto"/>
        </w:rPr>
        <w:t xml:space="preserve"> </w:t>
      </w:r>
      <w:r>
        <w:rPr>
          <w:rFonts w:ascii="Arial" w:cs="Arial" w:eastAsia="Arial" w:hAnsi="Arial"/>
          <w:sz w:val="20"/>
          <w:szCs w:val="20"/>
          <w:color w:val="auto"/>
        </w:rPr>
        <w:t>midpoint.</w:t>
      </w:r>
    </w:p>
    <w:p>
      <w:pPr>
        <w:spacing w:after="0" w:line="42"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Operating Income </w:t>
      </w:r>
      <w:r>
        <w:rPr>
          <w:rFonts w:ascii="Arial" w:cs="Arial" w:eastAsia="Arial" w:hAnsi="Arial"/>
          <w:sz w:val="20"/>
          <w:szCs w:val="20"/>
          <w:color w:val="auto"/>
        </w:rPr>
        <w:t>is expected to be in the range of $78.0 – $82.0 million.</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is expected to be in the range of $84.0 – $88.0 million.</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is expected to be $59.0 – $63.0 million.</w:t>
      </w:r>
    </w:p>
    <w:p>
      <w:pPr>
        <w:spacing w:after="0" w:line="106" w:lineRule="exact"/>
        <w:rPr>
          <w:rFonts w:ascii="Times New Roman" w:cs="Times New Roman" w:eastAsia="Times New Roman" w:hAnsi="Times New Roman"/>
          <w:sz w:val="20"/>
          <w:szCs w:val="20"/>
          <w:color w:val="auto"/>
        </w:rPr>
      </w:pPr>
    </w:p>
    <w:p>
      <w:pPr>
        <w:ind w:left="1020" w:right="100" w:hanging="503"/>
        <w:spacing w:after="0" w:line="259"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Per Diluted Share </w:t>
      </w:r>
      <w:r>
        <w:rPr>
          <w:rFonts w:ascii="Arial" w:cs="Arial" w:eastAsia="Arial" w:hAnsi="Arial"/>
          <w:sz w:val="20"/>
          <w:szCs w:val="20"/>
          <w:color w:val="auto"/>
        </w:rPr>
        <w:t>is expected to be $0.37 – $0.40 per share on approximately 159.3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weighted-average shares outstanding.</w:t>
      </w:r>
    </w:p>
    <w:p>
      <w:pPr>
        <w:spacing w:after="0" w:line="153" w:lineRule="exact"/>
        <w:rPr>
          <w:sz w:val="20"/>
          <w:szCs w:val="20"/>
          <w:color w:val="auto"/>
        </w:rPr>
      </w:pPr>
    </w:p>
    <w:p>
      <w:pPr>
        <w:ind w:right="140"/>
        <w:spacing w:after="0" w:line="233" w:lineRule="auto"/>
        <w:rPr>
          <w:sz w:val="20"/>
          <w:szCs w:val="20"/>
          <w:color w:val="auto"/>
        </w:rPr>
      </w:pPr>
      <w:r>
        <w:rPr>
          <w:rFonts w:ascii="Arial" w:cs="Arial" w:eastAsia="Arial" w:hAnsi="Arial"/>
          <w:sz w:val="20"/>
          <w:szCs w:val="20"/>
          <w:i w:val="1"/>
          <w:iCs w:val="1"/>
          <w:color w:val="auto"/>
        </w:rPr>
        <w:t>We do not provide a quantitative reconciliation of the forward-looking non-GAAP financial measures included in this press release to the most directly comparable GAAP measures due to the high variability and difficulty to predict certain items excluded from these non-GAAP financial measures; in particular, the effects of equity-based compensation expense, taxes and amounts under the tax receivable agreement, deferred tax assets and deferred tax liabilities, and transaction, integration, and restructuring expenses. We expect the variability of these excluded items may have a significant, and potentially unpredictable, impact on our future GAAP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Conference Call Information</w:t>
      </w:r>
    </w:p>
    <w:p>
      <w:pPr>
        <w:spacing w:after="0" w:line="9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Definitive Healthcare will host a conference call on February 28, 2024, at 5:00 p.m. (Eastern Time) to discuss the Company's full financial results and current business outlook. Participants may access the call at 1-877-358 -7298 or 1-848-488-9244. Shortly after the conclusion of the call, a replay of this conference call will be available through March 28, 2024 at 1-800-645-7964 or 1-757-849-6722. The replay passcode is 1765#. A live audio webcast of the event will be available on Definitive Healthcare’s Investor Relations website at https://ir.definitivehc.com/.</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Definitive Healthcare</w:t>
      </w:r>
    </w:p>
    <w:p>
      <w:pPr>
        <w:spacing w:after="0" w:line="9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At Definitive Healthcare, our passion is to transform data, analytics and expertise into healthcare commercial intelligence. We help clients uncover the right markets, opportunities and people, so they can shape tomorrow’s healthcare industry. Our SaaS platform creates new paths to commercial success in the healthcare market, so companies can identify where to go next. Learn more at definitivehc.com.</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96" w:lineRule="exact"/>
        <w:rPr>
          <w:sz w:val="20"/>
          <w:szCs w:val="20"/>
          <w:color w:val="auto"/>
        </w:rPr>
      </w:pPr>
    </w:p>
    <w:p>
      <w:pPr>
        <w:ind w:right="80"/>
        <w:spacing w:after="0" w:line="229" w:lineRule="auto"/>
        <w:rPr>
          <w:sz w:val="20"/>
          <w:szCs w:val="20"/>
          <w:color w:val="auto"/>
        </w:rPr>
      </w:pPr>
      <w:r>
        <w:rPr>
          <w:rFonts w:ascii="Arial" w:cs="Arial" w:eastAsia="Arial" w:hAnsi="Arial"/>
          <w:sz w:val="20"/>
          <w:szCs w:val="20"/>
          <w:i w:val="1"/>
          <w:iCs w:val="1"/>
          <w:color w:val="auto"/>
        </w:rPr>
        <w:t>This press release includes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“will,” “should,” “may,” “anticipates,” “intends,” “plans,” “seeks,” “believes,” “estimates,” “expects,” “continues,” “assumes,” “would,” “potentially”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financial guidance, the benefits of our healthcare commercial intelligence solutions, our competitive position, customer behaviors and use of our solutions, the market, industry and macroeconomic environment, our business, growth strategies, product development efforts and future expenses, customer growth and statements reflecting our expectations about our ability to execute on our strategic plans, achieve future growth and profitability and achieve our financial goals.</w:t>
      </w:r>
    </w:p>
    <w:p>
      <w:pPr>
        <w:spacing w:after="0" w:line="67" w:lineRule="exact"/>
        <w:rPr>
          <w:sz w:val="20"/>
          <w:szCs w:val="20"/>
          <w:color w:val="auto"/>
        </w:rPr>
      </w:pPr>
    </w:p>
    <w:p>
      <w:pPr>
        <w:ind w:right="100"/>
        <w:spacing w:after="0" w:line="227" w:lineRule="auto"/>
        <w:rPr>
          <w:sz w:val="20"/>
          <w:szCs w:val="20"/>
          <w:color w:val="auto"/>
        </w:rPr>
      </w:pPr>
      <w:r>
        <w:rPr>
          <w:rFonts w:ascii="Arial" w:cs="Arial" w:eastAsia="Arial" w:hAnsi="Arial"/>
          <w:sz w:val="20"/>
          <w:szCs w:val="20"/>
          <w:i w:val="1"/>
          <w:iCs w:val="1"/>
          <w:color w:val="auto"/>
        </w:rPr>
        <w:t>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following: our inability to realize expected business or financial benefits from acquisitions and the risk that our acquisitions or investments could prove difficult to integrate, disrupt our business, dilute stockholder value and adversely affect our business, financial condition and results of operations; our inability to achieve the anticipated cost savings, operating efficiencies or other benefits of our internal restructuring activities; global geopolitical tension and difficult macroeconomic conditions; actual or potential changes in international, national, regional and local economic, business and financial conditions, including recessions, inflation, high interest rates, volatility in the capital markets and related market uncertainty; the impact of challenging macroeconomic conditions on our new and existing customers; our inability to acquire new customers and generate additional revenue from existing customers; our inability to generate sales of subscriptions to our platform or any decline in demand for our platform and the data we offer; the competitiveness of the market in which we operate and our ability to compete effectively; the failure to maintain and improve our platform, or develop new modules or insights for healthcare commercial intelligence; the inability to obtain and maintain accurate, comprehensive or reliable data, which could result in reduced demand for our platform; the risk that our recent growth rates may not be indicative of our future growth; the inability to achieve or sustain GAAP or non-GAAP profitability in the future as we increase investments in our business; the loss of our access to our data providers; the failure to respond to advances in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7" w:name="page8"/>
    <w:bookmarkEnd w:id="7"/>
    <w:p>
      <w:pPr>
        <w:ind w:right="120"/>
        <w:spacing w:after="0" w:line="233" w:lineRule="auto"/>
        <w:rPr>
          <w:sz w:val="20"/>
          <w:szCs w:val="20"/>
          <w:color w:val="auto"/>
        </w:rPr>
      </w:pPr>
      <w:r>
        <w:rPr>
          <w:rFonts w:ascii="Arial" w:cs="Arial" w:eastAsia="Arial" w:hAnsi="Arial"/>
          <w:sz w:val="20"/>
          <w:szCs w:val="20"/>
          <w:i w:val="1"/>
          <w:iCs w:val="1"/>
          <w:color w:val="auto"/>
        </w:rPr>
        <w:t>commercial intelligence; an inability to attract new customers and expand subscriptions of current customers; our ability to successfully transition executive leadership; the risk of cyber-attacks and security vulnerabilities; litigation, investigations or other legal, governmental or regulatory actions; the possibility that our security measures are breached or unauthorized access to data is otherwise obtained; the risk that additional material weaknesses or significant deficiencies that will occur in the future; and the risks of being required to collect sales or other related taxes for subscriptions to our platform in jurisdictions where we have not historically done so.</w:t>
      </w:r>
    </w:p>
    <w:p>
      <w:pPr>
        <w:spacing w:after="0" w:line="64" w:lineRule="exact"/>
        <w:rPr>
          <w:sz w:val="20"/>
          <w:szCs w:val="20"/>
          <w:color w:val="auto"/>
        </w:rPr>
      </w:pPr>
    </w:p>
    <w:p>
      <w:pPr>
        <w:ind w:right="220"/>
        <w:spacing w:after="0" w:line="252" w:lineRule="auto"/>
        <w:rPr>
          <w:sz w:val="20"/>
          <w:szCs w:val="20"/>
          <w:color w:val="auto"/>
        </w:rPr>
      </w:pPr>
      <w:r>
        <w:rPr>
          <w:rFonts w:ascii="Arial" w:cs="Arial" w:eastAsia="Arial" w:hAnsi="Arial"/>
          <w:sz w:val="19"/>
          <w:szCs w:val="19"/>
          <w:i w:val="1"/>
          <w:iCs w:val="1"/>
          <w:color w:val="auto"/>
        </w:rPr>
        <w:t>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p>
    <w:p>
      <w:pPr>
        <w:spacing w:after="0" w:line="54" w:lineRule="exact"/>
        <w:rPr>
          <w:sz w:val="20"/>
          <w:szCs w:val="20"/>
          <w:color w:val="auto"/>
        </w:rPr>
      </w:pPr>
    </w:p>
    <w:p>
      <w:pPr>
        <w:ind w:right="260"/>
        <w:spacing w:after="0" w:line="237" w:lineRule="auto"/>
        <w:rPr>
          <w:sz w:val="20"/>
          <w:szCs w:val="20"/>
          <w:color w:val="auto"/>
        </w:rPr>
      </w:pPr>
      <w:r>
        <w:rPr>
          <w:rFonts w:ascii="Arial" w:cs="Arial" w:eastAsia="Arial" w:hAnsi="Arial"/>
          <w:sz w:val="20"/>
          <w:szCs w:val="20"/>
          <w:i w:val="1"/>
          <w:iCs w:val="1"/>
          <w:color w:val="auto"/>
        </w:rPr>
        <w:t>For additional discussion of factors that could impact our operational and financial results, refer to our Annual Report on Form 10-K for the fiscal year ended December 31, 2023 that will be filed following this earnings release, as well as our Current Reports on Form 8-K and other subsequent SEC filings, which are or will be available on the Investor Relations page of our website at ir.definitivehc.com and on the SEC website at www.sec.gov.</w:t>
      </w:r>
    </w:p>
    <w:p>
      <w:pPr>
        <w:spacing w:after="0" w:line="64"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i w:val="1"/>
          <w:iCs w:val="1"/>
          <w:color w:val="auto"/>
        </w:rPr>
        <w:t>All information in this press release speaks only as of the date on which it is made. We undertake no obligation to publicly update this information, whether as a result of new information, future developments or otherwise, except as may be required by law.</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Website</w:t>
      </w:r>
    </w:p>
    <w:p>
      <w:pPr>
        <w:spacing w:after="0" w:line="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Definitive Healthcare intends to use its website as a distribution channel of material company information. Financial and other important information regarding the Company is routinely posted on and accessible through the Company’s website at https://www.definitivehc.com/. Accordingly, you should monitor the investor relations portion of our website at https://ir.definitivehc.com/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page at https://ir.definitivehc.com/.</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96"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i w:val="1"/>
          <w:iCs w:val="1"/>
          <w:color w:val="auto"/>
        </w:rPr>
        <w:t>We have presented supplemental non-GAAP financial measures as part of this earnings release. We believe that these supplemental non-GAAP financial measures are useful to investors because they allow for an evaluation of the Company with a focus on the performance of its core operations, including providing meaningful comparisons of financial results to historical periods and to the financial results of peer and competitor companies. Our use of these non-GAAP terms may vary from the use of similar terms by other companies in our industry and accordingly may not be comparable to similarly titled measures used by other companies and are not measures of performance calculated in accordance with GAAP. A reconciliation of GAAP to non-GAAP results has been provided in the financial statement tables included at the end of this press release.</w:t>
      </w:r>
    </w:p>
    <w:p>
      <w:pPr>
        <w:spacing w:after="0" w:line="64" w:lineRule="exact"/>
        <w:rPr>
          <w:sz w:val="20"/>
          <w:szCs w:val="20"/>
          <w:color w:val="auto"/>
        </w:rPr>
      </w:pPr>
    </w:p>
    <w:p>
      <w:pPr>
        <w:ind w:right="240"/>
        <w:spacing w:after="0" w:line="233" w:lineRule="auto"/>
        <w:rPr>
          <w:sz w:val="20"/>
          <w:szCs w:val="20"/>
          <w:color w:val="auto"/>
        </w:rPr>
      </w:pPr>
      <w:r>
        <w:rPr>
          <w:rFonts w:ascii="Arial" w:cs="Arial" w:eastAsia="Arial" w:hAnsi="Arial"/>
          <w:sz w:val="20"/>
          <w:szCs w:val="20"/>
          <w:i w:val="1"/>
          <w:iCs w:val="1"/>
          <w:color w:val="auto"/>
        </w:rPr>
        <w:t>We refer to Unlevered Free Cash Flow, Adjusted EBITDA, Adjusted EBITDA Margin, Adjusted Gross Profit, Adjusted Gross Margin, Adjusted Operating Income, Adjusted Net Income and Adjusted Net Income Per Diluted Share as non-GAAP financial measures. These non-GAAP financial measures are not required by or prepared in accordance with generally accepted accounting principles in the U.S. (“GAAP”). These are supplemental financial measures of our performance and should not be considered substitutes for cash provided by (used in) operating activities, loss from operations, net (loss) income, net (loss) income margin, gross profit, gross margin, or any other measure derived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8" w:name="page9"/>
    <w:bookmarkEnd w:id="8"/>
    <w:p>
      <w:pPr>
        <w:ind w:right="380"/>
        <w:spacing w:after="0" w:line="252" w:lineRule="auto"/>
        <w:rPr>
          <w:sz w:val="20"/>
          <w:szCs w:val="20"/>
          <w:color w:val="auto"/>
        </w:rPr>
      </w:pPr>
      <w:r>
        <w:rPr>
          <w:rFonts w:ascii="Arial" w:cs="Arial" w:eastAsia="Arial" w:hAnsi="Arial"/>
          <w:sz w:val="19"/>
          <w:szCs w:val="19"/>
          <w:i w:val="1"/>
          <w:iCs w:val="1"/>
          <w:color w:val="auto"/>
        </w:rPr>
        <w:t>We define Unlevered Free Cash Flow as net cash provided by (used in) operating activities less purchases of property, equipment and other assets, plus cash interest expense, and cash payments related to transaction, integration, and restructuring related expenses, earnouts, and other non-core items. Unlevered Free Cash Flow does not represent residual cash flow available for discretionary expenditures since, among other things, we have mandatory debt service requirements.</w:t>
      </w:r>
    </w:p>
    <w:p>
      <w:pPr>
        <w:spacing w:after="0" w:line="54" w:lineRule="exact"/>
        <w:rPr>
          <w:sz w:val="20"/>
          <w:szCs w:val="20"/>
          <w:color w:val="auto"/>
        </w:rPr>
      </w:pPr>
    </w:p>
    <w:p>
      <w:pPr>
        <w:ind w:right="120"/>
        <w:spacing w:after="0" w:line="230" w:lineRule="auto"/>
        <w:rPr>
          <w:sz w:val="20"/>
          <w:szCs w:val="20"/>
          <w:color w:val="auto"/>
        </w:rPr>
      </w:pPr>
      <w:r>
        <w:rPr>
          <w:rFonts w:ascii="Arial" w:cs="Arial" w:eastAsia="Arial" w:hAnsi="Arial"/>
          <w:sz w:val="20"/>
          <w:szCs w:val="20"/>
          <w:i w:val="1"/>
          <w:iCs w:val="1"/>
          <w:color w:val="auto"/>
        </w:rPr>
        <w:t>We define EBITDA as earnings before debt-related costs, including interest expense, net and loss on extinguishment of debt, income taxes and depreciation and amortization. Adjusted EBITDA is defined as EBITDA adjusted to exclude certain items of a significant or unusual nature, including other income and expense, equity-based compensation, goodwill impairments, transaction, integration, and restructuring expenses and other non-core expenses. Adjusted EBITDA Margin is defined as Adjusted EBITDA as a percentage of revenue. Adjusted EBITDA and Adjusted EBITDA Margin are key metrics used by management and our board of directors to assess the profitability of our operations. We believe that Adjusted EBITDA and Adjusted EBITDA Margin provide useful measures to investors to assess our operating performance because these metrics eliminate non-core and unusual items and non-cash expenses, which we do not consider indicative of ongoing operational performance. We believe that these metrics are helpful to investors in measuring the profitability of our operations on a consolidated level.</w:t>
      </w:r>
    </w:p>
    <w:p>
      <w:pPr>
        <w:spacing w:after="0" w:line="64"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i w:val="1"/>
          <w:iCs w:val="1"/>
          <w:color w:val="auto"/>
        </w:rPr>
        <w:t>We define Adjusted Gross Profit as gross profit excluding acquisition-related depreciation and amortization and equity-based compensation costs and Adjusted Gross Margin is defined as Adjusted Gross Profit as a percentage of revenue. Adjusted Gross Profit and Adjusted Gross Margin are key metrics used by management and our board of directors to assess our operations. We exclude acquisition-related depreciation and amortization expenses as they have no direct correlation to the cost of operating our business on an ongoing basis. A small portion of equity-based compensation is included in cost of revenue in accordance with GAAP but is excluded from our Adjusted Gross Profit calculations due to its non-cash nature.</w:t>
      </w:r>
    </w:p>
    <w:p>
      <w:pPr>
        <w:spacing w:after="0" w:line="64" w:lineRule="exact"/>
        <w:rPr>
          <w:sz w:val="20"/>
          <w:szCs w:val="20"/>
          <w:color w:val="auto"/>
        </w:rPr>
      </w:pPr>
    </w:p>
    <w:p>
      <w:pPr>
        <w:spacing w:after="0" w:line="257" w:lineRule="auto"/>
        <w:rPr>
          <w:sz w:val="20"/>
          <w:szCs w:val="20"/>
          <w:color w:val="auto"/>
        </w:rPr>
      </w:pPr>
      <w:r>
        <w:rPr>
          <w:rFonts w:ascii="Arial" w:cs="Arial" w:eastAsia="Arial" w:hAnsi="Arial"/>
          <w:sz w:val="20"/>
          <w:szCs w:val="20"/>
          <w:i w:val="1"/>
          <w:iCs w:val="1"/>
          <w:color w:val="auto"/>
        </w:rPr>
        <w:t>We define Adjusted Operating Income as loss from operations plus acquisition related amortization, equity-based compensation, goodwill impairments, transaction, integration, and restructuring expenses and other non-core expenses.</w:t>
      </w:r>
    </w:p>
    <w:p>
      <w:pPr>
        <w:spacing w:after="0" w:line="47" w:lineRule="exact"/>
        <w:rPr>
          <w:sz w:val="20"/>
          <w:szCs w:val="20"/>
          <w:color w:val="auto"/>
        </w:rPr>
      </w:pPr>
    </w:p>
    <w:p>
      <w:pPr>
        <w:jc w:val="both"/>
        <w:ind w:right="100"/>
        <w:spacing w:after="0" w:line="241" w:lineRule="auto"/>
        <w:rPr>
          <w:sz w:val="20"/>
          <w:szCs w:val="20"/>
          <w:color w:val="auto"/>
        </w:rPr>
      </w:pPr>
      <w:r>
        <w:rPr>
          <w:rFonts w:ascii="Arial" w:cs="Arial" w:eastAsia="Arial" w:hAnsi="Arial"/>
          <w:sz w:val="20"/>
          <w:szCs w:val="20"/>
          <w:i w:val="1"/>
          <w:iCs w:val="1"/>
          <w:color w:val="auto"/>
        </w:rPr>
        <w:t>We define Adjusted Net Income as Adjusted Operating Income less interest expense, net, recurring income tax benefit, foreign currency (loss) gain, and tax effects of adjustments. We define Adjusted Net Income Per Diluted Share as Adjusted Net Income divided by diluted outstanding shares.</w:t>
      </w:r>
    </w:p>
    <w:p>
      <w:pPr>
        <w:spacing w:after="0" w:line="63"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i w:val="1"/>
          <w:iCs w:val="1"/>
          <w:color w:val="auto"/>
        </w:rPr>
        <w:t>In evaluating our non-GAAP financial measures, you should be aware that in the future we may incur expenses similar to those eliminated in these 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716915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Investor Contact:</w:t>
      </w:r>
    </w:p>
    <w:p>
      <w:pPr>
        <w:spacing w:after="0" w:line="231" w:lineRule="auto"/>
        <w:rPr>
          <w:sz w:val="20"/>
          <w:szCs w:val="20"/>
          <w:color w:val="auto"/>
        </w:rPr>
      </w:pPr>
      <w:r>
        <w:rPr>
          <w:rFonts w:ascii="Arial" w:cs="Arial" w:eastAsia="Arial" w:hAnsi="Arial"/>
          <w:sz w:val="20"/>
          <w:szCs w:val="20"/>
          <w:color w:val="auto"/>
        </w:rPr>
        <w:t>Brian Denyeau</w:t>
      </w:r>
    </w:p>
    <w:p>
      <w:pPr>
        <w:spacing w:after="0" w:line="238" w:lineRule="auto"/>
        <w:rPr>
          <w:sz w:val="20"/>
          <w:szCs w:val="20"/>
          <w:color w:val="auto"/>
        </w:rPr>
      </w:pPr>
      <w:r>
        <w:rPr>
          <w:rFonts w:ascii="Arial" w:cs="Arial" w:eastAsia="Arial" w:hAnsi="Arial"/>
          <w:sz w:val="19"/>
          <w:szCs w:val="19"/>
          <w:color w:val="auto"/>
        </w:rPr>
        <w:t>ICR for Definitive Healthcare</w:t>
      </w:r>
    </w:p>
    <w:p>
      <w:pPr>
        <w:spacing w:after="0" w:line="225" w:lineRule="auto"/>
        <w:rPr>
          <w:sz w:val="20"/>
          <w:szCs w:val="20"/>
          <w:color w:val="auto"/>
        </w:rPr>
      </w:pPr>
      <w:r>
        <w:rPr>
          <w:rFonts w:ascii="Arial" w:cs="Arial" w:eastAsia="Arial" w:hAnsi="Arial"/>
          <w:sz w:val="20"/>
          <w:szCs w:val="20"/>
          <w:u w:val="single" w:color="auto"/>
          <w:color w:val="0000FF"/>
        </w:rPr>
        <w:t>brian.denyeau@icrinc.com</w:t>
      </w:r>
    </w:p>
    <w:p>
      <w:pPr>
        <w:spacing w:after="0"/>
        <w:rPr>
          <w:sz w:val="20"/>
          <w:szCs w:val="20"/>
          <w:color w:val="auto"/>
        </w:rPr>
      </w:pPr>
      <w:r>
        <w:rPr>
          <w:rFonts w:ascii="Arial" w:cs="Arial" w:eastAsia="Arial" w:hAnsi="Arial"/>
          <w:sz w:val="20"/>
          <w:szCs w:val="20"/>
          <w:color w:val="auto"/>
        </w:rPr>
        <w:t>646-277-1251</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31" w:lineRule="auto"/>
        <w:rPr>
          <w:sz w:val="20"/>
          <w:szCs w:val="20"/>
          <w:color w:val="auto"/>
        </w:rPr>
      </w:pPr>
      <w:r>
        <w:rPr>
          <w:rFonts w:ascii="Arial" w:cs="Arial" w:eastAsia="Arial" w:hAnsi="Arial"/>
          <w:sz w:val="20"/>
          <w:szCs w:val="20"/>
          <w:color w:val="auto"/>
        </w:rPr>
        <w:t>Danielle Johns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djohns@definitivehc.com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4" w:right="1440" w:bottom="1440" w:gutter="0" w:footer="0" w:header="0"/>
        </w:sectPr>
      </w:pPr>
    </w:p>
    <w:bookmarkStart w:id="10" w:name="page11"/>
    <w:bookmarkEnd w:id="10"/>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(amounts in thousands, except number of shares and par value;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130,976</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146,934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177,092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184,939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59,249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58,799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contract costs</w:t>
            </w: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393,927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413,745</w:t>
            </w:r>
          </w:p>
        </w:tc>
        <w:tc>
          <w:tcPr>
            <w:tcW w:w="100" w:type="dxa"/>
            <w:vAlign w:val="bottom"/>
          </w:tcPr>
          <w:p>
            <w:pPr>
              <w:spacing w:after="0"/>
              <w:rPr>
                <w:sz w:val="20"/>
                <w:szCs w:val="20"/>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costs, net of current portion</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323,121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350,722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1,075,080</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1,324,733</w:t>
            </w:r>
          </w:p>
        </w:tc>
        <w:tc>
          <w:tcPr>
            <w:tcW w:w="100" w:type="dxa"/>
            <w:vAlign w:val="bottom"/>
          </w:tcPr>
          <w:p>
            <w:pPr>
              <w:spacing w:after="0"/>
              <w:rPr>
                <w:sz w:val="20"/>
                <w:szCs w:val="20"/>
                <w:color w:val="auto"/>
              </w:rPr>
            </w:pPr>
          </w:p>
        </w:tc>
      </w:tr>
      <w:tr>
        <w:trPr>
          <w:trHeight w:val="281"/>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1,825,901</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2,122,624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51,529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26,855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97,377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99,692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Term loan</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170,682</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140,610</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loan</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242,567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255,765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receivable agreements liability</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155,111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67,163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75,737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00" w:type="dxa"/>
            <w:vAlign w:val="bottom"/>
          </w:tcPr>
          <w:p>
            <w:pPr>
              <w:spacing w:after="0"/>
              <w:rPr>
                <w:sz w:val="20"/>
                <w:szCs w:val="20"/>
                <w:color w:val="auto"/>
              </w:rPr>
            </w:pPr>
          </w:p>
        </w:tc>
      </w:tr>
      <w:tr>
        <w:trPr>
          <w:trHeight w:val="238"/>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626,727</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640,679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5"/>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A Common Stock, par value $0.001, 600,000,000 shares authorized, 116,562,252 and</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105,138,273 shares issued and outstanding at December 31, 2023 and 2022, respectively</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B Common Stock, par value $0.00001, 65,000,000 shares authorized, 39,762,700 and</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39,168,047 shares issued and outstanding, respectively, at December 31, 2023, and 50,433,101 and</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48,923,952 shares issued and outstanding, respectively, at December 31, 2022</w:t>
            </w:r>
          </w:p>
        </w:tc>
        <w:tc>
          <w:tcPr>
            <w:tcW w:w="160" w:type="dxa"/>
            <w:vAlign w:val="bottom"/>
          </w:tcPr>
          <w:p>
            <w:pPr>
              <w:spacing w:after="0"/>
              <w:rPr>
                <w:sz w:val="20"/>
                <w:szCs w:val="20"/>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1,086,581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970,207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(227,450 )</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(25,062 )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337,817</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533,027</w:t>
            </w:r>
          </w:p>
        </w:tc>
        <w:tc>
          <w:tcPr>
            <w:tcW w:w="100" w:type="dxa"/>
            <w:vAlign w:val="bottom"/>
          </w:tcPr>
          <w:p>
            <w:pPr>
              <w:spacing w:after="0"/>
              <w:rPr>
                <w:sz w:val="20"/>
                <w:szCs w:val="20"/>
                <w:color w:val="auto"/>
              </w:rPr>
            </w:pPr>
          </w:p>
        </w:tc>
      </w:tr>
      <w:tr>
        <w:trPr>
          <w:trHeight w:val="23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1,199,174</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1,481,945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1,825,901</w:t>
            </w:r>
          </w:p>
        </w:tc>
        <w:tc>
          <w:tcPr>
            <w:tcW w:w="2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2,122,624</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92"/>
        </w:trPr>
        <w:tc>
          <w:tcPr>
            <w:tcW w:w="7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-6677025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-6677025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-5425440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-5408295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-5425440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-5408295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-2914015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-1096645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1" w:name="page12"/>
    <w:bookmarkEnd w:id="11"/>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(amounts in thousands, except share amounts and per share data; 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5"/>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0" w:type="dxa"/>
            <w:vAlign w:val="bottom"/>
          </w:tcPr>
          <w:p>
            <w:pPr>
              <w:spacing w:after="0"/>
              <w:rPr>
                <w:sz w:val="16"/>
                <w:szCs w:val="16"/>
                <w:color w:val="auto"/>
              </w:rPr>
            </w:pPr>
          </w:p>
        </w:tc>
        <w:tc>
          <w:tcPr>
            <w:tcW w:w="25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54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65,932</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60,599</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251,415</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222,653</w:t>
            </w:r>
          </w:p>
        </w:tc>
        <w:tc>
          <w:tcPr>
            <w:tcW w:w="100" w:type="dxa"/>
            <w:vAlign w:val="bottom"/>
            <w:shd w:val="clear" w:color="auto" w:fill="CFF0FC"/>
          </w:tcPr>
          <w:p>
            <w:pPr>
              <w:spacing w:after="0"/>
              <w:rPr>
                <w:sz w:val="20"/>
                <w:szCs w:val="20"/>
                <w:color w:val="auto"/>
              </w:rPr>
            </w:pPr>
          </w:p>
        </w:tc>
      </w:tr>
      <w:tr>
        <w:trPr>
          <w:trHeight w:val="23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420" w:type="dxa"/>
            <w:vAlign w:val="bottom"/>
            <w:shd w:val="clear" w:color="auto" w:fill="CFF0FC"/>
          </w:tcPr>
          <w:p>
            <w:pPr>
              <w:ind w:left="200"/>
              <w:spacing w:after="0" w:line="248" w:lineRule="exact"/>
              <w:rPr>
                <w:sz w:val="20"/>
                <w:szCs w:val="20"/>
                <w:color w:val="auto"/>
              </w:rPr>
            </w:pPr>
            <w:r>
              <w:rPr>
                <w:rFonts w:ascii="Times New Roman" w:cs="Times New Roman" w:eastAsia="Times New Roman" w:hAnsi="Times New Roman"/>
                <w:sz w:val="18"/>
                <w:szCs w:val="18"/>
                <w:color w:val="auto"/>
              </w:rPr>
              <w:t xml:space="preserve">Cost of revenue exclusive of amortization </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34,740</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25,866</w:t>
            </w:r>
          </w:p>
        </w:tc>
        <w:tc>
          <w:tcPr>
            <w:tcW w:w="100" w:type="dxa"/>
            <w:vAlign w:val="bottom"/>
            <w:shd w:val="clear" w:color="auto" w:fill="CFF0FC"/>
          </w:tcPr>
          <w:p>
            <w:pPr>
              <w:spacing w:after="0"/>
              <w:rPr>
                <w:sz w:val="21"/>
                <w:szCs w:val="21"/>
                <w:color w:val="auto"/>
              </w:rPr>
            </w:pPr>
          </w:p>
        </w:tc>
      </w:tr>
      <w:tr>
        <w:trPr>
          <w:trHeight w:val="239"/>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16,759</w:t>
            </w:r>
          </w:p>
        </w:tc>
        <w:tc>
          <w:tcPr>
            <w:tcW w:w="100" w:type="dxa"/>
            <w:vAlign w:val="bottom"/>
          </w:tcPr>
          <w:p>
            <w:pPr>
              <w:spacing w:after="0"/>
              <w:rPr>
                <w:sz w:val="20"/>
                <w:szCs w:val="20"/>
                <w:color w:val="auto"/>
              </w:rPr>
            </w:pPr>
          </w:p>
        </w:tc>
      </w:tr>
      <w:tr>
        <w:trPr>
          <w:trHeight w:val="237"/>
        </w:trPr>
        <w:tc>
          <w:tcPr>
            <w:tcW w:w="54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53,419</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50,804</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203,933</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180,028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420" w:type="dxa"/>
            <w:vAlign w:val="bottom"/>
            <w:shd w:val="clear" w:color="auto" w:fill="CFF0FC"/>
          </w:tcPr>
          <w:p>
            <w:pPr>
              <w:ind w:left="200"/>
              <w:spacing w:after="0" w:line="248"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23,605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94,534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89,585</w:t>
            </w:r>
          </w:p>
        </w:tc>
        <w:tc>
          <w:tcPr>
            <w:tcW w:w="100" w:type="dxa"/>
            <w:vAlign w:val="bottom"/>
            <w:shd w:val="clear" w:color="auto" w:fill="CFF0FC"/>
          </w:tcPr>
          <w:p>
            <w:pPr>
              <w:spacing w:after="0"/>
              <w:rPr>
                <w:sz w:val="21"/>
                <w:szCs w:val="21"/>
                <w:color w:val="auto"/>
              </w:rPr>
            </w:pPr>
          </w:p>
        </w:tc>
      </w:tr>
      <w:tr>
        <w:trPr>
          <w:trHeight w:val="243"/>
        </w:trPr>
        <w:tc>
          <w:tcPr>
            <w:tcW w:w="542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Product development </w:t>
            </w:r>
            <w:r>
              <w:rPr>
                <w:rFonts w:ascii="Times New Roman" w:cs="Times New Roman" w:eastAsia="Times New Roman" w:hAnsi="Times New Roman"/>
                <w:sz w:val="24"/>
                <w:szCs w:val="24"/>
                <w:color w:val="auto"/>
                <w:vertAlign w:val="superscript"/>
              </w:rPr>
              <w:t>(1)</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10,129</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34,890</w:t>
            </w:r>
          </w:p>
        </w:tc>
        <w:tc>
          <w:tcPr>
            <w:tcW w:w="100" w:type="dxa"/>
            <w:vAlign w:val="bottom"/>
          </w:tcPr>
          <w:p>
            <w:pPr>
              <w:spacing w:after="0"/>
              <w:rPr>
                <w:sz w:val="21"/>
                <w:szCs w:val="21"/>
                <w:color w:val="auto"/>
              </w:rPr>
            </w:pPr>
          </w:p>
        </w:tc>
      </w:tr>
      <w:tr>
        <w:trPr>
          <w:trHeight w:val="243"/>
        </w:trPr>
        <w:tc>
          <w:tcPr>
            <w:tcW w:w="542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58,861</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51,561</w:t>
            </w:r>
          </w:p>
        </w:tc>
        <w:tc>
          <w:tcPr>
            <w:tcW w:w="100" w:type="dxa"/>
            <w:vAlign w:val="bottom"/>
            <w:shd w:val="clear" w:color="auto" w:fill="CFF0FC"/>
          </w:tcPr>
          <w:p>
            <w:pPr>
              <w:spacing w:after="0"/>
              <w:rPr>
                <w:sz w:val="21"/>
                <w:szCs w:val="21"/>
                <w:color w:val="auto"/>
              </w:rPr>
            </w:pPr>
          </w:p>
        </w:tc>
      </w:tr>
      <w:tr>
        <w:trPr>
          <w:trHeight w:val="239"/>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40,145</w:t>
            </w:r>
          </w:p>
        </w:tc>
        <w:tc>
          <w:tcPr>
            <w:tcW w:w="100" w:type="dxa"/>
            <w:vAlign w:val="bottom"/>
          </w:tcPr>
          <w:p>
            <w:pPr>
              <w:spacing w:after="0"/>
              <w:rPr>
                <w:sz w:val="20"/>
                <w:szCs w:val="20"/>
                <w:color w:val="auto"/>
              </w:rPr>
            </w:pPr>
          </w:p>
        </w:tc>
      </w:tr>
      <w:tr>
        <w:trPr>
          <w:trHeight w:val="247"/>
        </w:trPr>
        <w:tc>
          <w:tcPr>
            <w:tcW w:w="5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integration, and restructuring expenses</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11,489</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100" w:type="dxa"/>
            <w:vAlign w:val="bottom"/>
            <w:shd w:val="clear" w:color="auto" w:fill="CFF0FC"/>
          </w:tcPr>
          <w:p>
            <w:pPr>
              <w:spacing w:after="0"/>
              <w:rPr>
                <w:sz w:val="21"/>
                <w:szCs w:val="21"/>
                <w:color w:val="auto"/>
              </w:rPr>
            </w:pPr>
          </w:p>
        </w:tc>
      </w:tr>
      <w:tr>
        <w:trPr>
          <w:trHeight w:val="239"/>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tcPr>
          <w:p>
            <w:pPr>
              <w:spacing w:after="0"/>
              <w:rPr>
                <w:sz w:val="20"/>
                <w:szCs w:val="20"/>
                <w:color w:val="auto"/>
              </w:rPr>
            </w:pPr>
          </w:p>
        </w:tc>
        <w:tc>
          <w:tcPr>
            <w:tcW w:w="13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287,400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4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63,499</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61,341</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533,733</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224,071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20"/>
                <w:szCs w:val="20"/>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(10,080 )</w:t>
            </w:r>
          </w:p>
        </w:tc>
        <w:tc>
          <w:tcPr>
            <w:tcW w:w="220" w:type="dxa"/>
            <w:vAlign w:val="bottom"/>
          </w:tcPr>
          <w:p>
            <w:pPr>
              <w:spacing w:after="0"/>
              <w:rPr>
                <w:sz w:val="20"/>
                <w:szCs w:val="20"/>
                <w:color w:val="auto"/>
              </w:rPr>
            </w:pP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(10,537 )</w:t>
            </w:r>
          </w:p>
        </w:tc>
        <w:tc>
          <w:tcPr>
            <w:tcW w:w="2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(329,800 )</w:t>
            </w: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(44,043 )</w:t>
            </w:r>
          </w:p>
        </w:tc>
      </w:tr>
      <w:tr>
        <w:trPr>
          <w:trHeight w:val="247"/>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20"/>
                <w:szCs w:val="20"/>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(125 )</w:t>
            </w:r>
          </w:p>
        </w:tc>
        <w:tc>
          <w:tcPr>
            <w:tcW w:w="220" w:type="dxa"/>
            <w:vAlign w:val="bottom"/>
          </w:tcPr>
          <w:p>
            <w:pPr>
              <w:spacing w:after="0"/>
              <w:rPr>
                <w:sz w:val="20"/>
                <w:szCs w:val="20"/>
                <w:color w:val="auto"/>
              </w:rPr>
            </w:pP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(1,483 )</w:t>
            </w:r>
          </w:p>
        </w:tc>
        <w:tc>
          <w:tcPr>
            <w:tcW w:w="2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(1,559 )</w:t>
            </w: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(8,413 )</w:t>
            </w:r>
          </w:p>
        </w:tc>
      </w:tr>
      <w:tr>
        <w:trPr>
          <w:trHeight w:val="247"/>
        </w:trPr>
        <w:tc>
          <w:tcPr>
            <w:tcW w:w="5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(1,982 )</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23,179</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100" w:type="dxa"/>
            <w:vAlign w:val="bottom"/>
            <w:shd w:val="clear" w:color="auto" w:fill="CFF0FC"/>
          </w:tcPr>
          <w:p>
            <w:pPr>
              <w:spacing w:after="0"/>
              <w:rPr>
                <w:sz w:val="21"/>
                <w:szCs w:val="21"/>
                <w:color w:val="auto"/>
              </w:rPr>
            </w:pPr>
          </w:p>
        </w:tc>
      </w:tr>
      <w:tr>
        <w:trPr>
          <w:trHeight w:val="232"/>
        </w:trPr>
        <w:tc>
          <w:tcPr>
            <w:tcW w:w="5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21,620</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tcPr>
          <w:p>
            <w:pPr>
              <w:spacing w:after="0"/>
              <w:rPr>
                <w:sz w:val="20"/>
                <w:szCs w:val="20"/>
                <w:color w:val="auto"/>
              </w:rPr>
            </w:pPr>
          </w:p>
        </w:tc>
      </w:tr>
      <w:tr>
        <w:trPr>
          <w:trHeight w:val="241"/>
        </w:trPr>
        <w:tc>
          <w:tcPr>
            <w:tcW w:w="54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(12,187 )</w:t>
            </w:r>
          </w:p>
        </w:tc>
        <w:tc>
          <w:tcPr>
            <w:tcW w:w="2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(11,157 )</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(308,180 )</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(41,877 )</w:t>
            </w:r>
          </w:p>
        </w:tc>
      </w:tr>
      <w:tr>
        <w:trPr>
          <w:trHeight w:val="239"/>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00" w:type="dxa"/>
            <w:vAlign w:val="bottom"/>
          </w:tcPr>
          <w:p>
            <w:pPr>
              <w:spacing w:after="0"/>
              <w:rPr>
                <w:sz w:val="20"/>
                <w:szCs w:val="20"/>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(1,175 )</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17,698</w:t>
            </w:r>
          </w:p>
        </w:tc>
        <w:tc>
          <w:tcPr>
            <w:tcW w:w="100" w:type="dxa"/>
            <w:vAlign w:val="bottom"/>
          </w:tcPr>
          <w:p>
            <w:pPr>
              <w:spacing w:after="0"/>
              <w:rPr>
                <w:sz w:val="20"/>
                <w:szCs w:val="20"/>
                <w:color w:val="auto"/>
              </w:rPr>
            </w:pPr>
          </w:p>
        </w:tc>
      </w:tr>
      <w:tr>
        <w:trPr>
          <w:trHeight w:val="20"/>
        </w:trPr>
        <w:tc>
          <w:tcPr>
            <w:tcW w:w="5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54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(13,362 )</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(289,627 )</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(24,179 )</w:t>
            </w:r>
          </w:p>
        </w:tc>
      </w:tr>
      <w:tr>
        <w:trPr>
          <w:trHeight w:val="239"/>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00" w:type="dxa"/>
            <w:vAlign w:val="bottom"/>
          </w:tcPr>
          <w:p>
            <w:pPr>
              <w:spacing w:after="0"/>
              <w:rPr>
                <w:sz w:val="20"/>
                <w:szCs w:val="20"/>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(3,129 )</w:t>
            </w:r>
          </w:p>
        </w:tc>
        <w:tc>
          <w:tcPr>
            <w:tcW w:w="220" w:type="dxa"/>
            <w:vAlign w:val="bottom"/>
          </w:tcPr>
          <w:p>
            <w:pPr>
              <w:spacing w:after="0"/>
              <w:rPr>
                <w:sz w:val="20"/>
                <w:szCs w:val="20"/>
                <w:color w:val="auto"/>
              </w:rPr>
            </w:pP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(3,978 )</w:t>
            </w:r>
          </w:p>
        </w:tc>
        <w:tc>
          <w:tcPr>
            <w:tcW w:w="2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(87,239 )</w:t>
            </w: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(16,957 )</w:t>
            </w:r>
          </w:p>
        </w:tc>
      </w:tr>
      <w:tr>
        <w:trPr>
          <w:trHeight w:val="20"/>
        </w:trPr>
        <w:tc>
          <w:tcPr>
            <w:tcW w:w="5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1"/>
        </w:trPr>
        <w:tc>
          <w:tcPr>
            <w:tcW w:w="54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(loss) income attributable to Definitive Healthcare Corp.</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(10,233 )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9,865</w:t>
            </w:r>
          </w:p>
        </w:tc>
        <w:tc>
          <w:tcPr>
            <w:tcW w:w="26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(202,388 )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(7,222 )</w:t>
            </w:r>
          </w:p>
        </w:tc>
      </w:tr>
      <w:tr>
        <w:trPr>
          <w:trHeight w:val="219"/>
        </w:trPr>
        <w:tc>
          <w:tcPr>
            <w:tcW w:w="5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(loss) income per share of Class A Common Stock:</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67"/>
        </w:trPr>
        <w:tc>
          <w:tcPr>
            <w:tcW w:w="5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(0.09 )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shd w:val="clear" w:color="auto" w:fill="CFF0FC"/>
          </w:tcPr>
          <w:p>
            <w:pPr>
              <w:spacing w:after="0"/>
              <w:rPr>
                <w:sz w:val="23"/>
                <w:szCs w:val="23"/>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(1.79 )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(0.07 )</w:t>
            </w: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5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(0.09 )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(0.07 )</w:t>
            </w:r>
          </w:p>
        </w:tc>
      </w:tr>
      <w:tr>
        <w:trPr>
          <w:trHeight w:val="20"/>
        </w:trPr>
        <w:tc>
          <w:tcPr>
            <w:tcW w:w="5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Stock outstanding:</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116,418,495</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105,082,585</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112,764,537</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101,114,105</w:t>
            </w:r>
          </w:p>
        </w:tc>
        <w:tc>
          <w:tcPr>
            <w:tcW w:w="100" w:type="dxa"/>
            <w:vAlign w:val="bottom"/>
          </w:tcPr>
          <w:p>
            <w:pPr>
              <w:spacing w:after="0"/>
              <w:rPr>
                <w:sz w:val="21"/>
                <w:szCs w:val="21"/>
                <w:color w:val="auto"/>
              </w:rPr>
            </w:pPr>
          </w:p>
        </w:tc>
      </w:tr>
      <w:tr>
        <w:trPr>
          <w:trHeight w:val="20"/>
        </w:trPr>
        <w:tc>
          <w:tcPr>
            <w:tcW w:w="5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4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116,418,495</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154,006,454</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112,764,537</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101,114,105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542"/>
        </w:trPr>
        <w:tc>
          <w:tcPr>
            <w:tcW w:w="5420" w:type="dxa"/>
            <w:vAlign w:val="bottom"/>
          </w:tcPr>
          <w:p>
            <w:pPr>
              <w:ind w:left="20"/>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Amounts include equity-based compensation expense as follows: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5"/>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0" w:type="dxa"/>
            <w:vAlign w:val="bottom"/>
          </w:tcPr>
          <w:p>
            <w:pPr>
              <w:spacing w:after="0"/>
              <w:rPr>
                <w:sz w:val="24"/>
                <w:szCs w:val="24"/>
                <w:color w:val="auto"/>
              </w:rPr>
            </w:pPr>
          </w:p>
        </w:tc>
        <w:tc>
          <w:tcPr>
            <w:tcW w:w="25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3"/>
        </w:trPr>
        <w:tc>
          <w:tcPr>
            <w:tcW w:w="5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FF0FC"/>
          </w:tcPr>
          <w:p>
            <w:pPr>
              <w:spacing w:after="0"/>
              <w:rPr>
                <w:sz w:val="20"/>
                <w:szCs w:val="20"/>
                <w:color w:val="auto"/>
              </w:rPr>
            </w:pPr>
          </w:p>
        </w:tc>
      </w:tr>
      <w:tr>
        <w:trPr>
          <w:trHeight w:val="23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13,508</w:t>
            </w:r>
          </w:p>
        </w:tc>
        <w:tc>
          <w:tcPr>
            <w:tcW w:w="100" w:type="dxa"/>
            <w:vAlign w:val="bottom"/>
          </w:tcPr>
          <w:p>
            <w:pPr>
              <w:spacing w:after="0"/>
              <w:rPr>
                <w:sz w:val="20"/>
                <w:szCs w:val="20"/>
                <w:color w:val="auto"/>
              </w:rPr>
            </w:pPr>
          </w:p>
        </w:tc>
      </w:tr>
      <w:tr>
        <w:trPr>
          <w:trHeight w:val="247"/>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13,138</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00" w:type="dxa"/>
            <w:vAlign w:val="bottom"/>
            <w:shd w:val="clear" w:color="auto" w:fill="CFF0FC"/>
          </w:tcPr>
          <w:p>
            <w:pPr>
              <w:spacing w:after="0"/>
              <w:rPr>
                <w:sz w:val="21"/>
                <w:szCs w:val="21"/>
                <w:color w:val="auto"/>
              </w:rPr>
            </w:pP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23,097</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14,179</w:t>
            </w:r>
          </w:p>
        </w:tc>
        <w:tc>
          <w:tcPr>
            <w:tcW w:w="100" w:type="dxa"/>
            <w:vAlign w:val="bottom"/>
          </w:tcPr>
          <w:p>
            <w:pPr>
              <w:spacing w:after="0"/>
              <w:rPr>
                <w:sz w:val="21"/>
                <w:szCs w:val="21"/>
                <w:color w:val="auto"/>
              </w:rPr>
            </w:pPr>
          </w:p>
        </w:tc>
      </w:tr>
      <w:tr>
        <w:trPr>
          <w:trHeight w:val="276"/>
        </w:trPr>
        <w:tc>
          <w:tcPr>
            <w:tcW w:w="54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13,254</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48,739</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392"/>
        </w:trPr>
        <w:tc>
          <w:tcPr>
            <w:tcW w:w="5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-6402705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-6402705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-6402705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-6402705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-5151120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-5151120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-5151120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-5151120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-4538345</wp:posOffset>
            </wp:positionV>
            <wp:extent cx="102235" cy="196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-4538345</wp:posOffset>
            </wp:positionV>
            <wp:extent cx="102870" cy="196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6130290</wp:posOffset>
            </wp:positionH>
            <wp:positionV relativeFrom="paragraph">
              <wp:posOffset>-4538345</wp:posOffset>
            </wp:positionV>
            <wp:extent cx="93980" cy="196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-4538345</wp:posOffset>
            </wp:positionV>
            <wp:extent cx="93980" cy="196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-3565525</wp:posOffset>
            </wp:positionV>
            <wp:extent cx="768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-3548380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-3565525</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-3548380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-3565525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-3548380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-3565525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-3548380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-3230880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-3213735</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-3230880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-3213735</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-3230880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-3213735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-3230880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-3213735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-2536825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-2519680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-2536825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-2519680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-2536825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-2519680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-933450</wp:posOffset>
            </wp:positionV>
            <wp:extent cx="76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-916305</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-933450</wp:posOffset>
            </wp:positionV>
            <wp:extent cx="77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-916305</wp:posOffset>
            </wp:positionV>
            <wp:extent cx="774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-933450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-916305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(amounts in thousands;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60" w:type="dxa"/>
            <w:vAlign w:val="bottom"/>
          </w:tcPr>
          <w:p>
            <w:pPr>
              <w:spacing w:after="0"/>
              <w:rPr>
                <w:sz w:val="16"/>
                <w:szCs w:val="16"/>
                <w:color w:val="auto"/>
              </w:rPr>
            </w:pPr>
          </w:p>
        </w:tc>
        <w:tc>
          <w:tcPr>
            <w:tcW w:w="23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09"/>
        </w:trPr>
        <w:tc>
          <w:tcPr>
            <w:tcW w:w="58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r>
      <w:tr>
        <w:trPr>
          <w:trHeight w:val="22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provided by (used in) operating activities:</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(loss)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(13,362 )</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5,887</w:t>
            </w:r>
          </w:p>
        </w:tc>
        <w:tc>
          <w:tcPr>
            <w:tcW w:w="240" w:type="dxa"/>
            <w:vAlign w:val="bottom"/>
          </w:tcPr>
          <w:p>
            <w:pPr>
              <w:spacing w:after="0"/>
              <w:rPr>
                <w:sz w:val="19"/>
                <w:szCs w:val="19"/>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(289,627 )</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(24,179 )</w:t>
            </w:r>
          </w:p>
        </w:tc>
      </w:tr>
      <w:tr>
        <w:trPr>
          <w:trHeight w:val="212"/>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income to net cash (used in) provided by operating</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activities:</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8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100" w:type="dxa"/>
            <w:vAlign w:val="bottom"/>
          </w:tcPr>
          <w:p>
            <w:pPr>
              <w:spacing w:after="0"/>
              <w:rPr>
                <w:sz w:val="19"/>
                <w:szCs w:val="19"/>
                <w:color w:val="auto"/>
              </w:rPr>
            </w:pPr>
          </w:p>
        </w:tc>
      </w:tr>
      <w:tr>
        <w:trPr>
          <w:trHeight w:val="239"/>
        </w:trPr>
        <w:tc>
          <w:tcPr>
            <w:tcW w:w="582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12,439</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12,214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49,797</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54,711</w:t>
            </w:r>
          </w:p>
        </w:tc>
        <w:tc>
          <w:tcPr>
            <w:tcW w:w="100" w:type="dxa"/>
            <w:vAlign w:val="bottom"/>
            <w:shd w:val="clear" w:color="auto" w:fill="CFF0FC"/>
          </w:tcPr>
          <w:p>
            <w:pPr>
              <w:spacing w:after="0"/>
              <w:rPr>
                <w:sz w:val="20"/>
                <w:szCs w:val="20"/>
                <w:color w:val="auto"/>
              </w:rPr>
            </w:pPr>
          </w:p>
        </w:tc>
      </w:tr>
      <w:tr>
        <w:trPr>
          <w:trHeight w:val="220"/>
        </w:trPr>
        <w:tc>
          <w:tcPr>
            <w:tcW w:w="58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Amortization of deferred contract costs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8,816</w:t>
            </w:r>
          </w:p>
        </w:tc>
        <w:tc>
          <w:tcPr>
            <w:tcW w:w="100" w:type="dxa"/>
            <w:vAlign w:val="bottom"/>
          </w:tcPr>
          <w:p>
            <w:pPr>
              <w:spacing w:after="0"/>
              <w:rPr>
                <w:sz w:val="19"/>
                <w:szCs w:val="19"/>
                <w:color w:val="auto"/>
              </w:rPr>
            </w:pPr>
          </w:p>
        </w:tc>
      </w:tr>
      <w:tr>
        <w:trPr>
          <w:trHeight w:val="239"/>
        </w:trPr>
        <w:tc>
          <w:tcPr>
            <w:tcW w:w="582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13,254</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11,424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48,739</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36,434</w:t>
            </w:r>
          </w:p>
        </w:tc>
        <w:tc>
          <w:tcPr>
            <w:tcW w:w="100" w:type="dxa"/>
            <w:vAlign w:val="bottom"/>
            <w:shd w:val="clear" w:color="auto" w:fill="CFF0FC"/>
          </w:tcPr>
          <w:p>
            <w:pPr>
              <w:spacing w:after="0"/>
              <w:rPr>
                <w:sz w:val="20"/>
                <w:szCs w:val="20"/>
                <w:color w:val="auto"/>
              </w:rPr>
            </w:pPr>
          </w:p>
        </w:tc>
      </w:tr>
      <w:tr>
        <w:trPr>
          <w:trHeight w:val="220"/>
        </w:trPr>
        <w:tc>
          <w:tcPr>
            <w:tcW w:w="58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00" w:type="dxa"/>
            <w:vAlign w:val="bottom"/>
          </w:tcPr>
          <w:p>
            <w:pPr>
              <w:spacing w:after="0"/>
              <w:rPr>
                <w:sz w:val="19"/>
                <w:szCs w:val="19"/>
                <w:color w:val="auto"/>
              </w:rPr>
            </w:pPr>
          </w:p>
        </w:tc>
      </w:tr>
      <w:tr>
        <w:trPr>
          <w:trHeight w:val="239"/>
        </w:trPr>
        <w:tc>
          <w:tcPr>
            <w:tcW w:w="582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Provision for doubtful accounts receivable</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100" w:type="dxa"/>
            <w:vAlign w:val="bottom"/>
            <w:shd w:val="clear" w:color="auto" w:fill="CFF0FC"/>
          </w:tcPr>
          <w:p>
            <w:pPr>
              <w:spacing w:after="0"/>
              <w:rPr>
                <w:sz w:val="20"/>
                <w:szCs w:val="20"/>
                <w:color w:val="auto"/>
              </w:rPr>
            </w:pPr>
          </w:p>
        </w:tc>
      </w:tr>
      <w:tr>
        <w:trPr>
          <w:trHeight w:val="220"/>
        </w:trPr>
        <w:tc>
          <w:tcPr>
            <w:tcW w:w="58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Non-cash restructuring charges related to office leases</w:t>
            </w:r>
          </w:p>
        </w:tc>
        <w:tc>
          <w:tcPr>
            <w:tcW w:w="1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100" w:type="dxa"/>
            <w:vAlign w:val="bottom"/>
          </w:tcPr>
          <w:p>
            <w:pPr>
              <w:spacing w:after="0"/>
              <w:rPr>
                <w:sz w:val="19"/>
                <w:szCs w:val="19"/>
                <w:color w:val="auto"/>
              </w:rPr>
            </w:pPr>
          </w:p>
        </w:tc>
      </w:tr>
      <w:tr>
        <w:trPr>
          <w:trHeight w:val="239"/>
        </w:trPr>
        <w:tc>
          <w:tcPr>
            <w:tcW w:w="582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Goodwill impairment charge</w:t>
            </w:r>
          </w:p>
        </w:tc>
        <w:tc>
          <w:tcPr>
            <w:tcW w:w="1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287,400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8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Tax receivable agreement remeasurement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(1,134 )</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(23,470 )</w:t>
            </w: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(9,717 )</w:t>
            </w:r>
          </w:p>
        </w:tc>
      </w:tr>
      <w:tr>
        <w:trPr>
          <w:trHeight w:val="239"/>
        </w:trPr>
        <w:tc>
          <w:tcPr>
            <w:tcW w:w="582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Changes in fair value of contingent consideration</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shd w:val="clear" w:color="auto" w:fill="CFF0FC"/>
          </w:tcPr>
          <w:p>
            <w:pPr>
              <w:spacing w:after="0"/>
              <w:rPr>
                <w:sz w:val="20"/>
                <w:szCs w:val="20"/>
                <w:color w:val="auto"/>
              </w:rPr>
            </w:pPr>
          </w:p>
        </w:tc>
      </w:tr>
      <w:tr>
        <w:trPr>
          <w:trHeight w:val="220"/>
        </w:trPr>
        <w:tc>
          <w:tcPr>
            <w:tcW w:w="58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(17,087 )</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(18,713 )</w:t>
            </w: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(17,806 )</w:t>
            </w:r>
          </w:p>
        </w:tc>
      </w:tr>
      <w:tr>
        <w:trPr>
          <w:trHeight w:val="239"/>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58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(18,559 )</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(25,676 )</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(13,222 )</w:t>
            </w:r>
          </w:p>
        </w:tc>
      </w:tr>
      <w:tr>
        <w:trPr>
          <w:trHeight w:val="239"/>
        </w:trPr>
        <w:tc>
          <w:tcPr>
            <w:tcW w:w="582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(1,348 )</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(2,681 )</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(7,156 )</w:t>
            </w: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(127 )</w:t>
            </w:r>
          </w:p>
        </w:tc>
      </w:tr>
      <w:tr>
        <w:trPr>
          <w:trHeight w:val="220"/>
        </w:trPr>
        <w:tc>
          <w:tcPr>
            <w:tcW w:w="58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Deferred contract costs</w:t>
            </w:r>
          </w:p>
        </w:tc>
        <w:tc>
          <w:tcPr>
            <w:tcW w:w="1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(5,770 )</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(5,182 )</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(18,790 )</w:t>
            </w: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(15,252 )</w:t>
            </w:r>
          </w:p>
        </w:tc>
      </w:tr>
      <w:tr>
        <w:trPr>
          <w:trHeight w:val="239"/>
        </w:trPr>
        <w:tc>
          <w:tcPr>
            <w:tcW w:w="582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(6,400 )</w:t>
            </w:r>
          </w:p>
        </w:tc>
      </w:tr>
      <w:tr>
        <w:trPr>
          <w:trHeight w:val="220"/>
        </w:trPr>
        <w:tc>
          <w:tcPr>
            <w:tcW w:w="58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(2,694 )</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3,138</w:t>
            </w:r>
          </w:p>
        </w:tc>
        <w:tc>
          <w:tcPr>
            <w:tcW w:w="100" w:type="dxa"/>
            <w:vAlign w:val="bottom"/>
          </w:tcPr>
          <w:p>
            <w:pPr>
              <w:spacing w:after="0"/>
              <w:rPr>
                <w:sz w:val="19"/>
                <w:szCs w:val="19"/>
                <w:color w:val="auto"/>
              </w:rPr>
            </w:pPr>
          </w:p>
        </w:tc>
      </w:tr>
      <w:tr>
        <w:trPr>
          <w:trHeight w:val="229"/>
        </w:trPr>
        <w:tc>
          <w:tcPr>
            <w:tcW w:w="582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7,533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15,714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(6,580 )</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12,690</w:t>
            </w:r>
          </w:p>
        </w:tc>
        <w:tc>
          <w:tcPr>
            <w:tcW w:w="100" w:type="dxa"/>
            <w:vAlign w:val="bottom"/>
            <w:shd w:val="clear" w:color="auto" w:fill="CFF0FC"/>
          </w:tcPr>
          <w:p>
            <w:pPr>
              <w:spacing w:after="0"/>
              <w:rPr>
                <w:sz w:val="19"/>
                <w:szCs w:val="19"/>
                <w:color w:val="auto"/>
              </w:rPr>
            </w:pPr>
          </w:p>
        </w:tc>
      </w:tr>
      <w:tr>
        <w:trPr>
          <w:trHeight w:val="23"/>
        </w:trPr>
        <w:tc>
          <w:tcPr>
            <w:tcW w:w="58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(4,220 )</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41,190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35,579</w:t>
            </w:r>
          </w:p>
        </w:tc>
        <w:tc>
          <w:tcPr>
            <w:tcW w:w="100" w:type="dxa"/>
            <w:vAlign w:val="bottom"/>
          </w:tcPr>
          <w:p>
            <w:pPr>
              <w:spacing w:after="0"/>
              <w:rPr>
                <w:sz w:val="19"/>
                <w:szCs w:val="19"/>
                <w:color w:val="auto"/>
              </w:rPr>
            </w:pPr>
          </w:p>
        </w:tc>
      </w:tr>
      <w:tr>
        <w:trPr>
          <w:trHeight w:val="23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provided by investing activities:</w:t>
            </w: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Purchases of property, equipment, and other assets</w:t>
            </w:r>
          </w:p>
        </w:tc>
        <w:tc>
          <w:tcPr>
            <w:tcW w:w="1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(594 )</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(4,871 )</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(2,977 )</w:t>
            </w: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(8,326 )</w:t>
            </w:r>
          </w:p>
        </w:tc>
      </w:tr>
      <w:tr>
        <w:trPr>
          <w:trHeight w:val="239"/>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1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(45,595 )</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(120,695 )</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(259,208 )</w:t>
            </w: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(337,961 )</w:t>
            </w:r>
          </w:p>
        </w:tc>
      </w:tr>
      <w:tr>
        <w:trPr>
          <w:trHeight w:val="220"/>
        </w:trPr>
        <w:tc>
          <w:tcPr>
            <w:tcW w:w="5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Maturities of short-term investments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100,596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57,680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275,426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153,680</w:t>
            </w:r>
          </w:p>
        </w:tc>
        <w:tc>
          <w:tcPr>
            <w:tcW w:w="100" w:type="dxa"/>
            <w:vAlign w:val="bottom"/>
          </w:tcPr>
          <w:p>
            <w:pPr>
              <w:spacing w:after="0"/>
              <w:rPr>
                <w:sz w:val="19"/>
                <w:szCs w:val="19"/>
                <w:color w:val="auto"/>
              </w:rPr>
            </w:pPr>
          </w:p>
        </w:tc>
      </w:tr>
      <w:tr>
        <w:trPr>
          <w:trHeight w:val="230"/>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Cash paid for acquisitions and investments, net of cash acquired</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(45,023 )</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(56,296 )</w:t>
            </w:r>
          </w:p>
        </w:tc>
      </w:tr>
      <w:tr>
        <w:trPr>
          <w:trHeight w:val="23"/>
        </w:trPr>
        <w:tc>
          <w:tcPr>
            <w:tcW w:w="58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54,407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(67,886 )</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(31,782 )</w:t>
            </w: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(248,903 )</w:t>
            </w:r>
          </w:p>
        </w:tc>
      </w:tr>
      <w:tr>
        <w:trPr>
          <w:trHeight w:val="22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financing activities:</w:t>
            </w: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Repayments of term loans and delayed draw term loan</w:t>
            </w:r>
          </w:p>
        </w:tc>
        <w:tc>
          <w:tcPr>
            <w:tcW w:w="1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(3,438 )</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(1,719 )</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(8,594 )</w:t>
            </w: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(6,875 )</w:t>
            </w:r>
          </w:p>
        </w:tc>
      </w:tr>
      <w:tr>
        <w:trPr>
          <w:trHeight w:val="239"/>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1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(1,035 )</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(1,371 )</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(4,432 )</w:t>
            </w: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(4,116 )</w:t>
            </w:r>
          </w:p>
        </w:tc>
      </w:tr>
      <w:tr>
        <w:trPr>
          <w:trHeight w:val="220"/>
        </w:trPr>
        <w:tc>
          <w:tcPr>
            <w:tcW w:w="5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1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(1,100 )</w:t>
            </w:r>
          </w:p>
        </w:tc>
      </w:tr>
      <w:tr>
        <w:trPr>
          <w:trHeight w:val="239"/>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Payments under tax receivable agreement</w:t>
            </w:r>
          </w:p>
        </w:tc>
        <w:tc>
          <w:tcPr>
            <w:tcW w:w="1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(246 )</w:t>
            </w: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Payments of equity offering issuance costs</w:t>
            </w:r>
          </w:p>
        </w:tc>
        <w:tc>
          <w:tcPr>
            <w:tcW w:w="1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(435 )</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(30 )</w:t>
            </w: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(1,734 )</w:t>
            </w:r>
          </w:p>
        </w:tc>
      </w:tr>
      <w:tr>
        <w:trPr>
          <w:trHeight w:val="229"/>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Member distributions</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(1,589 )</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(5,932 )</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(12,282 )</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(12,871 )</w:t>
            </w:r>
          </w:p>
        </w:tc>
      </w:tr>
      <w:tr>
        <w:trPr>
          <w:trHeight w:val="23"/>
        </w:trPr>
        <w:tc>
          <w:tcPr>
            <w:tcW w:w="58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(6,062 )</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(9,457 )</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(25,584 )</w:t>
            </w: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(26,696 )</w:t>
            </w:r>
          </w:p>
        </w:tc>
      </w:tr>
      <w:tr>
        <w:trPr>
          <w:trHeight w:val="23"/>
        </w:trPr>
        <w:tc>
          <w:tcPr>
            <w:tcW w:w="5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53,054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(81,563 )</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(16,176 )</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(240,020 )</w:t>
            </w:r>
          </w:p>
        </w:tc>
      </w:tr>
      <w:tr>
        <w:trPr>
          <w:trHeight w:val="220"/>
        </w:trPr>
        <w:tc>
          <w:tcPr>
            <w:tcW w:w="5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(331 )</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(544 )</w:t>
            </w:r>
          </w:p>
        </w:tc>
      </w:tr>
      <w:tr>
        <w:trPr>
          <w:trHeight w:val="233"/>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77,460</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228,828</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146,934</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387,498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5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and cash equivalents, end of year</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130,976</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146,934</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130,976</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146,934</w:t>
            </w:r>
          </w:p>
        </w:tc>
        <w:tc>
          <w:tcPr>
            <w:tcW w:w="10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5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paid during the year for:</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Interest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3,195</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14,456</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10,443</w:t>
            </w:r>
          </w:p>
        </w:tc>
        <w:tc>
          <w:tcPr>
            <w:tcW w:w="100" w:type="dxa"/>
            <w:vAlign w:val="bottom"/>
            <w:shd w:val="clear" w:color="auto" w:fill="CFF0FC"/>
          </w:tcPr>
          <w:p>
            <w:pPr>
              <w:spacing w:after="0"/>
              <w:rPr>
                <w:sz w:val="20"/>
                <w:szCs w:val="20"/>
                <w:color w:val="auto"/>
              </w:rPr>
            </w:pPr>
          </w:p>
        </w:tc>
      </w:tr>
      <w:tr>
        <w:trPr>
          <w:trHeight w:val="220"/>
        </w:trPr>
        <w:tc>
          <w:tcPr>
            <w:tcW w:w="5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taxes</w:t>
            </w:r>
          </w:p>
        </w:tc>
        <w:tc>
          <w:tcPr>
            <w:tcW w:w="1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Acquisitions:</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58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assets acquired, net of cash acquired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52,678</w:t>
            </w:r>
          </w:p>
        </w:tc>
        <w:tc>
          <w:tcPr>
            <w:tcW w:w="24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97,296</w:t>
            </w:r>
          </w:p>
        </w:tc>
        <w:tc>
          <w:tcPr>
            <w:tcW w:w="100" w:type="dxa"/>
            <w:vAlign w:val="bottom"/>
          </w:tcPr>
          <w:p>
            <w:pPr>
              <w:spacing w:after="0"/>
              <w:rPr>
                <w:sz w:val="19"/>
                <w:szCs w:val="19"/>
                <w:color w:val="auto"/>
              </w:rPr>
            </w:pPr>
          </w:p>
        </w:tc>
      </w:tr>
      <w:tr>
        <w:trPr>
          <w:trHeight w:val="239"/>
        </w:trPr>
        <w:tc>
          <w:tcPr>
            <w:tcW w:w="5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Working capital adjustment receivable</w:t>
            </w:r>
          </w:p>
        </w:tc>
        <w:tc>
          <w:tcPr>
            <w:tcW w:w="1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8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Initial cash investment in prior year</w:t>
            </w:r>
          </w:p>
        </w:tc>
        <w:tc>
          <w:tcPr>
            <w:tcW w:w="1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(40,000 )</w:t>
            </w:r>
          </w:p>
        </w:tc>
      </w:tr>
      <w:tr>
        <w:trPr>
          <w:trHeight w:val="239"/>
        </w:trPr>
        <w:tc>
          <w:tcPr>
            <w:tcW w:w="5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(7,800 )</w:t>
            </w: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(1,000 )</w:t>
            </w:r>
          </w:p>
        </w:tc>
      </w:tr>
      <w:tr>
        <w:trPr>
          <w:trHeight w:val="216"/>
        </w:trPr>
        <w:tc>
          <w:tcPr>
            <w:tcW w:w="58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Net cash paid for acquisitions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45,023</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56,296</w:t>
            </w:r>
          </w:p>
        </w:tc>
        <w:tc>
          <w:tcPr>
            <w:tcW w:w="100" w:type="dxa"/>
            <w:vAlign w:val="bottom"/>
          </w:tcPr>
          <w:p>
            <w:pPr>
              <w:spacing w:after="0"/>
              <w:rPr>
                <w:sz w:val="18"/>
                <w:szCs w:val="18"/>
                <w:color w:val="auto"/>
              </w:rPr>
            </w:pPr>
          </w:p>
        </w:tc>
      </w:tr>
      <w:tr>
        <w:trPr>
          <w:trHeight w:val="229"/>
        </w:trPr>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activities:</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2"/>
        </w:trPr>
        <w:tc>
          <w:tcPr>
            <w:tcW w:w="5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Capital expenditures included in accounts payable and accrued expenses and other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5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6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24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-4881880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-4881880</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-4881880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-4881880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-3990340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-3990340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-3990340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-3990340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-2807335</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-2807335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-2807335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-2807335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-2207260</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-2207260</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-2207260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-2207260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-728345</wp:posOffset>
            </wp:positionV>
            <wp:extent cx="102870" cy="1879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187960"/>
                    </a:xfrm>
                    <a:prstGeom prst="rect">
                      <a:avLst/>
                    </a:prstGeom>
                    <a:noFill/>
                  </pic:spPr>
                </pic:pic>
              </a:graphicData>
            </a:graphic>
          </wp:anchor>
        </w:drawing>
        <w:drawing>
          <wp:anchor simplePos="0" relativeHeight="251657728" behindDoc="1" locked="0" layoutInCell="0" allowOverlap="1">
            <wp:simplePos x="0" y="0"/>
            <wp:positionH relativeFrom="column">
              <wp:posOffset>5315585</wp:posOffset>
            </wp:positionH>
            <wp:positionV relativeFrom="paragraph">
              <wp:posOffset>-728345</wp:posOffset>
            </wp:positionV>
            <wp:extent cx="102870" cy="1879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187960"/>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-728345</wp:posOffset>
            </wp:positionV>
            <wp:extent cx="93980" cy="1879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-728345</wp:posOffset>
            </wp:positionV>
            <wp:extent cx="93980" cy="1879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980" cy="187960"/>
                    </a:xfrm>
                    <a:prstGeom prst="rect">
                      <a:avLst/>
                    </a:prstGeom>
                    <a:noFill/>
                  </pic:spPr>
                </pic:pic>
              </a:graphicData>
            </a:graphic>
          </wp:anchor>
        </w:drawing>
      </w:r>
    </w:p>
    <w:p>
      <w:pPr>
        <w:sectPr>
          <w:pgSz w:w="11900" w:h="16838" w:orient="portrait"/>
          <w:cols w:equalWidth="0" w:num="1">
            <w:col w:w="11240"/>
          </w:cols>
          <w:pgMar w:left="320" w:top="1427" w:right="339" w:bottom="709"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 to Closest GAAP Equivalent</w:t>
      </w:r>
    </w:p>
    <w:p>
      <w:pPr>
        <w:spacing w:after="0" w:line="2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Reconciliation of GAAP Operating Cash Flow to Unlevered Free Cash Flow</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60" w:type="dxa"/>
            <w:vAlign w:val="bottom"/>
          </w:tcPr>
          <w:p>
            <w:pPr>
              <w:spacing w:after="0"/>
              <w:rPr>
                <w:sz w:val="16"/>
                <w:szCs w:val="16"/>
                <w:color w:val="auto"/>
              </w:rPr>
            </w:pPr>
          </w:p>
        </w:tc>
        <w:tc>
          <w:tcPr>
            <w:tcW w:w="23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3"/>
        </w:trPr>
        <w:tc>
          <w:tcPr>
            <w:tcW w:w="58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2"/>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from operating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3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41,190</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35,579</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Purchases of property, equipment, and other assets</w:t>
            </w: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(594 )</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(4,871 )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(2,977 )</w:t>
            </w:r>
          </w:p>
        </w:tc>
        <w:tc>
          <w:tcPr>
            <w:tcW w:w="2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(8,326 )</w:t>
            </w: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paid in cash</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120"/>
              <w:spacing w:after="0" w:line="248" w:lineRule="exact"/>
              <w:rPr>
                <w:sz w:val="20"/>
                <w:szCs w:val="20"/>
                <w:color w:val="auto"/>
              </w:rPr>
            </w:pPr>
            <w:r>
              <w:rPr>
                <w:rFonts w:ascii="Times New Roman" w:cs="Times New Roman" w:eastAsia="Times New Roman" w:hAnsi="Times New Roman"/>
                <w:sz w:val="18"/>
                <w:szCs w:val="18"/>
                <w:color w:val="auto"/>
              </w:rPr>
              <w:t xml:space="preserve">Transaction, integration, and restructuring expenses paid in cash </w:t>
            </w:r>
            <w:r>
              <w:rPr>
                <w:rFonts w:ascii="Times New Roman" w:cs="Times New Roman" w:eastAsia="Times New Roman" w:hAnsi="Times New Roman"/>
                <w:sz w:val="24"/>
                <w:szCs w:val="24"/>
                <w:color w:val="auto"/>
                <w:vertAlign w:val="superscript"/>
              </w:rPr>
              <w:t>(a)</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100" w:type="dxa"/>
            <w:vAlign w:val="bottom"/>
            <w:shd w:val="clear" w:color="auto" w:fill="CFF0FC"/>
          </w:tcPr>
          <w:p>
            <w:pPr>
              <w:spacing w:after="0"/>
              <w:rPr>
                <w:sz w:val="21"/>
                <w:szCs w:val="21"/>
                <w:color w:val="auto"/>
              </w:rPr>
            </w:pPr>
          </w:p>
        </w:tc>
      </w:tr>
      <w:tr>
        <w:trPr>
          <w:trHeight w:val="243"/>
        </w:trPr>
        <w:tc>
          <w:tcPr>
            <w:tcW w:w="5820" w:type="dxa"/>
            <w:vAlign w:val="bottom"/>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Earnout payment </w:t>
            </w:r>
            <w:r>
              <w:rPr>
                <w:rFonts w:ascii="Times New Roman" w:cs="Times New Roman" w:eastAsia="Times New Roman" w:hAnsi="Times New Roman"/>
                <w:sz w:val="24"/>
                <w:szCs w:val="24"/>
                <w:color w:val="auto"/>
                <w:vertAlign w:val="superscript"/>
              </w:rPr>
              <w:t>(b)</w:t>
            </w:r>
          </w:p>
        </w:tc>
        <w:tc>
          <w:tcPr>
            <w:tcW w:w="14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Pr>
          <w:p>
            <w:pPr>
              <w:spacing w:after="0"/>
              <w:rPr>
                <w:sz w:val="21"/>
                <w:szCs w:val="21"/>
                <w:color w:val="auto"/>
              </w:rPr>
            </w:pPr>
          </w:p>
        </w:tc>
      </w:tr>
      <w:tr>
        <w:trPr>
          <w:trHeight w:val="243"/>
        </w:trPr>
        <w:tc>
          <w:tcPr>
            <w:tcW w:w="5820" w:type="dxa"/>
            <w:vAlign w:val="bottom"/>
            <w:tcBorders>
              <w:bottom w:val="single" w:sz="8" w:color="CFF0FC"/>
            </w:tcBorders>
            <w:shd w:val="clear" w:color="auto" w:fill="CFF0FC"/>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Other non-core items </w:t>
            </w:r>
            <w:r>
              <w:rPr>
                <w:rFonts w:ascii="Times New Roman" w:cs="Times New Roman" w:eastAsia="Times New Roman" w:hAnsi="Times New Roman"/>
                <w:sz w:val="24"/>
                <w:szCs w:val="24"/>
                <w:color w:val="auto"/>
                <w:vertAlign w:val="superscript"/>
              </w:rPr>
              <w:t>(c)</w:t>
            </w: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Unlevered Free Cash Flow</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11,123</w:t>
            </w:r>
          </w:p>
        </w:tc>
        <w:tc>
          <w:tcPr>
            <w:tcW w:w="3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(3,367 )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68,576</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56,983</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-187960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20" w:right="600" w:firstLine="1"/>
        <w:spacing w:after="0" w:line="257" w:lineRule="auto"/>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integration expenses paid in cash primarily represent legal, accounting, and consulting expenses related to our acquisitions. Restructuring expenses paid in cash relate to our restructuring plans announced in the first and third quarters of 2023 and exit costs related to office relocations.</w:t>
      </w:r>
    </w:p>
    <w:p>
      <w:pPr>
        <w:spacing w:after="0" w:line="1" w:lineRule="exact"/>
        <w:rPr>
          <w:rFonts w:ascii="Times New Roman" w:cs="Times New Roman" w:eastAsia="Times New Roman" w:hAnsi="Times New Roman"/>
          <w:sz w:val="18"/>
          <w:szCs w:val="18"/>
          <w:color w:val="auto"/>
        </w:rPr>
      </w:pPr>
    </w:p>
    <w:p>
      <w:pPr>
        <w:ind w:left="420" w:hanging="399"/>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payment represents final settlement of contingent consideration included in cash flow from operations.</w:t>
      </w:r>
    </w:p>
    <w:p>
      <w:pPr>
        <w:spacing w:after="0" w:line="9" w:lineRule="exact"/>
        <w:rPr>
          <w:rFonts w:ascii="Times New Roman" w:cs="Times New Roman" w:eastAsia="Times New Roman" w:hAnsi="Times New Roman"/>
          <w:sz w:val="18"/>
          <w:szCs w:val="18"/>
          <w:color w:val="auto"/>
        </w:rPr>
      </w:pPr>
    </w:p>
    <w:p>
      <w:pPr>
        <w:ind w:left="400" w:hanging="379"/>
        <w:spacing w:after="0"/>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Non-core items represent expenses driven by events that are typically by nature one-time, non-operational, and unrelated to our core operations.</w:t>
      </w:r>
    </w:p>
    <w:p>
      <w:pPr>
        <w:spacing w:after="0" w:line="200" w:lineRule="exact"/>
        <w:rPr>
          <w:sz w:val="20"/>
          <w:szCs w:val="20"/>
          <w:color w:val="auto"/>
        </w:rPr>
      </w:pPr>
    </w:p>
    <w:p>
      <w:pPr>
        <w:spacing w:after="0" w:line="2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Reconciliation of GAAP Net Loss to Adjusted Net Income and</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GAAP Operating Loss to Adjusted Operating Income</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00" w:type="dxa"/>
            <w:vAlign w:val="bottom"/>
          </w:tcPr>
          <w:p>
            <w:pPr>
              <w:spacing w:after="0"/>
              <w:rPr>
                <w:sz w:val="16"/>
                <w:szCs w:val="16"/>
                <w:color w:val="auto"/>
              </w:rPr>
            </w:pPr>
          </w:p>
        </w:tc>
        <w:tc>
          <w:tcPr>
            <w:tcW w:w="258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3"/>
        </w:trPr>
        <w:tc>
          <w:tcPr>
            <w:tcW w:w="5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(13,362 )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(289,627 )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(24,179 )</w:t>
            </w:r>
          </w:p>
        </w:tc>
      </w:tr>
      <w:tr>
        <w:trPr>
          <w:trHeight w:val="239"/>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Income tax provision (benefit)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(17,044 )</w:t>
            </w:r>
          </w:p>
        </w:tc>
        <w:tc>
          <w:tcPr>
            <w:tcW w:w="2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(18,553 )</w:t>
            </w: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(17,698 )</w:t>
            </w:r>
          </w:p>
        </w:tc>
      </w:tr>
      <w:tr>
        <w:trPr>
          <w:trHeight w:val="247"/>
        </w:trPr>
        <w:tc>
          <w:tcPr>
            <w:tcW w:w="5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 Interest expense, net</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100" w:type="dxa"/>
            <w:vAlign w:val="bottom"/>
            <w:shd w:val="clear" w:color="auto" w:fill="CFF0FC"/>
          </w:tcPr>
          <w:p>
            <w:pPr>
              <w:spacing w:after="0"/>
              <w:rPr>
                <w:sz w:val="21"/>
                <w:szCs w:val="21"/>
                <w:color w:val="auto"/>
              </w:rPr>
            </w:pPr>
          </w:p>
        </w:tc>
      </w:tr>
      <w:tr>
        <w:trPr>
          <w:trHeight w:val="239"/>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Other expense (income), net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(863 )</w:t>
            </w:r>
          </w:p>
        </w:tc>
        <w:tc>
          <w:tcPr>
            <w:tcW w:w="2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(23,179 )</w:t>
            </w: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(10,579 )</w:t>
            </w:r>
          </w:p>
        </w:tc>
      </w:tr>
      <w:tr>
        <w:trPr>
          <w:trHeight w:val="20"/>
        </w:trPr>
        <w:tc>
          <w:tcPr>
            <w:tcW w:w="5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5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(10,080 )</w:t>
            </w:r>
          </w:p>
        </w:tc>
        <w:tc>
          <w:tcPr>
            <w:tcW w:w="2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(10,537 )</w:t>
            </w:r>
          </w:p>
        </w:tc>
        <w:tc>
          <w:tcPr>
            <w:tcW w:w="2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(329,800 )</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(44,043 )</w:t>
            </w:r>
          </w:p>
        </w:tc>
      </w:tr>
      <w:tr>
        <w:trPr>
          <w:trHeight w:val="207"/>
        </w:trPr>
        <w:tc>
          <w:tcPr>
            <w:tcW w:w="552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Add: Amortization of intangible assets acquired through business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41"/>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combinations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53,667</w:t>
            </w:r>
          </w:p>
        </w:tc>
        <w:tc>
          <w:tcPr>
            <w:tcW w:w="100" w:type="dxa"/>
            <w:vAlign w:val="bottom"/>
          </w:tcPr>
          <w:p>
            <w:pPr>
              <w:spacing w:after="0"/>
              <w:rPr>
                <w:sz w:val="20"/>
                <w:szCs w:val="20"/>
                <w:color w:val="auto"/>
              </w:rPr>
            </w:pPr>
          </w:p>
        </w:tc>
      </w:tr>
      <w:tr>
        <w:trPr>
          <w:trHeight w:val="250"/>
        </w:trPr>
        <w:tc>
          <w:tcPr>
            <w:tcW w:w="5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 Equity-based compensation</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48,739</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36,434</w:t>
            </w:r>
          </w:p>
        </w:tc>
        <w:tc>
          <w:tcPr>
            <w:tcW w:w="100" w:type="dxa"/>
            <w:vAlign w:val="bottom"/>
            <w:shd w:val="clear" w:color="auto" w:fill="CFF0FC"/>
          </w:tcPr>
          <w:p>
            <w:pPr>
              <w:spacing w:after="0"/>
              <w:rPr>
                <w:sz w:val="21"/>
                <w:szCs w:val="21"/>
                <w:color w:val="auto"/>
              </w:rPr>
            </w:pPr>
          </w:p>
        </w:tc>
      </w:tr>
      <w:tr>
        <w:trPr>
          <w:trHeight w:val="239"/>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Transaction, integration and restructuring expenses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100" w:type="dxa"/>
            <w:vAlign w:val="bottom"/>
          </w:tcPr>
          <w:p>
            <w:pPr>
              <w:spacing w:after="0"/>
              <w:rPr>
                <w:sz w:val="20"/>
                <w:szCs w:val="20"/>
                <w:color w:val="auto"/>
              </w:rPr>
            </w:pPr>
          </w:p>
        </w:tc>
      </w:tr>
      <w:tr>
        <w:trPr>
          <w:trHeight w:val="247"/>
        </w:trPr>
        <w:tc>
          <w:tcPr>
            <w:tcW w:w="5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 Goodwill impairment charge</w:t>
            </w: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287,400</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Other non-core items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6,561</w:t>
            </w:r>
          </w:p>
        </w:tc>
        <w:tc>
          <w:tcPr>
            <w:tcW w:w="100" w:type="dxa"/>
            <w:vAlign w:val="bottom"/>
          </w:tcPr>
          <w:p>
            <w:pPr>
              <w:spacing w:after="0"/>
              <w:rPr>
                <w:sz w:val="20"/>
                <w:szCs w:val="20"/>
                <w:color w:val="auto"/>
              </w:rPr>
            </w:pPr>
          </w:p>
        </w:tc>
      </w:tr>
      <w:tr>
        <w:trPr>
          <w:trHeight w:val="238"/>
        </w:trPr>
        <w:tc>
          <w:tcPr>
            <w:tcW w:w="55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1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18,310</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16,331</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68,802</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60,509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5"/>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Interest expense, net</w:t>
            </w:r>
          </w:p>
        </w:tc>
        <w:tc>
          <w:tcPr>
            <w:tcW w:w="18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(125 )</w:t>
            </w:r>
          </w:p>
        </w:tc>
        <w:tc>
          <w:tcPr>
            <w:tcW w:w="2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(1,483 )</w:t>
            </w:r>
          </w:p>
        </w:tc>
        <w:tc>
          <w:tcPr>
            <w:tcW w:w="2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(1,559 )</w:t>
            </w: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(8,413 )</w:t>
            </w:r>
          </w:p>
        </w:tc>
      </w:tr>
      <w:tr>
        <w:trPr>
          <w:trHeight w:val="247"/>
        </w:trPr>
        <w:tc>
          <w:tcPr>
            <w:tcW w:w="5520" w:type="dxa"/>
            <w:vAlign w:val="bottom"/>
            <w:shd w:val="clear" w:color="auto" w:fill="CFF0FC"/>
          </w:tcPr>
          <w:p>
            <w:pPr>
              <w:ind w:left="120"/>
              <w:spacing w:after="0" w:line="248" w:lineRule="exact"/>
              <w:rPr>
                <w:sz w:val="20"/>
                <w:szCs w:val="20"/>
                <w:color w:val="auto"/>
              </w:rPr>
            </w:pPr>
            <w:r>
              <w:rPr>
                <w:rFonts w:ascii="Times New Roman" w:cs="Times New Roman" w:eastAsia="Times New Roman" w:hAnsi="Times New Roman"/>
                <w:sz w:val="18"/>
                <w:szCs w:val="18"/>
                <w:color w:val="auto"/>
              </w:rPr>
              <w:t xml:space="preserve">Less: Recurring income tax benefit </w:t>
            </w:r>
            <w:r>
              <w:rPr>
                <w:rFonts w:ascii="Times New Roman" w:cs="Times New Roman" w:eastAsia="Times New Roman" w:hAnsi="Times New Roman"/>
                <w:sz w:val="24"/>
                <w:szCs w:val="24"/>
                <w:color w:val="auto"/>
                <w:vertAlign w:val="superscript"/>
              </w:rPr>
              <w:t>(a)</w:t>
            </w: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(1,175 )</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shd w:val="clear" w:color="auto" w:fill="CFF0FC"/>
          </w:tcPr>
          <w:p>
            <w:pPr>
              <w:spacing w:after="0"/>
              <w:rPr>
                <w:sz w:val="21"/>
                <w:szCs w:val="21"/>
                <w:color w:val="auto"/>
              </w:rPr>
            </w:pPr>
          </w:p>
        </w:tc>
      </w:tr>
      <w:tr>
        <w:trPr>
          <w:trHeight w:val="239"/>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Foreign currency (loss) gain</w:t>
            </w:r>
          </w:p>
        </w:tc>
        <w:tc>
          <w:tcPr>
            <w:tcW w:w="18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(475 )</w:t>
            </w:r>
          </w:p>
        </w:tc>
        <w:tc>
          <w:tcPr>
            <w:tcW w:w="2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(271 )</w:t>
            </w:r>
          </w:p>
        </w:tc>
        <w:tc>
          <w:tcPr>
            <w:tcW w:w="2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(291 )</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20"/>
                <w:szCs w:val="20"/>
                <w:color w:val="auto"/>
              </w:rPr>
            </w:pPr>
          </w:p>
        </w:tc>
      </w:tr>
      <w:tr>
        <w:trPr>
          <w:trHeight w:val="243"/>
        </w:trPr>
        <w:tc>
          <w:tcPr>
            <w:tcW w:w="5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Tax impacts of adjustments to net (loss) income</w:t>
            </w: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(5,886 )</w:t>
            </w: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(5,469 )</w:t>
            </w: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(21,633 )</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(19,273 )</w:t>
            </w:r>
          </w:p>
        </w:tc>
      </w:tr>
      <w:tr>
        <w:trPr>
          <w:trHeight w:val="239"/>
        </w:trPr>
        <w:tc>
          <w:tcPr>
            <w:tcW w:w="552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10,305</w:t>
            </w:r>
          </w:p>
        </w:tc>
        <w:tc>
          <w:tcPr>
            <w:tcW w:w="22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46,693</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35,415</w:t>
            </w:r>
          </w:p>
        </w:tc>
        <w:tc>
          <w:tcPr>
            <w:tcW w:w="100" w:type="dxa"/>
            <w:vAlign w:val="bottom"/>
            <w:tcBorders>
              <w:top w:val="single" w:sz="8" w:color="CFF0FC"/>
            </w:tcBorders>
          </w:tcPr>
          <w:p>
            <w:pPr>
              <w:spacing w:after="0"/>
              <w:rPr>
                <w:sz w:val="20"/>
                <w:szCs w:val="20"/>
                <w:color w:val="auto"/>
              </w:rPr>
            </w:pPr>
          </w:p>
        </w:tc>
      </w:tr>
      <w:tr>
        <w:trPr>
          <w:trHeight w:val="239"/>
        </w:trPr>
        <w:tc>
          <w:tcPr>
            <w:tcW w:w="5520" w:type="dxa"/>
            <w:vAlign w:val="bottom"/>
            <w:shd w:val="clear" w:color="auto" w:fill="CFF0FC"/>
          </w:tcPr>
          <w:p>
            <w:pPr>
              <w:ind w:left="120"/>
              <w:spacing w:after="0" w:line="239" w:lineRule="exact"/>
              <w:rPr>
                <w:sz w:val="20"/>
                <w:szCs w:val="20"/>
                <w:color w:val="auto"/>
              </w:rPr>
            </w:pPr>
            <w:r>
              <w:rPr>
                <w:rFonts w:ascii="Times New Roman" w:cs="Times New Roman" w:eastAsia="Times New Roman" w:hAnsi="Times New Roman"/>
                <w:sz w:val="18"/>
                <w:szCs w:val="18"/>
                <w:color w:val="auto"/>
              </w:rPr>
              <w:t xml:space="preserve">Shares for Adjusted Net Income Per Diluted Share </w:t>
            </w:r>
            <w:r>
              <w:rPr>
                <w:rFonts w:ascii="Times New Roman" w:cs="Times New Roman" w:eastAsia="Times New Roman" w:hAnsi="Times New Roman"/>
                <w:sz w:val="24"/>
                <w:szCs w:val="24"/>
                <w:color w:val="auto"/>
                <w:vertAlign w:val="superscript"/>
              </w:rPr>
              <w:t>(b)</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155,560,756</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154,006,454</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154,836,706</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153,601,602</w:t>
            </w:r>
          </w:p>
        </w:tc>
        <w:tc>
          <w:tcPr>
            <w:tcW w:w="100" w:type="dxa"/>
            <w:vAlign w:val="bottom"/>
            <w:shd w:val="clear" w:color="auto" w:fill="CFF0FC"/>
          </w:tcPr>
          <w:p>
            <w:pPr>
              <w:spacing w:after="0"/>
              <w:rPr>
                <w:sz w:val="20"/>
                <w:szCs w:val="20"/>
                <w:color w:val="auto"/>
              </w:rPr>
            </w:pPr>
          </w:p>
        </w:tc>
      </w:tr>
      <w:tr>
        <w:trPr>
          <w:trHeight w:val="234"/>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Net Income Per Diluted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-2179955</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-2179955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-2179955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-2179955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-1099820</wp:posOffset>
            </wp:positionV>
            <wp:extent cx="774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-1099820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-1099820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-1099820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-473710</wp:posOffset>
            </wp:positionV>
            <wp:extent cx="77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-473710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-473710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-473710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7" w:lineRule="exact"/>
        <w:rPr>
          <w:sz w:val="20"/>
          <w:szCs w:val="20"/>
          <w:color w:val="auto"/>
        </w:rPr>
      </w:pPr>
    </w:p>
    <w:p>
      <w:pPr>
        <w:ind w:left="20" w:right="340" w:firstLine="1"/>
        <w:spacing w:after="0" w:line="261" w:lineRule="auto"/>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income tax (benefit) provision items were primarily driven by the impact of changes in the state effective tax rate during the fourth quarter of 2022.</w:t>
      </w:r>
    </w:p>
    <w:p>
      <w:pPr>
        <w:ind w:left="20" w:right="180" w:firstLine="1"/>
        <w:spacing w:after="0" w:line="253" w:lineRule="auto"/>
        <w:tabs>
          <w:tab w:leader="none" w:pos="41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Adjusted Net Income Per Share is computed by giving effect to all potential weighted average Class A common stock and any securities that are convertible into Class A common stock, including Definitive OpCo units and restricted stock units. The dilutive effect of outstanding awards and convertible securities is reflected in diluted earnings per share by application of the treasury stock method assuming proceeds from unrecognized compensation as required by GAAP. Fully diluted shares are 163,153,442 and 159,134,761 as of December 31, 2023 and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p>
      <w:pPr>
        <w:spacing w:after="0" w:line="200" w:lineRule="exact"/>
        <w:rPr>
          <w:sz w:val="20"/>
          <w:szCs w:val="20"/>
          <w:color w:val="auto"/>
        </w:rPr>
      </w:pPr>
    </w:p>
    <w:p>
      <w:pPr>
        <w:spacing w:after="0" w:line="22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Reconciliation of Adjusted Gross Profit and Margin to GAAP Gross Profit and Margin</w:t>
      </w:r>
    </w:p>
    <w:p>
      <w:pPr>
        <w:spacing w:after="0" w:line="3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62"/>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42"/>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42"/>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82"/>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8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tcPr>
          <w:p>
            <w:pPr>
              <w:spacing w:after="0"/>
              <w:rPr>
                <w:sz w:val="16"/>
                <w:szCs w:val="16"/>
                <w:color w:val="auto"/>
              </w:rPr>
            </w:pP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6"/>
                <w:szCs w:val="16"/>
                <w:color w:val="auto"/>
              </w:rPr>
            </w:pPr>
          </w:p>
        </w:tc>
        <w:tc>
          <w:tcPr>
            <w:tcW w:w="6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Reported gross profit and margin</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53,419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81 %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50,804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84 %</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$ 203,933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81 % $ 180,028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0" w:type="dxa"/>
            <w:vAlign w:val="bottom"/>
          </w:tcPr>
          <w:p>
            <w:pPr>
              <w:spacing w:after="0"/>
              <w:rPr>
                <w:sz w:val="1"/>
                <w:szCs w:val="1"/>
                <w:color w:val="auto"/>
              </w:rPr>
            </w:pPr>
          </w:p>
        </w:tc>
      </w:tr>
      <w:tr>
        <w:trPr>
          <w:trHeight w:val="221"/>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acquired through</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combinations</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3 %</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4 %</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4 %</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Equity-based compensation costs</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0 %</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0 %</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0" w:type="dxa"/>
            <w:vAlign w:val="bottom"/>
          </w:tcPr>
          <w:p>
            <w:pPr>
              <w:spacing w:after="0"/>
              <w:rPr>
                <w:sz w:val="1"/>
                <w:szCs w:val="1"/>
                <w:color w:val="auto"/>
              </w:rPr>
            </w:pPr>
          </w:p>
        </w:tc>
      </w:tr>
      <w:tr>
        <w:trPr>
          <w:trHeight w:val="33"/>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gross profit and margin</w:t>
            </w: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vMerge w:val="continue"/>
          </w:tcPr>
          <w:p>
            <w:pPr>
              <w:spacing w:after="0"/>
              <w:rPr>
                <w:sz w:val="19"/>
                <w:szCs w:val="19"/>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85 %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53,449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88 %</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$ 214,074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85 % $ 196,685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-873760</wp:posOffset>
            </wp:positionV>
            <wp:extent cx="713232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Reconciliation of Adjusted EBITDA to GAAP Net Loss</w:t>
      </w:r>
    </w:p>
    <w:p>
      <w:pPr>
        <w:spacing w:after="0" w:line="3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Borders>
              <w:top w:val="single" w:sz="8" w:color="auto"/>
            </w:tcBorders>
          </w:tcPr>
          <w:p>
            <w:pPr>
              <w:jc w:val="center"/>
              <w:ind w:right="24"/>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Borders>
              <w:top w:val="single" w:sz="8" w:color="auto"/>
            </w:tcBorders>
          </w:tcPr>
          <w:p>
            <w:pPr>
              <w:jc w:val="center"/>
              <w:ind w:right="24"/>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Borders>
              <w:top w:val="single" w:sz="8" w:color="auto"/>
            </w:tcBorders>
          </w:tcPr>
          <w:p>
            <w:pPr>
              <w:jc w:val="center"/>
              <w:ind w:right="24"/>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6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720" w:type="dxa"/>
            <w:vAlign w:val="bottom"/>
            <w:vMerge w:val="restart"/>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30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0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loss and margin</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5"/>
                <w:szCs w:val="15"/>
                <w:color w:val="auto"/>
              </w:rPr>
              <w:t>(13,362 )</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(20 )% $</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5,887</w:t>
            </w:r>
          </w:p>
        </w:tc>
        <w:tc>
          <w:tcPr>
            <w:tcW w:w="3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10 %</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(289,627 )</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(115 )% $</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(24,179 )</w:t>
            </w:r>
          </w:p>
        </w:tc>
        <w:tc>
          <w:tcPr>
            <w:tcW w:w="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(11 )%</w:t>
            </w: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expense, net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26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0 %</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1,483</w:t>
            </w:r>
          </w:p>
        </w:tc>
        <w:tc>
          <w:tcPr>
            <w:tcW w:w="3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1,559</w:t>
            </w:r>
          </w:p>
        </w:tc>
        <w:tc>
          <w:tcPr>
            <w:tcW w:w="28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1 %</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8,413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4 %</w:t>
            </w: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tax provision (benefit)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1,175</w:t>
            </w:r>
          </w:p>
        </w:tc>
        <w:tc>
          <w:tcPr>
            <w:tcW w:w="26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2 %</w:t>
            </w:r>
          </w:p>
        </w:tc>
        <w:tc>
          <w:tcPr>
            <w:tcW w:w="12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(17,044 )</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(28 )%</w:t>
            </w:r>
          </w:p>
        </w:tc>
        <w:tc>
          <w:tcPr>
            <w:tcW w:w="10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(18,553 )</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(7 )%</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(17,698 )</w:t>
            </w:r>
          </w:p>
        </w:tc>
        <w:tc>
          <w:tcPr>
            <w:tcW w:w="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(8 )%</w:t>
            </w: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Depreciation &amp; amortization</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13,001</w:t>
            </w:r>
          </w:p>
        </w:tc>
        <w:tc>
          <w:tcPr>
            <w:tcW w:w="26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20 %</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12,686</w:t>
            </w:r>
          </w:p>
        </w:tc>
        <w:tc>
          <w:tcPr>
            <w:tcW w:w="3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51,750</w:t>
            </w:r>
          </w:p>
        </w:tc>
        <w:tc>
          <w:tcPr>
            <w:tcW w:w="28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21 %</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56,904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26 %</w:t>
            </w:r>
          </w:p>
        </w:tc>
        <w:tc>
          <w:tcPr>
            <w:tcW w:w="0" w:type="dxa"/>
            <w:vAlign w:val="bottom"/>
          </w:tcPr>
          <w:p>
            <w:pPr>
              <w:spacing w:after="0"/>
              <w:rPr>
                <w:sz w:val="1"/>
                <w:szCs w:val="1"/>
                <w:color w:val="auto"/>
              </w:rPr>
            </w:pPr>
          </w:p>
        </w:tc>
      </w:tr>
      <w:tr>
        <w:trPr>
          <w:trHeight w:val="20"/>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EBITDA and margin</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0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939</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1 %</w:t>
            </w:r>
          </w:p>
        </w:tc>
        <w:tc>
          <w:tcPr>
            <w:tcW w:w="12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3,012</w:t>
            </w:r>
          </w:p>
        </w:tc>
        <w:tc>
          <w:tcPr>
            <w:tcW w:w="300" w:type="dxa"/>
            <w:vAlign w:val="bottom"/>
          </w:tcPr>
          <w:p>
            <w:pPr>
              <w:spacing w:after="0"/>
              <w:rPr>
                <w:sz w:val="14"/>
                <w:szCs w:val="14"/>
                <w:color w:val="auto"/>
              </w:rPr>
            </w:pPr>
          </w:p>
        </w:tc>
        <w:tc>
          <w:tcPr>
            <w:tcW w:w="9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5 %</w:t>
            </w:r>
          </w:p>
        </w:tc>
        <w:tc>
          <w:tcPr>
            <w:tcW w:w="100" w:type="dxa"/>
            <w:vAlign w:val="bottom"/>
          </w:tcPr>
          <w:p>
            <w:pPr>
              <w:spacing w:after="0"/>
              <w:rPr>
                <w:sz w:val="14"/>
                <w:szCs w:val="14"/>
                <w:color w:val="auto"/>
              </w:rPr>
            </w:pPr>
          </w:p>
        </w:tc>
        <w:tc>
          <w:tcPr>
            <w:tcW w:w="96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(254,871 )</w:t>
            </w:r>
          </w:p>
        </w:tc>
        <w:tc>
          <w:tcPr>
            <w:tcW w:w="9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(101 )%</w:t>
            </w:r>
          </w:p>
        </w:tc>
        <w:tc>
          <w:tcPr>
            <w:tcW w:w="1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23,440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11 %</w:t>
            </w: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line="189" w:lineRule="exact"/>
              <w:rPr>
                <w:sz w:val="20"/>
                <w:szCs w:val="20"/>
                <w:color w:val="auto"/>
              </w:rPr>
            </w:pPr>
            <w:r>
              <w:rPr>
                <w:rFonts w:ascii="Times New Roman" w:cs="Times New Roman" w:eastAsia="Times New Roman" w:hAnsi="Times New Roman"/>
                <w:sz w:val="15"/>
                <w:szCs w:val="15"/>
                <w:color w:val="auto"/>
              </w:rPr>
              <w:t xml:space="preserve">Other expense (income), net </w:t>
            </w:r>
            <w:r>
              <w:rPr>
                <w:rFonts w:ascii="Times New Roman" w:cs="Times New Roman" w:eastAsia="Times New Roman" w:hAnsi="Times New Roman"/>
                <w:sz w:val="20"/>
                <w:szCs w:val="20"/>
                <w:color w:val="auto"/>
                <w:vertAlign w:val="superscript"/>
              </w:rPr>
              <w:t>(a)</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1,982</w:t>
            </w:r>
          </w:p>
        </w:tc>
        <w:tc>
          <w:tcPr>
            <w:tcW w:w="26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3 %</w:t>
            </w:r>
          </w:p>
        </w:tc>
        <w:tc>
          <w:tcPr>
            <w:tcW w:w="12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(863 )</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(1 )%</w:t>
            </w:r>
          </w:p>
        </w:tc>
        <w:tc>
          <w:tcPr>
            <w:tcW w:w="10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(23,179 )</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(9 )%</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(10,579 )</w:t>
            </w:r>
          </w:p>
        </w:tc>
        <w:tc>
          <w:tcPr>
            <w:tcW w:w="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(5 )%</w:t>
            </w:r>
          </w:p>
        </w:tc>
        <w:tc>
          <w:tcPr>
            <w:tcW w:w="0" w:type="dxa"/>
            <w:vAlign w:val="bottom"/>
          </w:tcPr>
          <w:p>
            <w:pPr>
              <w:spacing w:after="0"/>
              <w:rPr>
                <w:sz w:val="1"/>
                <w:szCs w:val="1"/>
                <w:color w:val="auto"/>
              </w:rPr>
            </w:pPr>
          </w:p>
        </w:tc>
      </w:tr>
      <w:tr>
        <w:trPr>
          <w:trHeight w:val="209"/>
        </w:trPr>
        <w:tc>
          <w:tcPr>
            <w:tcW w:w="3040" w:type="dxa"/>
            <w:vAlign w:val="bottom"/>
          </w:tcPr>
          <w:p>
            <w:pPr>
              <w:ind w:left="20"/>
              <w:spacing w:after="0" w:line="209" w:lineRule="exact"/>
              <w:rPr>
                <w:sz w:val="20"/>
                <w:szCs w:val="20"/>
                <w:color w:val="auto"/>
              </w:rPr>
            </w:pPr>
            <w:r>
              <w:rPr>
                <w:rFonts w:ascii="Times New Roman" w:cs="Times New Roman" w:eastAsia="Times New Roman" w:hAnsi="Times New Roman"/>
                <w:sz w:val="15"/>
                <w:szCs w:val="15"/>
                <w:color w:val="auto"/>
              </w:rPr>
              <w:t xml:space="preserve">Equity-based compensation </w:t>
            </w:r>
            <w:r>
              <w:rPr>
                <w:rFonts w:ascii="Times New Roman" w:cs="Times New Roman" w:eastAsia="Times New Roman" w:hAnsi="Times New Roman"/>
                <w:sz w:val="20"/>
                <w:szCs w:val="20"/>
                <w:color w:val="auto"/>
                <w:vertAlign w:val="superscript"/>
              </w:rPr>
              <w:t>(b)</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13,254</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20 %</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11,424</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19 %</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48,739</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19 %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36,434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16 %</w:t>
            </w: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Transaction, integration, and restructuring</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040" w:type="dxa"/>
            <w:vAlign w:val="bottom"/>
          </w:tcPr>
          <w:p>
            <w:pPr>
              <w:ind w:left="20"/>
              <w:spacing w:after="0" w:line="183" w:lineRule="exact"/>
              <w:rPr>
                <w:sz w:val="20"/>
                <w:szCs w:val="20"/>
                <w:color w:val="auto"/>
              </w:rPr>
            </w:pPr>
            <w:r>
              <w:rPr>
                <w:rFonts w:ascii="Times New Roman" w:cs="Times New Roman" w:eastAsia="Times New Roman" w:hAnsi="Times New Roman"/>
                <w:sz w:val="15"/>
                <w:szCs w:val="15"/>
                <w:color w:val="auto"/>
              </w:rPr>
              <w:t xml:space="preserve">expenses </w:t>
            </w:r>
            <w:r>
              <w:rPr>
                <w:rFonts w:ascii="Times New Roman" w:cs="Times New Roman" w:eastAsia="Times New Roman" w:hAnsi="Times New Roman"/>
                <w:sz w:val="20"/>
                <w:szCs w:val="20"/>
                <w:color w:val="auto"/>
                <w:vertAlign w:val="superscript"/>
              </w:rPr>
              <w:t>(c )</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1,823</w:t>
            </w:r>
          </w:p>
        </w:tc>
        <w:tc>
          <w:tcPr>
            <w:tcW w:w="26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3 %</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1,528</w:t>
            </w:r>
          </w:p>
        </w:tc>
        <w:tc>
          <w:tcPr>
            <w:tcW w:w="3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11,489</w:t>
            </w:r>
          </w:p>
        </w:tc>
        <w:tc>
          <w:tcPr>
            <w:tcW w:w="28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5 %</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7,890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4 %</w:t>
            </w: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line="189" w:lineRule="exact"/>
              <w:rPr>
                <w:sz w:val="20"/>
                <w:szCs w:val="20"/>
                <w:color w:val="auto"/>
              </w:rPr>
            </w:pPr>
            <w:r>
              <w:rPr>
                <w:rFonts w:ascii="Times New Roman" w:cs="Times New Roman" w:eastAsia="Times New Roman" w:hAnsi="Times New Roman"/>
                <w:sz w:val="15"/>
                <w:szCs w:val="15"/>
                <w:color w:val="auto"/>
              </w:rPr>
              <w:t xml:space="preserve">Goodwill impairment </w:t>
            </w:r>
            <w:r>
              <w:rPr>
                <w:rFonts w:ascii="Times New Roman" w:cs="Times New Roman" w:eastAsia="Times New Roman" w:hAnsi="Times New Roman"/>
                <w:sz w:val="20"/>
                <w:szCs w:val="20"/>
                <w:color w:val="auto"/>
                <w:vertAlign w:val="superscript"/>
              </w:rPr>
              <w:t>(d)</w:t>
            </w:r>
          </w:p>
        </w:tc>
        <w:tc>
          <w:tcPr>
            <w:tcW w:w="140" w:type="dxa"/>
            <w:vAlign w:val="bottom"/>
          </w:tcPr>
          <w:p>
            <w:pPr>
              <w:spacing w:after="0"/>
              <w:rPr>
                <w:sz w:val="16"/>
                <w:szCs w:val="16"/>
                <w:color w:val="auto"/>
              </w:rPr>
            </w:pPr>
          </w:p>
        </w:tc>
        <w:tc>
          <w:tcPr>
            <w:tcW w:w="1020" w:type="dxa"/>
            <w:vAlign w:val="bottom"/>
            <w:gridSpan w:val="2"/>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0 %</w:t>
            </w:r>
          </w:p>
        </w:tc>
        <w:tc>
          <w:tcPr>
            <w:tcW w:w="12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287,400</w:t>
            </w:r>
          </w:p>
        </w:tc>
        <w:tc>
          <w:tcPr>
            <w:tcW w:w="28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114 %</w:t>
            </w:r>
          </w:p>
        </w:tc>
        <w:tc>
          <w:tcPr>
            <w:tcW w:w="120" w:type="dxa"/>
            <w:vAlign w:val="bottom"/>
          </w:tcPr>
          <w:p>
            <w:pPr>
              <w:spacing w:after="0"/>
              <w:rPr>
                <w:sz w:val="16"/>
                <w:szCs w:val="16"/>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0 %</w:t>
            </w:r>
          </w:p>
        </w:tc>
        <w:tc>
          <w:tcPr>
            <w:tcW w:w="0" w:type="dxa"/>
            <w:vAlign w:val="bottom"/>
          </w:tcPr>
          <w:p>
            <w:pPr>
              <w:spacing w:after="0"/>
              <w:rPr>
                <w:sz w:val="1"/>
                <w:szCs w:val="1"/>
                <w:color w:val="auto"/>
              </w:rPr>
            </w:pPr>
          </w:p>
        </w:tc>
      </w:tr>
      <w:tr>
        <w:trPr>
          <w:trHeight w:val="209"/>
        </w:trPr>
        <w:tc>
          <w:tcPr>
            <w:tcW w:w="3040" w:type="dxa"/>
            <w:vAlign w:val="bottom"/>
          </w:tcPr>
          <w:p>
            <w:pPr>
              <w:ind w:left="20"/>
              <w:spacing w:after="0" w:line="209" w:lineRule="exact"/>
              <w:rPr>
                <w:sz w:val="20"/>
                <w:szCs w:val="20"/>
                <w:color w:val="auto"/>
              </w:rPr>
            </w:pPr>
            <w:r>
              <w:rPr>
                <w:rFonts w:ascii="Times New Roman" w:cs="Times New Roman" w:eastAsia="Times New Roman" w:hAnsi="Times New Roman"/>
                <w:sz w:val="15"/>
                <w:szCs w:val="15"/>
                <w:color w:val="auto"/>
              </w:rPr>
              <w:t xml:space="preserve">Other non-core items </w:t>
            </w:r>
            <w:r>
              <w:rPr>
                <w:rFonts w:ascii="Times New Roman" w:cs="Times New Roman" w:eastAsia="Times New Roman" w:hAnsi="Times New Roman"/>
                <w:sz w:val="20"/>
                <w:szCs w:val="20"/>
                <w:color w:val="auto"/>
                <w:vertAlign w:val="superscript"/>
              </w:rPr>
              <w:t>(e)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1,803</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3 %</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1,947</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3 %</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4,875</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3 %</w:t>
            </w:r>
          </w:p>
        </w:tc>
        <w:tc>
          <w:tcPr>
            <w:tcW w:w="0" w:type="dxa"/>
            <w:vAlign w:val="bottom"/>
          </w:tcPr>
          <w:p>
            <w:pPr>
              <w:spacing w:after="0"/>
              <w:rPr>
                <w:sz w:val="1"/>
                <w:szCs w:val="1"/>
                <w:color w:val="auto"/>
              </w:rPr>
            </w:pPr>
          </w:p>
        </w:tc>
      </w:tr>
      <w:tr>
        <w:trPr>
          <w:trHeight w:val="20"/>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Adjusted EBITDA and margin</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19,801</w:t>
            </w:r>
          </w:p>
        </w:tc>
        <w:tc>
          <w:tcPr>
            <w:tcW w:w="260" w:type="dxa"/>
            <w:vAlign w:val="bottom"/>
          </w:tcPr>
          <w:p>
            <w:pPr>
              <w:spacing w:after="0"/>
              <w:rPr>
                <w:sz w:val="15"/>
                <w:szCs w:val="15"/>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30 %  $</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17,048</w:t>
            </w:r>
          </w:p>
        </w:tc>
        <w:tc>
          <w:tcPr>
            <w:tcW w:w="3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28 %</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74,453</w:t>
            </w:r>
          </w:p>
        </w:tc>
        <w:tc>
          <w:tcPr>
            <w:tcW w:w="280" w:type="dxa"/>
            <w:vAlign w:val="bottom"/>
          </w:tcPr>
          <w:p>
            <w:pPr>
              <w:spacing w:after="0"/>
              <w:rPr>
                <w:sz w:val="15"/>
                <w:szCs w:val="15"/>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30 %  $</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63,746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-1439545</wp:posOffset>
            </wp:positionV>
            <wp:extent cx="7132320" cy="1200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1200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-950595</wp:posOffset>
            </wp:positionV>
            <wp:extent cx="7132320" cy="120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-710565</wp:posOffset>
            </wp:positionV>
            <wp:extent cx="7132320" cy="1200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1200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200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18" w:lineRule="exact"/>
        <w:rPr>
          <w:sz w:val="20"/>
          <w:szCs w:val="20"/>
          <w:color w:val="auto"/>
        </w:rPr>
      </w:pPr>
    </w:p>
    <w:p>
      <w:pPr>
        <w:ind w:left="400" w:hanging="379"/>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foreign exchange and TRA liability remeasurement gains and losses.</w:t>
      </w:r>
    </w:p>
    <w:p>
      <w:pPr>
        <w:spacing w:after="0" w:line="27" w:lineRule="exact"/>
        <w:rPr>
          <w:rFonts w:ascii="Times New Roman" w:cs="Times New Roman" w:eastAsia="Times New Roman" w:hAnsi="Times New Roman"/>
          <w:sz w:val="18"/>
          <w:szCs w:val="18"/>
          <w:color w:val="auto"/>
        </w:rPr>
      </w:pPr>
    </w:p>
    <w:p>
      <w:pPr>
        <w:ind w:left="20" w:right="760" w:firstLine="1"/>
        <w:spacing w:after="0" w:line="250" w:lineRule="auto"/>
        <w:tabs>
          <w:tab w:leader="none" w:pos="41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represents non-cash compensation expense recognized in association with equity awards made to employees and directors.</w:t>
      </w:r>
    </w:p>
    <w:p>
      <w:pPr>
        <w:ind w:left="20" w:right="520" w:firstLine="1"/>
        <w:spacing w:after="0" w:line="255" w:lineRule="auto"/>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integration expenses primarily represent legal, accounting, and consulting expenses and fair value adjustments for contingent consideration related to our acquisitions. Restructuring expenses relate to our restructuring plans announced in the first and third quarters of 2023 and impairment and restructuring charges related to office closures and relocations.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Merger and acquisition due diligence and transaction costs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Integration costs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adjustment for contingent consideration</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 for severance and other separation costs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Office closure and relocation restructuring charges and impairments</w:t>
            </w: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transaction, integration and restructuring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11,489</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100" w:firstLine="8"/>
        <w:spacing w:after="0" w:line="261" w:lineRule="auto"/>
        <w:tabs>
          <w:tab w:leader="none" w:pos="3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represents a non-cash, pretax, goodwill impairment charge of $287.4 million recorded during the quarter ended September 30, 2023. We experienced a sustained decline in our stock price and market capitalization, which represented a triggering event and required us to perform a goodwill impairment test as of September 30, 2023. As a result of our quantitative impairment test, we determined that the fair value of our single reporting unit was lower than its carrying value and, accordingly, recorded this impairment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440" w:right="259" w:bottom="1440" w:gutter="0" w:footer="0" w:header="0"/>
        </w:sectPr>
      </w:pPr>
    </w:p>
    <w:bookmarkStart w:id="16" w:name="page17"/>
    <w:bookmarkEnd w:id="16"/>
    <w:p>
      <w:pPr>
        <w:ind w:firstLine="8"/>
        <w:spacing w:after="0" w:line="254"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non-core items represent expenses driven by events that are typically by nature one-time, non-operational, and/or unrelated to our core operations. These expenses are comprised of non-core legal and regulatory costs isolated to unique and extraordinary litigation, legal and regulatory matters that are not considered normal and recurring business activity including sales tax accrual charges inclusive of penalties and interest for sales taxes that we may have been required to collect from customers in 2023 and certain previous years, professional fees related to the filing delay and restatement of our previously issued financial statements filed concurrently with our Quarterly Report on Form 10-Q for the second quarter of 2023, and other non-recurring legal and regulatory matters. Other non-core items also include non-recurring strategic consulting fees associated with a strategic initiative to restructure and transform the Company through commercial and operational reorganization that right sizes the organization as well as professional fees related to financing, capital structure changes, and other non-recurring set-up costs related to public company operations.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Non-core legal and regulatory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Consulting fees for non-recurring strategic restructuring</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Professional fees for set-up of Up-C, TRA, tax and public company</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1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non-core expenses</w:t>
            </w:r>
          </w:p>
        </w:tc>
        <w:tc>
          <w:tcPr>
            <w:tcW w:w="1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(114 )</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0"/>
                <w:szCs w:val="20"/>
                <w:color w:val="auto"/>
              </w:rPr>
            </w:pPr>
          </w:p>
        </w:tc>
      </w:tr>
      <w:tr>
        <w:trPr>
          <w:trHeight w:val="281"/>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non-core items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175"/>
        </w:trPr>
        <w:tc>
          <w:tcPr>
            <w:tcW w:w="5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-796290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-779145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-796290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-779145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-796290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-779145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4"/>
    </w:lvl>
  </w:abstractNum>
  <w:abstractNum w:abstractNumId="10">
    <w:nsid w:val="1F16E9E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2024-02-28T16:11:05Z</dcterms:created>
  <dcterms:modified xsi:type="dcterms:W3CDTF">2024-02-28T16:11:05Z</dcterms:modified>
</cp:coreProperties>
</file>