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-598170</wp:posOffset>
            </wp:positionV>
            <wp:extent cx="5651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17145</wp:posOffset>
            </wp:positionV>
            <wp:extent cx="6999605" cy="945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50070"/>
                    </a:xfrm>
                    <a:prstGeom prst="rect">
                      <a:avLst/>
                    </a:prstGeom>
                    <a:noFill/>
                  </pic:spPr>
                </pic:pic>
              </a:graphicData>
            </a:graphic>
          </wp:anchor>
        </w:drawing>
      </w:r>
    </w:p>
    <w:p>
      <w:pPr>
        <w:spacing w:after="0" w:line="39" w:lineRule="exact"/>
        <w:rPr>
          <w:sz w:val="24"/>
          <w:szCs w:val="24"/>
          <w:color w:val="auto"/>
        </w:rPr>
      </w:pPr>
    </w:p>
    <w:p>
      <w:pPr>
        <w:sectPr>
          <w:pgSz w:w="11900" w:h="16879" w:orient="portrait"/>
          <w:cols w:equalWidth="0" w:num="2">
            <w:col w:w="2160" w:space="520"/>
            <w:col w:w="84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80" w:type="dxa"/>
            <w:vAlign w:val="bottom"/>
            <w:gridSpan w:val="10"/>
          </w:tcPr>
          <w:p>
            <w:pPr>
              <w:ind w:left="2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9"/>
          </w:tcPr>
          <w:p>
            <w:pPr>
              <w:ind w:left="8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restart"/>
          </w:tcPr>
          <w:p>
            <w:pPr>
              <w:spacing w:after="0"/>
              <w:rPr>
                <w:rFonts w:ascii="Arial" w:cs="Arial" w:eastAsia="Arial" w:hAnsi="Arial"/>
                <w:sz w:val="20"/>
                <w:szCs w:val="20"/>
                <w:color w:val="0000EE"/>
                <w:w w:val="96"/>
              </w:rPr>
            </w:pPr>
            <w:hyperlink r:id="rId12">
              <w:r>
                <w:rPr>
                  <w:rFonts w:ascii="Arial" w:cs="Arial" w:eastAsia="Arial" w:hAnsi="Arial"/>
                  <w:sz w:val="20"/>
                  <w:szCs w:val="20"/>
                  <w:color w:val="0000EE"/>
                  <w:w w:val="96"/>
                </w:rPr>
                <w:t>SEA VII Management, LLC</w:t>
              </w:r>
            </w:hyperlink>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80" w:type="dxa"/>
            <w:vAlign w:val="bottom"/>
            <w:gridSpan w:val="10"/>
          </w:tcPr>
          <w:p>
            <w:pPr>
              <w:ind w:left="20"/>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Definitive Healthcare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DH</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6"/>
            <w:vMerge w:val="continue"/>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gridSpan w:val="6"/>
            <w:vMerge w:val="continue"/>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6"/>
                <w:szCs w:val="16"/>
                <w:color w:val="0000FF"/>
              </w:rPr>
              <w:t>X</w:t>
            </w: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36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0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6"/>
            <w:vMerge w:val="continue"/>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00" w:type="dxa"/>
            <w:vAlign w:val="bottom"/>
            <w:gridSpan w:val="4"/>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8"/>
                <w:szCs w:val="8"/>
                <w:color w:val="auto"/>
              </w:rPr>
            </w:pPr>
          </w:p>
        </w:tc>
        <w:tc>
          <w:tcPr>
            <w:tcW w:w="1140" w:type="dxa"/>
            <w:vAlign w:val="bottom"/>
            <w:gridSpan w:val="4"/>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top w:val="single" w:sz="8" w:color="2C2C2C"/>
            </w:tcBorders>
          </w:tcPr>
          <w:p>
            <w:pPr>
              <w:spacing w:after="0"/>
              <w:rPr>
                <w:sz w:val="8"/>
                <w:szCs w:val="8"/>
                <w:color w:val="auto"/>
              </w:rPr>
            </w:pPr>
          </w:p>
        </w:tc>
        <w:tc>
          <w:tcPr>
            <w:tcW w:w="2780" w:type="dxa"/>
            <w:vAlign w:val="bottom"/>
            <w:tcBorders>
              <w:top w:val="single" w:sz="8" w:color="2C2C2C"/>
            </w:tcBorders>
            <w:gridSpan w:val="10"/>
            <w:vMerge w:val="restart"/>
          </w:tcPr>
          <w:p>
            <w:pPr>
              <w:ind w:left="20"/>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Borders>
              <w:top w:val="single" w:sz="8" w:color="2C2C2C"/>
            </w:tcBorders>
          </w:tcPr>
          <w:p>
            <w:pPr>
              <w:spacing w:after="0"/>
              <w:rPr>
                <w:sz w:val="8"/>
                <w:szCs w:val="8"/>
                <w:color w:val="auto"/>
              </w:rPr>
            </w:pPr>
          </w:p>
        </w:tc>
        <w:tc>
          <w:tcPr>
            <w:tcW w:w="280" w:type="dxa"/>
            <w:vAlign w:val="bottom"/>
            <w:tcBorders>
              <w:top w:val="single" w:sz="8" w:color="2C2C2C"/>
            </w:tcBorders>
          </w:tcPr>
          <w:p>
            <w:pPr>
              <w:spacing w:after="0"/>
              <w:rPr>
                <w:sz w:val="8"/>
                <w:szCs w:val="8"/>
                <w:color w:val="auto"/>
              </w:rPr>
            </w:pPr>
          </w:p>
        </w:tc>
        <w:tc>
          <w:tcPr>
            <w:tcW w:w="200" w:type="dxa"/>
            <w:vAlign w:val="bottom"/>
            <w:tcBorders>
              <w:top w:val="single" w:sz="8" w:color="2C2C2C"/>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ind w:left="160"/>
              <w:spacing w:after="0" w:line="102" w:lineRule="exact"/>
              <w:rPr>
                <w:sz w:val="20"/>
                <w:szCs w:val="20"/>
                <w:color w:val="auto"/>
              </w:rPr>
            </w:pPr>
            <w:r>
              <w:rPr>
                <w:rFonts w:ascii="Arial" w:cs="Arial" w:eastAsia="Arial" w:hAnsi="Arial"/>
                <w:sz w:val="11"/>
                <w:szCs w:val="11"/>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780" w:type="dxa"/>
            <w:vAlign w:val="bottom"/>
            <w:gridSpan w:val="10"/>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80" w:type="dxa"/>
            <w:vAlign w:val="bottom"/>
            <w:gridSpan w:val="10"/>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gridSpan w:val="11"/>
          </w:tcPr>
          <w:p>
            <w:pPr>
              <w:spacing w:after="0"/>
              <w:rPr>
                <w:sz w:val="20"/>
                <w:szCs w:val="20"/>
                <w:color w:val="auto"/>
              </w:rPr>
            </w:pPr>
            <w:r>
              <w:rPr>
                <w:rFonts w:ascii="Arial" w:cs="Arial" w:eastAsia="Arial" w:hAnsi="Arial"/>
                <w:sz w:val="16"/>
                <w:szCs w:val="16"/>
                <w:color w:val="0000FF"/>
              </w:rPr>
              <w:t>140 NEW MONTGOMERY STREET, 20TH FLOOR</w:t>
            </w:r>
          </w:p>
        </w:tc>
        <w:tc>
          <w:tcPr>
            <w:tcW w:w="1360" w:type="dxa"/>
            <w:vAlign w:val="bottom"/>
            <w:gridSpan w:val="5"/>
          </w:tcPr>
          <w:p>
            <w:pPr>
              <w:ind w:left="20"/>
              <w:spacing w:after="0"/>
              <w:rPr>
                <w:sz w:val="20"/>
                <w:szCs w:val="20"/>
                <w:color w:val="auto"/>
              </w:rPr>
            </w:pPr>
            <w:r>
              <w:rPr>
                <w:rFonts w:ascii="Arial" w:cs="Arial" w:eastAsia="Arial" w:hAnsi="Arial"/>
                <w:sz w:val="16"/>
                <w:szCs w:val="16"/>
                <w:color w:val="0000FF"/>
              </w:rPr>
              <w:t>08/08/2022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300" w:type="dxa"/>
            <w:vAlign w:val="bottom"/>
            <w:gridSpan w:val="11"/>
            <w:vMerge w:val="restart"/>
          </w:tcPr>
          <w:p>
            <w:pPr>
              <w:ind w:left="2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6"/>
                <w:szCs w:val="16"/>
                <w:color w:val="0000FF"/>
              </w:rPr>
              <w:t>SAN</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300" w:type="dxa"/>
            <w:vAlign w:val="bottom"/>
            <w:gridSpan w:val="11"/>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4"/>
            <w:vMerge w:val="restart"/>
          </w:tcPr>
          <w:p>
            <w:pPr>
              <w:ind w:left="20"/>
              <w:spacing w:after="0"/>
              <w:rPr>
                <w:sz w:val="20"/>
                <w:szCs w:val="20"/>
                <w:color w:val="auto"/>
              </w:rPr>
            </w:pPr>
            <w:r>
              <w:rPr>
                <w:rFonts w:ascii="Arial" w:cs="Arial" w:eastAsia="Arial" w:hAnsi="Arial"/>
                <w:sz w:val="16"/>
                <w:szCs w:val="16"/>
                <w:color w:val="0000FF"/>
              </w:rPr>
              <w:t>CA</w:t>
            </w:r>
          </w:p>
        </w:tc>
        <w:tc>
          <w:tcPr>
            <w:tcW w:w="980" w:type="dxa"/>
            <w:vAlign w:val="bottom"/>
            <w:vMerge w:val="restart"/>
          </w:tcPr>
          <w:p>
            <w:pPr>
              <w:ind w:left="120"/>
              <w:spacing w:after="0"/>
              <w:rPr>
                <w:sz w:val="20"/>
                <w:szCs w:val="20"/>
                <w:color w:val="auto"/>
              </w:rPr>
            </w:pPr>
            <w:r>
              <w:rPr>
                <w:rFonts w:ascii="Arial" w:cs="Arial" w:eastAsia="Arial" w:hAnsi="Arial"/>
                <w:sz w:val="16"/>
                <w:szCs w:val="16"/>
                <w:color w:val="0000FF"/>
              </w:rPr>
              <w:t>94105</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FRANCISCO</w:t>
            </w:r>
          </w:p>
        </w:tc>
        <w:tc>
          <w:tcPr>
            <w:tcW w:w="1140" w:type="dxa"/>
            <w:vAlign w:val="bottom"/>
            <w:gridSpan w:val="4"/>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120" w:type="dxa"/>
            <w:vAlign w:val="bottom"/>
            <w:gridSpan w:val="4"/>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gridSpan w:val="9"/>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gridSpan w:val="2"/>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21"/>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8"/>
          </w:tcPr>
          <w:p>
            <w:pPr>
              <w:ind w:left="90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5"/>
          </w:tcPr>
          <w:p>
            <w:pPr>
              <w:ind w:left="900"/>
              <w:spacing w:after="0" w:line="120" w:lineRule="exact"/>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8"/>
          </w:tcPr>
          <w:p>
            <w:pPr>
              <w:ind w:left="900"/>
              <w:spacing w:after="0" w:line="123" w:lineRule="exact"/>
              <w:rPr>
                <w:sz w:val="20"/>
                <w:szCs w:val="20"/>
                <w:color w:val="auto"/>
              </w:rPr>
            </w:pPr>
            <w:r>
              <w:rPr>
                <w:rFonts w:ascii="Arial" w:cs="Arial" w:eastAsia="Arial" w:hAnsi="Arial"/>
                <w:sz w:val="11"/>
                <w:szCs w:val="11"/>
                <w:b w:val="1"/>
                <w:bCs w:val="1"/>
                <w:color w:val="auto"/>
              </w:rPr>
              <w:t>(Month/Day/Year)</w:t>
            </w: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Code (Instr.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(Month/Day/Year)  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400"/>
              <w:spacing w:after="0" w:line="123"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98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08/08/2022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center"/>
              <w:ind w:right="165"/>
              <w:spacing w:after="0"/>
              <w:rPr>
                <w:sz w:val="20"/>
                <w:szCs w:val="20"/>
                <w:color w:val="auto"/>
              </w:rPr>
            </w:pPr>
            <w:r>
              <w:rPr>
                <w:rFonts w:ascii="Arial" w:cs="Arial" w:eastAsia="Arial" w:hAnsi="Arial"/>
                <w:sz w:val="24"/>
                <w:szCs w:val="24"/>
                <w:color w:val="0000FF"/>
                <w:w w:val="92"/>
                <w:vertAlign w:val="subscript"/>
              </w:rPr>
              <w:t>J</w:t>
            </w:r>
            <w:r>
              <w:rPr>
                <w:rFonts w:ascii="Arial" w:cs="Arial" w:eastAsia="Arial" w:hAnsi="Arial"/>
                <w:sz w:val="10"/>
                <w:szCs w:val="10"/>
                <w:color w:val="008000"/>
                <w:w w:val="92"/>
              </w:rPr>
              <w:t>(1)(2)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1,100,000</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(1)(2)</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22,991,844</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2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08/08/2022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center"/>
              <w:ind w:right="165"/>
              <w:spacing w:after="0"/>
              <w:rPr>
                <w:sz w:val="20"/>
                <w:szCs w:val="20"/>
                <w:color w:val="auto"/>
              </w:rPr>
            </w:pPr>
            <w:r>
              <w:rPr>
                <w:rFonts w:ascii="Arial" w:cs="Arial" w:eastAsia="Arial" w:hAnsi="Arial"/>
                <w:sz w:val="24"/>
                <w:szCs w:val="24"/>
                <w:color w:val="0000FF"/>
                <w:w w:val="94"/>
                <w:vertAlign w:val="subscript"/>
              </w:rPr>
              <w:t>C</w:t>
            </w:r>
            <w:r>
              <w:rPr>
                <w:rFonts w:ascii="Arial" w:cs="Arial" w:eastAsia="Arial" w:hAnsi="Arial"/>
                <w:sz w:val="10"/>
                <w:szCs w:val="10"/>
                <w:color w:val="008000"/>
                <w:w w:val="94"/>
              </w:rPr>
              <w:t>(1)(2)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1,100,000</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(1)(2)</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3,608,971</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2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08/08/2022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center"/>
              <w:ind w:right="165"/>
              <w:spacing w:after="0"/>
              <w:rPr>
                <w:sz w:val="20"/>
                <w:szCs w:val="20"/>
                <w:color w:val="auto"/>
              </w:rPr>
            </w:pPr>
            <w:r>
              <w:rPr>
                <w:rFonts w:ascii="Arial" w:cs="Arial" w:eastAsia="Arial" w:hAnsi="Arial"/>
                <w:sz w:val="12"/>
                <w:szCs w:val="12"/>
                <w:color w:val="0000FF"/>
                <w:w w:val="74"/>
              </w:rPr>
              <w: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0000FF"/>
              </w:rPr>
              <w:t>1,100,000</w:t>
            </w:r>
            <w:r>
              <w:rPr>
                <w:rFonts w:ascii="Arial" w:cs="Arial" w:eastAsia="Arial" w:hAnsi="Arial"/>
                <w:sz w:val="20"/>
                <w:szCs w:val="20"/>
                <w:color w:val="008000"/>
                <w:vertAlign w:val="superscript"/>
              </w:rPr>
              <w:t>(4)</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24.5</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2,508,971</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7"/>
            <w:vMerge w:val="continue"/>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98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08/09/2022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center"/>
              <w:ind w:right="165"/>
              <w:spacing w:after="0"/>
              <w:rPr>
                <w:sz w:val="20"/>
                <w:szCs w:val="20"/>
                <w:color w:val="auto"/>
              </w:rPr>
            </w:pPr>
            <w:r>
              <w:rPr>
                <w:rFonts w:ascii="Arial" w:cs="Arial" w:eastAsia="Arial" w:hAnsi="Arial"/>
                <w:sz w:val="24"/>
                <w:szCs w:val="24"/>
                <w:color w:val="0000FF"/>
                <w:w w:val="92"/>
                <w:vertAlign w:val="subscript"/>
              </w:rPr>
              <w:t>J</w:t>
            </w:r>
            <w:r>
              <w:rPr>
                <w:rFonts w:ascii="Arial" w:cs="Arial" w:eastAsia="Arial" w:hAnsi="Arial"/>
                <w:sz w:val="10"/>
                <w:szCs w:val="10"/>
                <w:color w:val="008000"/>
                <w:w w:val="92"/>
              </w:rPr>
              <w:t>(2)(5)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1,016,000</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(2)(5)</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21,975,844</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2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08/09/2022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center"/>
              <w:ind w:right="165"/>
              <w:spacing w:after="0"/>
              <w:rPr>
                <w:sz w:val="20"/>
                <w:szCs w:val="20"/>
                <w:color w:val="auto"/>
              </w:rPr>
            </w:pPr>
            <w:r>
              <w:rPr>
                <w:rFonts w:ascii="Arial" w:cs="Arial" w:eastAsia="Arial" w:hAnsi="Arial"/>
                <w:sz w:val="24"/>
                <w:szCs w:val="24"/>
                <w:color w:val="0000FF"/>
                <w:w w:val="94"/>
                <w:vertAlign w:val="subscript"/>
              </w:rPr>
              <w:t>C</w:t>
            </w:r>
            <w:r>
              <w:rPr>
                <w:rFonts w:ascii="Arial" w:cs="Arial" w:eastAsia="Arial" w:hAnsi="Arial"/>
                <w:sz w:val="10"/>
                <w:szCs w:val="10"/>
                <w:color w:val="008000"/>
                <w:w w:val="94"/>
              </w:rPr>
              <w:t>(2)(5)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1,016,000</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(2)(5)</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3,524,971</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2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0"/>
                <w:szCs w:val="20"/>
                <w:color w:val="auto"/>
              </w:rPr>
            </w:pPr>
          </w:p>
        </w:tc>
        <w:tc>
          <w:tcPr>
            <w:tcW w:w="860" w:type="dxa"/>
            <w:vAlign w:val="bottom"/>
            <w:gridSpan w:val="6"/>
            <w:vMerge w:val="restart"/>
          </w:tcPr>
          <w:p>
            <w:pPr>
              <w:jc w:val="right"/>
              <w:ind w:right="65"/>
              <w:spacing w:after="0"/>
              <w:rPr>
                <w:sz w:val="20"/>
                <w:szCs w:val="20"/>
                <w:color w:val="auto"/>
              </w:rPr>
            </w:pPr>
            <w:r>
              <w:rPr>
                <w:rFonts w:ascii="Arial" w:cs="Arial" w:eastAsia="Arial" w:hAnsi="Arial"/>
                <w:sz w:val="16"/>
                <w:szCs w:val="16"/>
                <w:color w:val="0000FF"/>
                <w:w w:val="89"/>
              </w:rPr>
              <w:t>08/09/2022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jc w:val="center"/>
              <w:ind w:right="165"/>
              <w:spacing w:after="0"/>
              <w:rPr>
                <w:sz w:val="20"/>
                <w:szCs w:val="20"/>
                <w:color w:val="auto"/>
              </w:rPr>
            </w:pPr>
            <w:r>
              <w:rPr>
                <w:rFonts w:ascii="Arial" w:cs="Arial" w:eastAsia="Arial" w:hAnsi="Arial"/>
                <w:sz w:val="12"/>
                <w:szCs w:val="12"/>
                <w:color w:val="0000FF"/>
                <w:w w:val="74"/>
              </w:rPr>
              <w: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0000FF"/>
              </w:rPr>
              <w:t>1,016,000</w:t>
            </w:r>
            <w:r>
              <w:rPr>
                <w:rFonts w:ascii="Arial" w:cs="Arial" w:eastAsia="Arial" w:hAnsi="Arial"/>
                <w:sz w:val="20"/>
                <w:szCs w:val="20"/>
                <w:color w:val="008000"/>
                <w:vertAlign w:val="superscript"/>
              </w:rPr>
              <w:t>(6)</w:t>
            </w:r>
          </w:p>
        </w:tc>
        <w:tc>
          <w:tcPr>
            <w:tcW w:w="280" w:type="dxa"/>
            <w:vAlign w:val="bottom"/>
            <w:vMerge w:val="restart"/>
          </w:tcPr>
          <w:p>
            <w:pPr>
              <w:ind w:left="20"/>
              <w:spacing w:after="0"/>
              <w:rPr>
                <w:sz w:val="20"/>
                <w:szCs w:val="20"/>
                <w:color w:val="auto"/>
              </w:rPr>
            </w:pPr>
            <w:r>
              <w:rPr>
                <w:rFonts w:ascii="Arial" w:cs="Arial" w:eastAsia="Arial" w:hAnsi="Arial"/>
                <w:sz w:val="16"/>
                <w:szCs w:val="16"/>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22.75</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2,508,971</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7"/>
            <w:vMerge w:val="continue"/>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color w:val="0000FF"/>
              </w:rPr>
              <w: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80" w:type="dxa"/>
            <w:vAlign w:val="bottom"/>
            <w:gridSpan w:val="21"/>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00" w:type="dxa"/>
            <w:vAlign w:val="bottom"/>
            <w:gridSpan w:val="20"/>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5"/>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8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8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400" w:type="dxa"/>
            <w:vAlign w:val="bottom"/>
            <w:tcBorders>
              <w:right w:val="single" w:sz="8" w:color="2C2C2C"/>
            </w:tcBorders>
            <w:gridSpan w:val="4"/>
          </w:tcPr>
          <w:p>
            <w:pPr>
              <w:ind w:left="4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8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0"/>
                <w:szCs w:val="10"/>
                <w:color w:val="auto"/>
              </w:rPr>
            </w:pPr>
          </w:p>
        </w:tc>
        <w:tc>
          <w:tcPr>
            <w:tcW w:w="148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1400" w:type="dxa"/>
            <w:vAlign w:val="bottom"/>
            <w:tcBorders>
              <w:right w:val="single" w:sz="8" w:color="2C2C2C"/>
            </w:tcBorders>
            <w:gridSpan w:val="4"/>
          </w:tcPr>
          <w:p>
            <w:pPr>
              <w:ind w:left="4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5"/>
              </w:rPr>
              <w:t>Reported</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6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20" w:type="dxa"/>
            <w:vAlign w:val="bottom"/>
          </w:tcPr>
          <w:p>
            <w:pPr>
              <w:spacing w:after="0"/>
              <w:rPr>
                <w:sz w:val="12"/>
                <w:szCs w:val="12"/>
                <w:color w:val="auto"/>
              </w:rPr>
            </w:pP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V</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of AIDH</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gridSpan w:val="3"/>
            <w:vMerge w:val="restart"/>
          </w:tcPr>
          <w:p>
            <w:pPr>
              <w:ind w:left="80"/>
              <w:spacing w:after="0" w:line="197" w:lineRule="exact"/>
              <w:rPr>
                <w:sz w:val="20"/>
                <w:szCs w:val="20"/>
                <w:color w:val="auto"/>
              </w:rPr>
            </w:pPr>
            <w:r>
              <w:rPr>
                <w:rFonts w:ascii="Arial" w:cs="Arial" w:eastAsia="Arial" w:hAnsi="Arial"/>
                <w:sz w:val="22"/>
                <w:szCs w:val="22"/>
                <w:color w:val="0000FF"/>
                <w:w w:val="85"/>
                <w:vertAlign w:val="subscript"/>
              </w:rPr>
              <w:t>C</w:t>
            </w:r>
            <w:r>
              <w:rPr>
                <w:rFonts w:ascii="Arial" w:cs="Arial" w:eastAsia="Arial" w:hAnsi="Arial"/>
                <w:sz w:val="10"/>
                <w:szCs w:val="10"/>
                <w:color w:val="008000"/>
                <w:w w:val="85"/>
              </w:rPr>
              <w:t>(1)(2)</w:t>
            </w: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gridSpan w:val="2"/>
            <w:vMerge w:val="restart"/>
          </w:tcPr>
          <w:p>
            <w:pPr>
              <w:jc w:val="center"/>
              <w:ind w:right="45"/>
              <w:spacing w:after="0"/>
              <w:rPr>
                <w:sz w:val="20"/>
                <w:szCs w:val="20"/>
                <w:color w:val="auto"/>
              </w:rPr>
            </w:pPr>
            <w:r>
              <w:rPr>
                <w:rFonts w:ascii="Arial" w:cs="Arial" w:eastAsia="Arial" w:hAnsi="Arial"/>
                <w:sz w:val="10"/>
                <w:szCs w:val="10"/>
                <w:color w:val="008000"/>
                <w:w w:val="97"/>
              </w:rPr>
              <w:t>(2)</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(2)</w:t>
            </w:r>
          </w:p>
        </w:tc>
        <w:tc>
          <w:tcPr>
            <w:tcW w:w="520" w:type="dxa"/>
            <w:vAlign w:val="bottom"/>
            <w:vMerge w:val="continue"/>
          </w:tcPr>
          <w:p>
            <w:pPr>
              <w:spacing w:after="0"/>
              <w:rPr>
                <w:sz w:val="5"/>
                <w:szCs w:val="5"/>
                <w:color w:val="auto"/>
              </w:rPr>
            </w:pPr>
          </w:p>
        </w:tc>
        <w:tc>
          <w:tcPr>
            <w:tcW w:w="940" w:type="dxa"/>
            <w:vAlign w:val="bottom"/>
            <w:gridSpan w:val="3"/>
            <w:vMerge w:val="restart"/>
          </w:tcPr>
          <w:p>
            <w:pPr>
              <w:ind w:left="100"/>
              <w:spacing w:after="0" w:line="197" w:lineRule="exact"/>
              <w:rPr>
                <w:sz w:val="20"/>
                <w:szCs w:val="20"/>
                <w:color w:val="auto"/>
              </w:rPr>
            </w:pPr>
            <w:r>
              <w:rPr>
                <w:rFonts w:ascii="Arial" w:cs="Arial" w:eastAsia="Arial" w:hAnsi="Arial"/>
                <w:sz w:val="16"/>
                <w:szCs w:val="16"/>
                <w:color w:val="0000FF"/>
                <w:w w:val="93"/>
              </w:rPr>
              <w:t>1,100,000</w:t>
            </w:r>
            <w:r>
              <w:rPr>
                <w:rFonts w:ascii="Arial" w:cs="Arial" w:eastAsia="Arial" w:hAnsi="Arial"/>
                <w:sz w:val="20"/>
                <w:szCs w:val="20"/>
                <w:color w:val="008000"/>
                <w:w w:val="93"/>
                <w:vertAlign w:val="superscript"/>
              </w:rPr>
              <w:t>(2)</w:t>
            </w:r>
          </w:p>
        </w:tc>
        <w:tc>
          <w:tcPr>
            <w:tcW w:w="2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0"/>
                <w:szCs w:val="10"/>
                <w:color w:val="008000"/>
              </w:rPr>
              <w:t>(1)(2)</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97" w:lineRule="exact"/>
              <w:rPr>
                <w:sz w:val="20"/>
                <w:szCs w:val="20"/>
                <w:color w:val="auto"/>
              </w:rPr>
            </w:pPr>
            <w:r>
              <w:rPr>
                <w:rFonts w:ascii="Arial" w:cs="Arial" w:eastAsia="Arial" w:hAnsi="Arial"/>
                <w:sz w:val="12"/>
                <w:szCs w:val="12"/>
                <w:color w:val="0000FF"/>
                <w:w w:val="96"/>
              </w:rPr>
              <w:t>See note</w:t>
            </w:r>
            <w:r>
              <w:rPr>
                <w:rFonts w:ascii="Arial" w:cs="Arial" w:eastAsia="Arial" w:hAnsi="Arial"/>
                <w:sz w:val="20"/>
                <w:szCs w:val="20"/>
                <w:color w:val="008000"/>
                <w:w w:val="96"/>
                <w:vertAlign w:val="superscript"/>
              </w:rPr>
              <w:t>(3)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ind w:left="240"/>
              <w:spacing w:after="0" w:line="136" w:lineRule="exact"/>
              <w:rPr>
                <w:sz w:val="20"/>
                <w:szCs w:val="20"/>
                <w:color w:val="auto"/>
              </w:rPr>
            </w:pPr>
            <w:r>
              <w:rPr>
                <w:rFonts w:ascii="Arial" w:cs="Arial" w:eastAsia="Arial" w:hAnsi="Arial"/>
                <w:sz w:val="12"/>
                <w:szCs w:val="12"/>
                <w:color w:val="0000FF"/>
              </w:rPr>
              <w:t>08/08/2022</w:t>
            </w: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restart"/>
          </w:tcPr>
          <w:p>
            <w:pPr>
              <w:ind w:left="300"/>
              <w:spacing w:after="0" w:line="136" w:lineRule="exact"/>
              <w:rPr>
                <w:sz w:val="20"/>
                <w:szCs w:val="20"/>
                <w:color w:val="auto"/>
              </w:rPr>
            </w:pPr>
            <w:r>
              <w:rPr>
                <w:rFonts w:ascii="Arial" w:cs="Arial" w:eastAsia="Arial" w:hAnsi="Arial"/>
                <w:sz w:val="12"/>
                <w:szCs w:val="12"/>
                <w:color w:val="0000FF"/>
              </w:rPr>
              <w:t>1,100,000</w:t>
            </w: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ind w:left="40"/>
              <w:spacing w:after="0" w:line="136" w:lineRule="exact"/>
              <w:rPr>
                <w:sz w:val="20"/>
                <w:szCs w:val="20"/>
                <w:color w:val="auto"/>
              </w:rPr>
            </w:pPr>
            <w:r>
              <w:rPr>
                <w:rFonts w:ascii="Arial" w:cs="Arial" w:eastAsia="Arial" w:hAnsi="Arial"/>
                <w:sz w:val="12"/>
                <w:szCs w:val="12"/>
                <w:color w:val="0000FF"/>
                <w:w w:val="94"/>
              </w:rPr>
              <w:t>Common</w:t>
            </w:r>
          </w:p>
        </w:tc>
        <w:tc>
          <w:tcPr>
            <w:tcW w:w="9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gridSpan w:val="2"/>
            <w:vMerge w:val="restart"/>
          </w:tcPr>
          <w:p>
            <w:pPr>
              <w:ind w:left="120"/>
              <w:spacing w:after="0" w:line="136" w:lineRule="exact"/>
              <w:rPr>
                <w:sz w:val="20"/>
                <w:szCs w:val="20"/>
                <w:color w:val="auto"/>
              </w:rPr>
            </w:pPr>
            <w:r>
              <w:rPr>
                <w:rFonts w:ascii="Arial" w:cs="Arial" w:eastAsia="Arial" w:hAnsi="Arial"/>
                <w:sz w:val="12"/>
                <w:szCs w:val="12"/>
                <w:color w:val="0000FF"/>
              </w:rPr>
              <w:t>22,991,844</w:t>
            </w:r>
          </w:p>
        </w:tc>
        <w:tc>
          <w:tcPr>
            <w:tcW w:w="58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Topco,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of AIDH</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gridSpan w:val="3"/>
            <w:vMerge w:val="restart"/>
          </w:tcPr>
          <w:p>
            <w:pPr>
              <w:ind w:left="80"/>
              <w:spacing w:after="0" w:line="197" w:lineRule="exact"/>
              <w:rPr>
                <w:sz w:val="20"/>
                <w:szCs w:val="20"/>
                <w:color w:val="auto"/>
              </w:rPr>
            </w:pPr>
            <w:r>
              <w:rPr>
                <w:rFonts w:ascii="Arial" w:cs="Arial" w:eastAsia="Arial" w:hAnsi="Arial"/>
                <w:sz w:val="22"/>
                <w:szCs w:val="22"/>
                <w:color w:val="0000FF"/>
                <w:w w:val="85"/>
                <w:vertAlign w:val="subscript"/>
              </w:rPr>
              <w:t>C</w:t>
            </w:r>
            <w:r>
              <w:rPr>
                <w:rFonts w:ascii="Arial" w:cs="Arial" w:eastAsia="Arial" w:hAnsi="Arial"/>
                <w:sz w:val="10"/>
                <w:szCs w:val="10"/>
                <w:color w:val="008000"/>
                <w:w w:val="85"/>
              </w:rPr>
              <w:t>(2)(5)</w:t>
            </w: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gridSpan w:val="2"/>
            <w:vMerge w:val="restart"/>
          </w:tcPr>
          <w:p>
            <w:pPr>
              <w:jc w:val="center"/>
              <w:ind w:right="45"/>
              <w:spacing w:after="0"/>
              <w:rPr>
                <w:sz w:val="20"/>
                <w:szCs w:val="20"/>
                <w:color w:val="auto"/>
              </w:rPr>
            </w:pPr>
            <w:r>
              <w:rPr>
                <w:rFonts w:ascii="Arial" w:cs="Arial" w:eastAsia="Arial" w:hAnsi="Arial"/>
                <w:sz w:val="10"/>
                <w:szCs w:val="10"/>
                <w:color w:val="008000"/>
                <w:w w:val="97"/>
              </w:rPr>
              <w:t>(2)</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(2)</w:t>
            </w:r>
          </w:p>
        </w:tc>
        <w:tc>
          <w:tcPr>
            <w:tcW w:w="520" w:type="dxa"/>
            <w:vAlign w:val="bottom"/>
            <w:vMerge w:val="continue"/>
          </w:tcPr>
          <w:p>
            <w:pPr>
              <w:spacing w:after="0"/>
              <w:rPr>
                <w:sz w:val="5"/>
                <w:szCs w:val="5"/>
                <w:color w:val="auto"/>
              </w:rPr>
            </w:pPr>
          </w:p>
        </w:tc>
        <w:tc>
          <w:tcPr>
            <w:tcW w:w="940" w:type="dxa"/>
            <w:vAlign w:val="bottom"/>
            <w:gridSpan w:val="3"/>
            <w:vMerge w:val="restart"/>
          </w:tcPr>
          <w:p>
            <w:pPr>
              <w:ind w:left="100"/>
              <w:spacing w:after="0" w:line="197" w:lineRule="exact"/>
              <w:rPr>
                <w:sz w:val="20"/>
                <w:szCs w:val="20"/>
                <w:color w:val="auto"/>
              </w:rPr>
            </w:pPr>
            <w:r>
              <w:rPr>
                <w:rFonts w:ascii="Arial" w:cs="Arial" w:eastAsia="Arial" w:hAnsi="Arial"/>
                <w:sz w:val="16"/>
                <w:szCs w:val="16"/>
                <w:color w:val="0000FF"/>
                <w:w w:val="93"/>
              </w:rPr>
              <w:t>1,016,000</w:t>
            </w:r>
            <w:r>
              <w:rPr>
                <w:rFonts w:ascii="Arial" w:cs="Arial" w:eastAsia="Arial" w:hAnsi="Arial"/>
                <w:sz w:val="20"/>
                <w:szCs w:val="20"/>
                <w:color w:val="008000"/>
                <w:w w:val="93"/>
                <w:vertAlign w:val="superscript"/>
              </w:rPr>
              <w:t>(2)</w:t>
            </w:r>
          </w:p>
        </w:tc>
        <w:tc>
          <w:tcPr>
            <w:tcW w:w="2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0"/>
                <w:szCs w:val="10"/>
                <w:color w:val="008000"/>
              </w:rPr>
              <w:t>(2)(5)</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97" w:lineRule="exact"/>
              <w:rPr>
                <w:sz w:val="20"/>
                <w:szCs w:val="20"/>
                <w:color w:val="auto"/>
              </w:rPr>
            </w:pPr>
            <w:r>
              <w:rPr>
                <w:rFonts w:ascii="Arial" w:cs="Arial" w:eastAsia="Arial" w:hAnsi="Arial"/>
                <w:sz w:val="12"/>
                <w:szCs w:val="12"/>
                <w:color w:val="0000FF"/>
                <w:w w:val="96"/>
              </w:rPr>
              <w:t>See note</w:t>
            </w:r>
            <w:r>
              <w:rPr>
                <w:rFonts w:ascii="Arial" w:cs="Arial" w:eastAsia="Arial" w:hAnsi="Arial"/>
                <w:sz w:val="20"/>
                <w:szCs w:val="20"/>
                <w:color w:val="008000"/>
                <w:w w:val="96"/>
                <w:vertAlign w:val="superscript"/>
              </w:rPr>
              <w:t>(3)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ind w:left="240"/>
              <w:spacing w:after="0" w:line="136" w:lineRule="exact"/>
              <w:rPr>
                <w:sz w:val="20"/>
                <w:szCs w:val="20"/>
                <w:color w:val="auto"/>
              </w:rPr>
            </w:pPr>
            <w:r>
              <w:rPr>
                <w:rFonts w:ascii="Arial" w:cs="Arial" w:eastAsia="Arial" w:hAnsi="Arial"/>
                <w:sz w:val="12"/>
                <w:szCs w:val="12"/>
                <w:color w:val="0000FF"/>
              </w:rPr>
              <w:t>08/09/2022</w:t>
            </w: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restart"/>
          </w:tcPr>
          <w:p>
            <w:pPr>
              <w:ind w:left="300"/>
              <w:spacing w:after="0" w:line="136" w:lineRule="exact"/>
              <w:rPr>
                <w:sz w:val="20"/>
                <w:szCs w:val="20"/>
                <w:color w:val="auto"/>
              </w:rPr>
            </w:pPr>
            <w:r>
              <w:rPr>
                <w:rFonts w:ascii="Arial" w:cs="Arial" w:eastAsia="Arial" w:hAnsi="Arial"/>
                <w:sz w:val="12"/>
                <w:szCs w:val="12"/>
                <w:color w:val="0000FF"/>
              </w:rPr>
              <w:t>1,016,000</w:t>
            </w: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ind w:left="40"/>
              <w:spacing w:after="0" w:line="136" w:lineRule="exact"/>
              <w:rPr>
                <w:sz w:val="20"/>
                <w:szCs w:val="20"/>
                <w:color w:val="auto"/>
              </w:rPr>
            </w:pPr>
            <w:r>
              <w:rPr>
                <w:rFonts w:ascii="Arial" w:cs="Arial" w:eastAsia="Arial" w:hAnsi="Arial"/>
                <w:sz w:val="12"/>
                <w:szCs w:val="12"/>
                <w:color w:val="0000FF"/>
                <w:w w:val="94"/>
              </w:rPr>
              <w:t>Common</w:t>
            </w:r>
          </w:p>
        </w:tc>
        <w:tc>
          <w:tcPr>
            <w:tcW w:w="9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gridSpan w:val="2"/>
            <w:vMerge w:val="restart"/>
          </w:tcPr>
          <w:p>
            <w:pPr>
              <w:ind w:left="120"/>
              <w:spacing w:after="0" w:line="136" w:lineRule="exact"/>
              <w:rPr>
                <w:sz w:val="20"/>
                <w:szCs w:val="20"/>
                <w:color w:val="auto"/>
              </w:rPr>
            </w:pPr>
            <w:r>
              <w:rPr>
                <w:rFonts w:ascii="Arial" w:cs="Arial" w:eastAsia="Arial" w:hAnsi="Arial"/>
                <w:sz w:val="12"/>
                <w:szCs w:val="12"/>
                <w:color w:val="0000FF"/>
              </w:rPr>
              <w:t>21,975,844</w:t>
            </w:r>
          </w:p>
        </w:tc>
        <w:tc>
          <w:tcPr>
            <w:tcW w:w="58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Topco,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4"/>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7"/>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6"/>
          </w:tcPr>
          <w:p>
            <w:pPr>
              <w:spacing w:after="0" w:line="204" w:lineRule="exact"/>
              <w:rPr>
                <w:rFonts w:ascii="Arial" w:cs="Arial" w:eastAsia="Arial" w:hAnsi="Arial"/>
                <w:sz w:val="20"/>
                <w:szCs w:val="20"/>
                <w:color w:val="0000EE"/>
                <w:w w:val="96"/>
              </w:rPr>
            </w:pPr>
            <w:hyperlink r:id="rId12">
              <w:r>
                <w:rPr>
                  <w:rFonts w:ascii="Arial" w:cs="Arial" w:eastAsia="Arial" w:hAnsi="Arial"/>
                  <w:sz w:val="20"/>
                  <w:szCs w:val="20"/>
                  <w:color w:val="0000EE"/>
                  <w:w w:val="96"/>
                </w:rPr>
                <w:t>SEA VII Management, LLC</w:t>
              </w:r>
            </w:hyperlink>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980" w:type="dxa"/>
            <w:vAlign w:val="bottom"/>
          </w:tcPr>
          <w:p>
            <w:pPr>
              <w:ind w:left="4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gridSpan w:val="11"/>
          </w:tcPr>
          <w:p>
            <w:pPr>
              <w:spacing w:after="0"/>
              <w:rPr>
                <w:sz w:val="20"/>
                <w:szCs w:val="20"/>
                <w:color w:val="auto"/>
              </w:rPr>
            </w:pPr>
            <w:r>
              <w:rPr>
                <w:rFonts w:ascii="Arial" w:cs="Arial" w:eastAsia="Arial" w:hAnsi="Arial"/>
                <w:sz w:val="16"/>
                <w:szCs w:val="16"/>
                <w:color w:val="0000FF"/>
              </w:rPr>
              <w:t>140 NEW MONTGOMERY STREET, 20TH FLOOR</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w w:val="98"/>
              </w:rPr>
              <w:t>SAN FRANCISCO</w:t>
            </w:r>
          </w:p>
        </w:tc>
        <w:tc>
          <w:tcPr>
            <w:tcW w:w="1020" w:type="dxa"/>
            <w:vAlign w:val="bottom"/>
            <w:gridSpan w:val="3"/>
          </w:tcPr>
          <w:p>
            <w:pPr>
              <w:ind w:left="100"/>
              <w:spacing w:after="0"/>
              <w:rPr>
                <w:sz w:val="20"/>
                <w:szCs w:val="20"/>
                <w:color w:val="auto"/>
              </w:rPr>
            </w:pPr>
            <w:r>
              <w:rPr>
                <w:rFonts w:ascii="Arial" w:cs="Arial" w:eastAsia="Arial" w:hAnsi="Arial"/>
                <w:sz w:val="16"/>
                <w:szCs w:val="16"/>
                <w:color w:val="0000FF"/>
              </w:rPr>
              <w:t>CA</w:t>
            </w:r>
          </w:p>
        </w:tc>
        <w:tc>
          <w:tcPr>
            <w:tcW w:w="980" w:type="dxa"/>
            <w:vAlign w:val="bottom"/>
          </w:tcPr>
          <w:p>
            <w:pPr>
              <w:ind w:left="480"/>
              <w:spacing w:after="0"/>
              <w:rPr>
                <w:sz w:val="20"/>
                <w:szCs w:val="20"/>
                <w:color w:val="auto"/>
              </w:rPr>
            </w:pPr>
            <w:r>
              <w:rPr>
                <w:rFonts w:ascii="Arial" w:cs="Arial" w:eastAsia="Arial" w:hAnsi="Arial"/>
                <w:sz w:val="16"/>
                <w:szCs w:val="16"/>
                <w:color w:val="0000FF"/>
              </w:rPr>
              <w:t>94105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980" w:type="dxa"/>
            <w:vAlign w:val="bottom"/>
          </w:tcPr>
          <w:p>
            <w:pPr>
              <w:ind w:left="4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4"/>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6"/>
          </w:tcPr>
          <w:p>
            <w:pPr>
              <w:spacing w:after="0" w:line="204" w:lineRule="exact"/>
              <w:rPr>
                <w:rFonts w:ascii="Arial" w:cs="Arial" w:eastAsia="Arial" w:hAnsi="Arial"/>
                <w:sz w:val="20"/>
                <w:szCs w:val="20"/>
                <w:color w:val="0000EE"/>
              </w:rPr>
            </w:pPr>
            <w:hyperlink r:id="rId14">
              <w:r>
                <w:rPr>
                  <w:rFonts w:ascii="Arial" w:cs="Arial" w:eastAsia="Arial" w:hAnsi="Arial"/>
                  <w:sz w:val="20"/>
                  <w:szCs w:val="20"/>
                  <w:color w:val="0000EE"/>
                </w:rPr>
                <w:t>SE VII DHC AIV, L.P.</w:t>
              </w:r>
            </w:hyperlink>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980" w:type="dxa"/>
            <w:vAlign w:val="bottom"/>
          </w:tcPr>
          <w:p>
            <w:pPr>
              <w:ind w:left="4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-4241165</wp:posOffset>
            </wp:positionV>
            <wp:extent cx="28575" cy="212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120900"/>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140 NEW MONTGOMERY STREET,</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20TH FLOOR</w:t>
      </w:r>
    </w:p>
    <w:p>
      <w:pPr>
        <w:spacing w:after="0" w:line="28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79" w:orient="portrait"/>
          <w:cols w:equalWidth="0" w:num="1">
            <w:col w:w="11080"/>
          </w:cols>
          <w:pgMar w:left="460" w:top="219" w:right="359" w:bottom="0" w:gutter="0" w:footer="0" w:header="0"/>
          <w:type w:val="continuous"/>
        </w:sectPr>
      </w:pPr>
    </w:p>
    <w:p>
      <w:pPr>
        <w:spacing w:after="0" w:line="26"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6"/>
          <w:szCs w:val="16"/>
          <w:color w:val="0000FF"/>
        </w:rPr>
        <w:t>SAN FRANCISCO</w:t>
        <w:tab/>
        <w:t>CA</w:t>
      </w:r>
      <w:r>
        <w:rPr>
          <w:sz w:val="20"/>
          <w:szCs w:val="20"/>
          <w:color w:val="auto"/>
        </w:rPr>
        <w:tab/>
      </w:r>
      <w:r>
        <w:rPr>
          <w:rFonts w:ascii="Arial" w:cs="Arial" w:eastAsia="Arial" w:hAnsi="Arial"/>
          <w:sz w:val="14"/>
          <w:szCs w:val="14"/>
          <w:color w:val="0000FF"/>
        </w:rPr>
        <w:t>94105</w:t>
      </w:r>
    </w:p>
    <w:p>
      <w:pPr>
        <w:sectPr>
          <w:pgSz w:w="11900" w:h="16879" w:orient="portrait"/>
          <w:cols w:equalWidth="0" w:num="1">
            <w:col w:w="11080"/>
          </w:cols>
          <w:pgMar w:left="460" w:top="219" w:right="359" w:bottom="0" w:gutter="0" w:footer="0" w:header="0"/>
          <w:type w:val="continuous"/>
        </w:sectPr>
      </w:pPr>
    </w:p>
    <w:bookmarkStart w:id="1" w:name="page2"/>
    <w:bookmarkEnd w:id="1"/>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6947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8605" cy="69475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8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7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660" w:type="dxa"/>
            <w:vAlign w:val="bottom"/>
            <w:gridSpan w:val="3"/>
          </w:tcPr>
          <w:p>
            <w:pPr>
              <w:spacing w:after="0" w:line="204" w:lineRule="exact"/>
              <w:rPr>
                <w:rFonts w:ascii="Arial" w:cs="Arial" w:eastAsia="Arial" w:hAnsi="Arial"/>
                <w:sz w:val="20"/>
                <w:szCs w:val="20"/>
                <w:color w:val="0000EE"/>
              </w:rPr>
            </w:pPr>
            <w:hyperlink r:id="rId17">
              <w:r>
                <w:rPr>
                  <w:rFonts w:ascii="Arial" w:cs="Arial" w:eastAsia="Arial" w:hAnsi="Arial"/>
                  <w:sz w:val="20"/>
                  <w:szCs w:val="20"/>
                  <w:color w:val="0000EE"/>
                </w:rPr>
                <w:t>SE VII DHC AIV Feeder, L.P.</w:t>
              </w:r>
            </w:hyperlink>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0000FF"/>
              </w:rPr>
              <w:t>140 NEW MONTGOMERY STREET,</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5"/>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2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520" w:type="dxa"/>
            <w:vAlign w:val="bottom"/>
          </w:tcPr>
          <w:p>
            <w:pPr>
              <w:ind w:left="160"/>
              <w:spacing w:after="0"/>
              <w:rPr>
                <w:sz w:val="20"/>
                <w:szCs w:val="20"/>
                <w:color w:val="auto"/>
              </w:rPr>
            </w:pPr>
            <w:r>
              <w:rPr>
                <w:rFonts w:ascii="Arial" w:cs="Arial" w:eastAsia="Arial" w:hAnsi="Arial"/>
                <w:sz w:val="16"/>
                <w:szCs w:val="16"/>
                <w:color w:val="0000FF"/>
              </w:rPr>
              <w:t>94105</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Spectrum VII Investment Managers' Fund, L.P.</w:t>
        </w:r>
      </w:hyperlink>
    </w:p>
    <w:p>
      <w:pPr>
        <w:spacing w:after="0" w:line="290" w:lineRule="exact"/>
        <w:rPr>
          <w:sz w:val="20"/>
          <w:szCs w:val="20"/>
          <w:color w:val="auto"/>
        </w:rPr>
      </w:pPr>
    </w:p>
    <w:p>
      <w:pPr>
        <w:ind w:left="80"/>
        <w:spacing w:after="0"/>
        <w:tabs>
          <w:tab w:leader="none" w:pos="148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140 NEW MONTGOMERY STREET,</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20TH FLOOR</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960" w:type="dxa"/>
            <w:vAlign w:val="bottom"/>
          </w:tcPr>
          <w:p>
            <w:pPr>
              <w:ind w:left="80"/>
              <w:spacing w:after="0"/>
              <w:rPr>
                <w:sz w:val="20"/>
                <w:szCs w:val="20"/>
                <w:color w:val="auto"/>
              </w:rPr>
            </w:pPr>
            <w:r>
              <w:rPr>
                <w:rFonts w:ascii="Arial" w:cs="Arial" w:eastAsia="Arial" w:hAnsi="Arial"/>
                <w:sz w:val="16"/>
                <w:szCs w:val="16"/>
                <w:color w:val="0000FF"/>
              </w:rPr>
              <w:t>CA</w:t>
            </w:r>
          </w:p>
        </w:tc>
        <w:tc>
          <w:tcPr>
            <w:tcW w:w="1880" w:type="dxa"/>
            <w:vAlign w:val="bottom"/>
          </w:tcPr>
          <w:p>
            <w:pPr>
              <w:ind w:left="52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960" w:type="dxa"/>
            <w:vAlign w:val="bottom"/>
          </w:tcPr>
          <w:p>
            <w:pPr>
              <w:ind w:left="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Spectrum VII Co-Investment Fund, L.P.</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80"/>
              <w:spacing w:after="0"/>
              <w:rPr>
                <w:sz w:val="20"/>
                <w:szCs w:val="20"/>
                <w:color w:val="auto"/>
              </w:rPr>
            </w:pPr>
            <w:r>
              <w:rPr>
                <w:rFonts w:ascii="Arial" w:cs="Arial" w:eastAsia="Arial" w:hAnsi="Arial"/>
                <w:sz w:val="12"/>
                <w:szCs w:val="12"/>
                <w:color w:val="auto"/>
              </w:rPr>
              <w:t>(First)</w:t>
            </w:r>
          </w:p>
        </w:tc>
        <w:tc>
          <w:tcPr>
            <w:tcW w:w="152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2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20" w:type="dxa"/>
            <w:vAlign w:val="bottom"/>
          </w:tcPr>
          <w:p>
            <w:pPr>
              <w:ind w:left="80"/>
              <w:spacing w:after="0"/>
              <w:rPr>
                <w:sz w:val="20"/>
                <w:szCs w:val="20"/>
                <w:color w:val="auto"/>
              </w:rPr>
            </w:pPr>
            <w:r>
              <w:rPr>
                <w:rFonts w:ascii="Arial" w:cs="Arial" w:eastAsia="Arial" w:hAnsi="Arial"/>
                <w:sz w:val="16"/>
                <w:szCs w:val="16"/>
                <w:color w:val="0000FF"/>
              </w:rPr>
              <w:t>CA</w:t>
            </w:r>
          </w:p>
        </w:tc>
        <w:tc>
          <w:tcPr>
            <w:tcW w:w="1520" w:type="dxa"/>
            <w:vAlign w:val="bottom"/>
          </w:tcPr>
          <w:p>
            <w:pPr>
              <w:ind w:left="16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80"/>
              <w:spacing w:after="0"/>
              <w:rPr>
                <w:sz w:val="20"/>
                <w:szCs w:val="20"/>
                <w:color w:val="auto"/>
              </w:rPr>
            </w:pPr>
            <w:r>
              <w:rPr>
                <w:rFonts w:ascii="Arial" w:cs="Arial" w:eastAsia="Arial" w:hAnsi="Arial"/>
                <w:sz w:val="12"/>
                <w:szCs w:val="12"/>
                <w:color w:val="auto"/>
              </w:rPr>
              <w:t>(State)</w:t>
            </w:r>
          </w:p>
        </w:tc>
        <w:tc>
          <w:tcPr>
            <w:tcW w:w="152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Spectrum Equity Associates VII, L.P.</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80"/>
              <w:spacing w:after="0"/>
              <w:rPr>
                <w:sz w:val="20"/>
                <w:szCs w:val="20"/>
                <w:color w:val="auto"/>
              </w:rPr>
            </w:pPr>
            <w:r>
              <w:rPr>
                <w:rFonts w:ascii="Arial" w:cs="Arial" w:eastAsia="Arial" w:hAnsi="Arial"/>
                <w:sz w:val="12"/>
                <w:szCs w:val="12"/>
                <w:color w:val="auto"/>
              </w:rPr>
              <w:t>(First)</w:t>
            </w:r>
          </w:p>
        </w:tc>
        <w:tc>
          <w:tcPr>
            <w:tcW w:w="152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0000FF"/>
              </w:rPr>
              <w:t>140 NEW MONTGOMERY STREET,</w:t>
            </w:r>
          </w:p>
        </w:tc>
        <w:tc>
          <w:tcPr>
            <w:tcW w:w="152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20TH FLOOR</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45"/>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6"/>
                <w:szCs w:val="16"/>
                <w:color w:val="0000FF"/>
              </w:rPr>
              <w:t>SAN FRANCISCO</w:t>
            </w:r>
          </w:p>
        </w:tc>
        <w:tc>
          <w:tcPr>
            <w:tcW w:w="1320" w:type="dxa"/>
            <w:vAlign w:val="bottom"/>
          </w:tcPr>
          <w:p>
            <w:pPr>
              <w:ind w:left="80"/>
              <w:spacing w:after="0"/>
              <w:rPr>
                <w:sz w:val="20"/>
                <w:szCs w:val="20"/>
                <w:color w:val="auto"/>
              </w:rPr>
            </w:pPr>
            <w:r>
              <w:rPr>
                <w:rFonts w:ascii="Arial" w:cs="Arial" w:eastAsia="Arial" w:hAnsi="Arial"/>
                <w:sz w:val="16"/>
                <w:szCs w:val="16"/>
                <w:color w:val="0000FF"/>
              </w:rPr>
              <w:t>CA</w:t>
            </w:r>
          </w:p>
        </w:tc>
        <w:tc>
          <w:tcPr>
            <w:tcW w:w="1520" w:type="dxa"/>
            <w:vAlign w:val="bottom"/>
          </w:tcPr>
          <w:p>
            <w:pPr>
              <w:ind w:left="160"/>
              <w:spacing w:after="0"/>
              <w:rPr>
                <w:sz w:val="20"/>
                <w:szCs w:val="20"/>
                <w:color w:val="auto"/>
              </w:rPr>
            </w:pPr>
            <w:r>
              <w:rPr>
                <w:rFonts w:ascii="Arial" w:cs="Arial" w:eastAsia="Arial" w:hAnsi="Arial"/>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80"/>
              <w:spacing w:after="0"/>
              <w:rPr>
                <w:sz w:val="20"/>
                <w:szCs w:val="20"/>
                <w:color w:val="auto"/>
              </w:rPr>
            </w:pPr>
            <w:r>
              <w:rPr>
                <w:rFonts w:ascii="Arial" w:cs="Arial" w:eastAsia="Arial" w:hAnsi="Arial"/>
                <w:sz w:val="12"/>
                <w:szCs w:val="12"/>
                <w:color w:val="auto"/>
              </w:rPr>
              <w:t>(State)</w:t>
            </w:r>
          </w:p>
        </w:tc>
        <w:tc>
          <w:tcPr>
            <w:tcW w:w="152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(1).</w:t>
      </w:r>
    </w:p>
    <w:p>
      <w:pPr>
        <w:spacing w:after="0" w:line="46"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(2).</w:t>
      </w:r>
    </w:p>
    <w:p>
      <w:pPr>
        <w:spacing w:after="0" w:line="46"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(3).</w:t>
      </w:r>
    </w:p>
    <w:p>
      <w:pPr>
        <w:spacing w:after="0" w:line="46"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(4).</w:t>
      </w:r>
    </w:p>
    <w:p>
      <w:pPr>
        <w:spacing w:after="0" w:line="46"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(5).</w:t>
      </w:r>
    </w:p>
    <w:p>
      <w:pPr>
        <w:spacing w:after="0" w:line="46"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the text of footnote (6).</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20"/>
        <w:spacing w:after="0" w:line="245" w:lineRule="auto"/>
        <w:rPr>
          <w:sz w:val="20"/>
          <w:szCs w:val="20"/>
          <w:color w:val="auto"/>
        </w:rPr>
      </w:pPr>
      <w:r>
        <w:rPr>
          <w:rFonts w:ascii="Arial" w:cs="Arial" w:eastAsia="Arial" w:hAnsi="Arial"/>
          <w:sz w:val="12"/>
          <w:szCs w:val="12"/>
          <w:color w:val="008000"/>
        </w:rPr>
        <w:t>Christopher T. Mitchell, a Managing Director of Spectrum and Jeffrey C. Haywood, a Managing Director of Spectrum (together, the "Spectrum Directors"), each serve on the board of directors of the Issuer, and have been deputized to represent the Reporting Persons on the board of directors. By virtue of the Spectrum Directors' representation, for purposes of Section 16 of the Securities Exchange Act of 1934, each of the Reporting Persons may be deemed directors by deputization of the Issuer. The Spectrum Directors have filed separate Section 16 reports disclosing securities of the Issuer that they may be deemed to beneficially own for Section 16 purposes.</w:t>
      </w:r>
    </w:p>
    <w:p>
      <w:pPr>
        <w:sectPr>
          <w:pgSz w:w="11900" w:h="16863" w:orient="portrait"/>
          <w:cols w:equalWidth="0" w:num="1">
            <w:col w:w="10900"/>
          </w:cols>
          <w:pgMar w:left="480" w:top="422" w:right="519" w:bottom="0" w:gutter="0" w:footer="0" w:header="0"/>
        </w:sectPr>
      </w:pPr>
    </w:p>
    <w:p>
      <w:pPr>
        <w:spacing w:after="0" w:line="5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SEA VII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11360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36015" cy="7620"/>
                    </a:xfrm>
                    <a:prstGeom prst="rect">
                      <a:avLst/>
                    </a:prstGeom>
                    <a:noFill/>
                  </pic:spPr>
                </pic:pic>
              </a:graphicData>
            </a:graphic>
          </wp:anchor>
        </w:drawing>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By: /s/ 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3322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Chief 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2820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0591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59180"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SE VII DHC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11245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24585" cy="7620"/>
                    </a:xfrm>
                    <a:prstGeom prst="rect">
                      <a:avLst/>
                    </a:prstGeom>
                    <a:noFill/>
                  </pic:spPr>
                </pic:pic>
              </a:graphicData>
            </a:graphic>
          </wp:anchor>
        </w:drawing>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Spectrum Equity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3379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L.P., its general partner,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0</wp:posOffset>
            </wp:positionV>
            <wp:extent cx="13538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VII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0864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8648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general partner, By: /s/Carolina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2769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7698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 Picazo,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7931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931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2820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8077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SE VII DHC AIV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-8890</wp:posOffset>
            </wp:positionV>
            <wp:extent cx="1165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5860" cy="7620"/>
                    </a:xfrm>
                    <a:prstGeom prst="rect">
                      <a:avLst/>
                    </a:prstGeom>
                    <a:noFill/>
                  </pic:spPr>
                </pic:pic>
              </a:graphicData>
            </a:graphic>
          </wp:anchor>
        </w:drawing>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0674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6743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Associates VII,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2814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partner, By: SEA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2801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2915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0000FF"/>
        </w:rPr>
        <w:t>08/10/2022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0000FF"/>
        </w:rPr>
        <w:t>08/10/2022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0000FF"/>
        </w:rPr>
        <w:t>08/10/2022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ectPr>
          <w:pgSz w:w="11900" w:h="16863" w:orient="portrait"/>
          <w:cols w:equalWidth="0" w:num="2">
            <w:col w:w="8720" w:space="60"/>
            <w:col w:w="2120"/>
          </w:cols>
          <w:pgMar w:left="480" w:top="422" w:right="519" w:bottom="0" w:gutter="0" w:footer="0" w:header="0"/>
          <w:type w:val="continuous"/>
        </w:sectPr>
      </w:pPr>
    </w:p>
    <w:bookmarkStart w:id="2" w:name="page3"/>
    <w:bookmarkEnd w:id="2"/>
    <w:p>
      <w:pPr>
        <w:ind w:left="6565"/>
        <w:spacing w:after="0"/>
        <w:rPr>
          <w:sz w:val="20"/>
          <w:szCs w:val="20"/>
          <w:color w:val="auto"/>
        </w:rPr>
      </w:pPr>
      <w:r>
        <w:rPr>
          <w:rFonts w:ascii="Arial" w:cs="Arial" w:eastAsia="Arial" w:hAnsi="Arial"/>
          <w:sz w:val="16"/>
          <w:szCs w:val="16"/>
          <w:color w:val="0000FF"/>
        </w:rPr>
        <w:t>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10471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4711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077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SPECTRUM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70294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0294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INVESTMENT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301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FUND, L.P.,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004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90043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446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partner, By: /s/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023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823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8237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39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29146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SPECTRUM VII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9036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90360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INVESTMENT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582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 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84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16840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20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80772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spacing w:after="0" w:line="3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-8890</wp:posOffset>
            </wp:positionV>
            <wp:extent cx="9404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spacing w:after="0" w:line="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ASSOCIATES VII,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772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SEA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3792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137920"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5"/>
          <w:szCs w:val="15"/>
          <w:color w:val="0000FF"/>
        </w:rPr>
        <w:t>general partner, By: /s/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023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A. 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068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39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2914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0000FF"/>
        </w:rPr>
        <w:t>08/10/2022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0000FF"/>
        </w:rPr>
        <w:t>08/10/2022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0000FF"/>
        </w:rPr>
        <w:t>08/10/2022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8705" w:space="60"/>
            <w:col w:w="1199"/>
          </w:cols>
          <w:pgMar w:left="495" w:top="131" w:right="1440" w:bottom="1440" w:gutter="0" w:footer="0" w:header="0"/>
        </w:sect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2859" w:hanging="5"/>
        <w:spacing w:after="0" w:line="319"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4"/>
          </w:cols>
          <w:pgMar w:left="495" w:top="131" w:right="1440" w:bottom="1440" w:gutter="0" w:footer="0" w:header="0"/>
          <w:type w:val="continuous"/>
        </w:sectPr>
      </w:pPr>
    </w:p>
    <w:bookmarkStart w:id="3" w:name="page4"/>
    <w:bookmarkEnd w:id="3"/>
    <w:p>
      <w:pPr>
        <w:jc w:val="right"/>
        <w:ind w:right="2319"/>
        <w:spacing w:after="0"/>
        <w:rPr>
          <w:sz w:val="20"/>
          <w:szCs w:val="20"/>
          <w:color w:val="auto"/>
        </w:rPr>
      </w:pPr>
      <w:r>
        <w:rPr>
          <w:rFonts w:ascii="Courier New" w:cs="Courier New" w:eastAsia="Courier New" w:hAnsi="Courier New"/>
          <w:sz w:val="16"/>
          <w:szCs w:val="16"/>
          <w:color w:val="auto"/>
        </w:rPr>
        <w:t>Exhibit 99.1</w:t>
      </w:r>
    </w:p>
    <w:p>
      <w:pPr>
        <w:spacing w:after="0" w:line="188"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Explanatory Note</w:t>
      </w:r>
    </w:p>
    <w:p>
      <w:pPr>
        <w:spacing w:after="0" w:line="190" w:lineRule="exact"/>
        <w:rPr>
          <w:sz w:val="20"/>
          <w:szCs w:val="20"/>
          <w:color w:val="auto"/>
        </w:rPr>
      </w:pPr>
    </w:p>
    <w:p>
      <w:pPr>
        <w:ind w:left="1" w:right="2319" w:hanging="1"/>
        <w:spacing w:after="0" w:line="263" w:lineRule="auto"/>
        <w:tabs>
          <w:tab w:leader="none" w:pos="5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exchange of limited liability company units ("LLC Units") of AIDH Topco, LLC ("Definitive OpCo"), a subsidiary of the Issuer, together with the cancellation of an equal number of the Issuer's Class B Common Stock for shares of the Issuer's Class A Common Stock on a one-for-one basis. The LLC Units exchanged and an equal number of shares of Class B Common Stock cancelled by each Spectrum Fund (as defined below) are as follows: (i) 1,097,712 by SE VII</w:t>
      </w:r>
    </w:p>
    <w:p>
      <w:pPr>
        <w:spacing w:after="0" w:line="176" w:lineRule="exact"/>
        <w:rPr>
          <w:sz w:val="20"/>
          <w:szCs w:val="20"/>
          <w:color w:val="auto"/>
        </w:rPr>
      </w:pPr>
    </w:p>
    <w:p>
      <w:pPr>
        <w:ind w:left="1" w:right="2319"/>
        <w:spacing w:after="0" w:line="274" w:lineRule="auto"/>
        <w:rPr>
          <w:sz w:val="20"/>
          <w:szCs w:val="20"/>
          <w:color w:val="auto"/>
        </w:rPr>
      </w:pPr>
      <w:r>
        <w:rPr>
          <w:rFonts w:ascii="Courier New" w:cs="Courier New" w:eastAsia="Courier New" w:hAnsi="Courier New"/>
          <w:sz w:val="15"/>
          <w:szCs w:val="15"/>
          <w:color w:val="auto"/>
        </w:rPr>
        <w:t>DHC AIV, L.P. ("SE VII DHC AIV"), (ii) 1,444 by Spectrum VII Investment Managers' Fund, L.P. ("Spectrum VII Investment Managers' Fund") and (iii) 844 by</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Spectrum VII Co-Investment Fund, L.P. ("Spectrum VII Co-Investment Fund").</w:t>
      </w:r>
    </w:p>
    <w:p>
      <w:pPr>
        <w:spacing w:after="0" w:line="190" w:lineRule="exact"/>
        <w:rPr>
          <w:sz w:val="20"/>
          <w:szCs w:val="20"/>
          <w:color w:val="auto"/>
        </w:rPr>
      </w:pPr>
    </w:p>
    <w:p>
      <w:pPr>
        <w:ind w:left="1" w:right="2519" w:hanging="1"/>
        <w:spacing w:after="0" w:line="244" w:lineRule="auto"/>
        <w:tabs>
          <w:tab w:leader="none" w:pos="57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Amended and Restated Limited Liability Company Agreement of Definitive OpCo permits holders of LLC Units to exchange their LLC Units for shares of Class A Common Stock on a one-for-one basis, subject to certain exceptions, conditions and adjustments. At the time of any such exchange, an equal number of shares of Class B Common Stock of the Issuer held by the Reporting Persons, which have no economic value and entitle holders thereof to one vote per share on all matters on which stockholders of the Issuer are entitled to vote generally, are cancelled. The LLC Units have no expiration date.</w:t>
      </w:r>
    </w:p>
    <w:p>
      <w:pPr>
        <w:spacing w:after="0" w:line="188" w:lineRule="exact"/>
        <w:rPr>
          <w:rFonts w:ascii="Courier New" w:cs="Courier New" w:eastAsia="Courier New" w:hAnsi="Courier New"/>
          <w:sz w:val="16"/>
          <w:szCs w:val="16"/>
          <w:color w:val="auto"/>
        </w:rPr>
      </w:pPr>
    </w:p>
    <w:p>
      <w:pPr>
        <w:ind w:left="1" w:right="2419" w:hanging="1"/>
        <w:spacing w:after="0" w:line="243" w:lineRule="auto"/>
        <w:tabs>
          <w:tab w:leader="none" w:pos="57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 VII Management, LLC ("Spectrum") manages the Spectrum Funds (as defined below) that collectively own, following the reported transactions, 2,508,971 shares of Class A Common Stock of the Issuer and 21,975,844 shares of Class B common stock of the Issuer, which are represented as follows: (i) 2,309,392 shares of Class A Common Stock held directly by SE VII DHC</w:t>
      </w:r>
    </w:p>
    <w:p>
      <w:pPr>
        <w:spacing w:after="0" w:line="5" w:lineRule="exact"/>
        <w:rPr>
          <w:rFonts w:ascii="Courier New" w:cs="Courier New" w:eastAsia="Courier New" w:hAnsi="Courier New"/>
          <w:sz w:val="16"/>
          <w:szCs w:val="16"/>
          <w:color w:val="auto"/>
        </w:rPr>
      </w:pPr>
    </w:p>
    <w:p>
      <w:pPr>
        <w:ind w:left="1" w:right="23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AIV Feeder, L.P. ("Spectrum Feeder" and together with SE VII DHC AIV, Spectrum VII Investment Managers' Fund and Spectrum VII Co-Investment Fund, the "Spectrum Funds"), (ii) 199,579 shares of Class A Common Stock held directly by SE VII DHC AIV and 21,924,917 shares of Class B Common Stock held directly by SE VII DHC AIV; (iii) 32,148 shares of Class B Common Stock held directly by Spectrum VII Investment Managers' Fund; and (iv) 18,779 shares of Class B Common Stock held directly by Spectrum VII Co-Investment Fund. Spectrum is the general partner of Spectrum Equity Associates VII, L.P., which in turn is the general partner of each of the Spectrum Funds. 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190" w:lineRule="exact"/>
        <w:rPr>
          <w:rFonts w:ascii="Courier New" w:cs="Courier New" w:eastAsia="Courier New" w:hAnsi="Courier New"/>
          <w:sz w:val="16"/>
          <w:szCs w:val="16"/>
          <w:color w:val="auto"/>
        </w:rPr>
      </w:pPr>
    </w:p>
    <w:p>
      <w:pPr>
        <w:jc w:val="both"/>
        <w:ind w:left="1" w:right="2419" w:hanging="1"/>
        <w:spacing w:after="0" w:line="243" w:lineRule="auto"/>
        <w:tabs>
          <w:tab w:leader="none" w:pos="57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sale of 1,097,712 shares of Class A Common Stock by SE VII DHC AIV, 1,444 shares by Spectrum VII Investment Managers' Fund, and 844 shares by Spectrum VII Co-Investment Fund.</w:t>
      </w:r>
    </w:p>
    <w:p>
      <w:pPr>
        <w:spacing w:after="0" w:line="188" w:lineRule="exact"/>
        <w:rPr>
          <w:rFonts w:ascii="Courier New" w:cs="Courier New" w:eastAsia="Courier New" w:hAnsi="Courier New"/>
          <w:sz w:val="16"/>
          <w:szCs w:val="16"/>
          <w:color w:val="auto"/>
        </w:rPr>
      </w:pPr>
    </w:p>
    <w:p>
      <w:pPr>
        <w:ind w:left="1" w:right="2519" w:hanging="1"/>
        <w:spacing w:after="0" w:line="244" w:lineRule="auto"/>
        <w:tabs>
          <w:tab w:leader="none" w:pos="57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exchange of LLC Units of Definitive OpCo, a subsidiary of the Issuer, together with the cancellation of an equal number of the Issuer's Class B Common Stock for shares of the Issuer's Class A Common Stock on a one-for-one basis. The LLC Units exchanged and an equal number of shares of Class B Common Stock cancelled by each Spectrum Fund are as follows: (i) 1,013,887 by SE VII DHC AIV, (ii) 1,334 by Spectrum VII Investment Managers' Fund and (iii) 779 by Spectrum VII Co-Investment Fund.</w:t>
      </w:r>
    </w:p>
    <w:p>
      <w:pPr>
        <w:spacing w:after="0" w:line="187" w:lineRule="exact"/>
        <w:rPr>
          <w:rFonts w:ascii="Courier New" w:cs="Courier New" w:eastAsia="Courier New" w:hAnsi="Courier New"/>
          <w:sz w:val="16"/>
          <w:szCs w:val="16"/>
          <w:color w:val="auto"/>
        </w:rPr>
      </w:pPr>
    </w:p>
    <w:p>
      <w:pPr>
        <w:ind w:left="1" w:right="2519" w:hanging="1"/>
        <w:spacing w:after="0" w:line="267" w:lineRule="auto"/>
        <w:tabs>
          <w:tab w:leader="none" w:pos="57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sale of 199,579 shares of Class A Common Stock by SE VII DHC AIV Feeder, 814,308 shares by SE VII DHC AIV, 1,334 shares by Spectrum VII Investment Managers' Fund, and 779 shares by Spectrum VII Co-Investment Fund.</w:t>
      </w:r>
    </w:p>
    <w:sectPr>
      <w:pgSz w:w="11900" w:h="16838" w:orient="portrait"/>
      <w:cols w:equalWidth="0" w:num="1">
        <w:col w:w="10001"/>
      </w:cols>
      <w:pgMar w:left="459"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12" Type="http://schemas.openxmlformats.org/officeDocument/2006/relationships/hyperlink" Target="http://www.sec.gov/cgi-bin/browse-edgar?action=getcompany&amp;CIK=0001824265"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879386" TargetMode="External"/><Relationship Id="rId17" Type="http://schemas.openxmlformats.org/officeDocument/2006/relationships/hyperlink" Target="http://www.sec.gov/cgi-bin/browse-edgar?action=getcompany&amp;CIK=0001879377" TargetMode="External"/><Relationship Id="rId18" Type="http://schemas.openxmlformats.org/officeDocument/2006/relationships/hyperlink" Target="http://www.sec.gov/cgi-bin/browse-edgar?action=getcompany&amp;CIK=0001626997" TargetMode="External"/><Relationship Id="rId19" Type="http://schemas.openxmlformats.org/officeDocument/2006/relationships/hyperlink" Target="http://www.sec.gov/cgi-bin/browse-edgar?action=getcompany&amp;CIK=0001822087" TargetMode="External"/><Relationship Id="rId20" Type="http://schemas.openxmlformats.org/officeDocument/2006/relationships/hyperlink" Target="http://www.sec.gov/cgi-bin/browse-edgar?action=getcompany&amp;CIK=0001824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2022-08-10T17:32:22Z</dcterms:created>
  <dcterms:modified xsi:type="dcterms:W3CDTF">2022-08-10T17:32:22Z</dcterms:modified>
</cp:coreProperties>
</file>