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162024_040238.xml.htm"/>
      <w:bookmarkStart w:id="1" w:name="ksform402162024_0402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Shamsuddin Kate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121,831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325,830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$0.001. The RSUs vest over a four-year period, with 25% of the RSUs vesting on February 1, 2025, followed by quarterly vesting of 6.25% every three months thereafter over the subsequent three years,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8756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3488</Characters>
  <CharactersWithSpaces>4066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