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100" w:right="2840" w:hanging="4079"/>
        <w:spacing w:after="0" w:line="334"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001-40815</w:t>
      </w:r>
    </w:p>
    <w:p>
      <w:pPr>
        <w:spacing w:after="0" w:line="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19"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86-3988281</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460" w:space="480"/>
            <w:col w:w="3300"/>
          </w:cols>
          <w:pgMar w:left="320" w:top="605" w:right="339" w:bottom="1440" w:gutter="0" w:footer="0" w:header="0"/>
          <w:type w:val="continuous"/>
        </w:sectPr>
      </w:pPr>
    </w:p>
    <w:tbl>
      <w:tblPr>
        <w:tblLayout w:type="fixed"/>
        <w:tblInd w:w="1640" w:type="dxa"/>
        <w:tblCellMar>
          <w:top w:w="0" w:type="dxa"/>
          <w:left w:w="0" w:type="dxa"/>
          <w:bottom w:w="0" w:type="dxa"/>
          <w:right w:w="0" w:type="dxa"/>
        </w:tblCellMar>
      </w:tblPr>
      <w:tr>
        <w:trPr>
          <w:trHeight w:val="169"/>
        </w:trPr>
        <w:tc>
          <w:tcPr>
            <w:tcW w:w="4420" w:type="dxa"/>
            <w:vAlign w:val="bottom"/>
          </w:tcPr>
          <w:p>
            <w:pPr>
              <w:jc w:val="center"/>
              <w:ind w:right="1988"/>
              <w:spacing w:after="0" w:line="169" w:lineRule="exact"/>
              <w:rPr>
                <w:sz w:val="20"/>
                <w:szCs w:val="20"/>
                <w:color w:val="auto"/>
              </w:rPr>
            </w:pPr>
            <w:r>
              <w:rPr>
                <w:rFonts w:ascii="Times New Roman" w:cs="Times New Roman" w:eastAsia="Times New Roman" w:hAnsi="Times New Roman"/>
                <w:sz w:val="15"/>
                <w:szCs w:val="15"/>
                <w:b w:val="1"/>
                <w:bCs w:val="1"/>
                <w:color w:val="auto"/>
              </w:rPr>
              <w:t>492 Old Connecticut Path, Suite 401</w:t>
            </w:r>
          </w:p>
        </w:tc>
        <w:tc>
          <w:tcPr>
            <w:tcW w:w="2660" w:type="dxa"/>
            <w:vAlign w:val="bottom"/>
          </w:tcPr>
          <w:p>
            <w:pPr>
              <w:spacing w:after="0"/>
              <w:rPr>
                <w:sz w:val="14"/>
                <w:szCs w:val="14"/>
                <w:color w:val="auto"/>
              </w:rPr>
            </w:pPr>
          </w:p>
        </w:tc>
      </w:tr>
      <w:tr>
        <w:trPr>
          <w:trHeight w:val="204"/>
        </w:trPr>
        <w:tc>
          <w:tcPr>
            <w:tcW w:w="4420" w:type="dxa"/>
            <w:vAlign w:val="bottom"/>
          </w:tcPr>
          <w:p>
            <w:pPr>
              <w:jc w:val="center"/>
              <w:ind w:right="1988"/>
              <w:spacing w:after="0"/>
              <w:rPr>
                <w:sz w:val="20"/>
                <w:szCs w:val="20"/>
                <w:color w:val="auto"/>
              </w:rPr>
            </w:pPr>
            <w:r>
              <w:rPr>
                <w:rFonts w:ascii="Times New Roman" w:cs="Times New Roman" w:eastAsia="Times New Roman" w:hAnsi="Times New Roman"/>
                <w:sz w:val="15"/>
                <w:szCs w:val="15"/>
                <w:b w:val="1"/>
                <w:bCs w:val="1"/>
                <w:color w:val="auto"/>
              </w:rPr>
              <w:t>Framingham, MA</w:t>
            </w:r>
          </w:p>
        </w:tc>
        <w:tc>
          <w:tcPr>
            <w:tcW w:w="2660" w:type="dxa"/>
            <w:vAlign w:val="bottom"/>
          </w:tcPr>
          <w:p>
            <w:pPr>
              <w:jc w:val="right"/>
              <w:ind w:right="30"/>
              <w:spacing w:after="0"/>
              <w:rPr>
                <w:sz w:val="20"/>
                <w:szCs w:val="20"/>
                <w:color w:val="auto"/>
              </w:rPr>
            </w:pPr>
            <w:r>
              <w:rPr>
                <w:rFonts w:ascii="Times New Roman" w:cs="Times New Roman" w:eastAsia="Times New Roman" w:hAnsi="Times New Roman"/>
                <w:sz w:val="15"/>
                <w:szCs w:val="15"/>
                <w:b w:val="1"/>
                <w:bCs w:val="1"/>
                <w:color w:val="auto"/>
              </w:rPr>
              <w:t>01701</w:t>
            </w:r>
          </w:p>
        </w:tc>
      </w:tr>
      <w:tr>
        <w:trPr>
          <w:trHeight w:val="166"/>
        </w:trPr>
        <w:tc>
          <w:tcPr>
            <w:tcW w:w="4420" w:type="dxa"/>
            <w:vAlign w:val="bottom"/>
          </w:tcPr>
          <w:p>
            <w:pPr>
              <w:jc w:val="center"/>
              <w:ind w:right="19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60" w:type="dxa"/>
            <w:vAlign w:val="bottom"/>
          </w:tcPr>
          <w:p>
            <w:pPr>
              <w:jc w:val="center"/>
              <w:ind w:left="2010"/>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(508) 720-4224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332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60" w:type="dxa"/>
            <w:vAlign w:val="bottom"/>
          </w:tcPr>
          <w:p>
            <w:pPr>
              <w:jc w:val="center"/>
              <w:ind w:right="66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6"/>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Class A Common Stock, $0.001 par value</w:t>
            </w:r>
          </w:p>
        </w:tc>
        <w:tc>
          <w:tcPr>
            <w:tcW w:w="120" w:type="dxa"/>
            <w:vAlign w:val="bottom"/>
          </w:tcPr>
          <w:p>
            <w:pPr>
              <w:spacing w:after="0"/>
              <w:rPr>
                <w:sz w:val="17"/>
                <w:szCs w:val="17"/>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DH</w:t>
            </w: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60" w:type="dxa"/>
            <w:vAlign w:val="bottom"/>
            <w:tcBorders>
              <w:top w:val="single" w:sz="8" w:color="auto"/>
            </w:tcBorders>
          </w:tcPr>
          <w:p>
            <w:pPr>
              <w:jc w:val="center"/>
              <w:ind w:right="665"/>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37"/>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230"/>
        </w:trPr>
        <w:tc>
          <w:tcPr>
            <w:tcW w:w="7380" w:type="dxa"/>
            <w:vAlign w:val="bottom"/>
            <w:gridSpan w:val="5"/>
          </w:tcPr>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p>
        </w:tc>
        <w:tc>
          <w:tcPr>
            <w:tcW w:w="3860" w:type="dxa"/>
            <w:vAlign w:val="bottom"/>
          </w:tcPr>
          <w:p>
            <w:pPr>
              <w:ind w:left="80"/>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r>
    </w:tbl>
    <w:p>
      <w:pPr>
        <w:spacing w:after="0" w:line="4" w:lineRule="exact"/>
        <w:rPr>
          <w:sz w:val="24"/>
          <w:szCs w:val="24"/>
          <w:color w:val="auto"/>
        </w:rPr>
      </w:pPr>
    </w:p>
    <w:p>
      <w:pPr>
        <w:spacing w:after="0" w:line="188"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52"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65"/>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65"/>
        </w:trPr>
        <w:tc>
          <w:tcPr>
            <w:tcW w:w="1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1"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6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ind w:right="120"/>
        <w:spacing w:after="0" w:line="162"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000000"/>
        </w:rPr>
        <w:t>☐</w:t>
      </w:r>
    </w:p>
    <w:p>
      <w:pPr>
        <w:ind w:right="280"/>
        <w:spacing w:after="0" w:line="174" w:lineRule="exact"/>
        <w:rPr>
          <w:sz w:val="20"/>
          <w:szCs w:val="20"/>
          <w:color w:val="auto"/>
        </w:rPr>
      </w:pPr>
      <w:r>
        <w:rPr>
          <w:rFonts w:ascii="Times New Roman" w:cs="Times New Roman" w:eastAsia="Times New Roman" w:hAnsi="Times New Roman"/>
          <w:sz w:val="14"/>
          <w:szCs w:val="14"/>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231F20"/>
        </w:rPr>
        <w:t>ﬃ</w:t>
      </w:r>
      <w:r>
        <w:rPr>
          <w:rFonts w:ascii="Times New Roman" w:cs="Times New Roman" w:eastAsia="Times New Roman" w:hAnsi="Times New Roman"/>
          <w:sz w:val="14"/>
          <w:szCs w:val="14"/>
          <w:color w:val="231F20"/>
        </w:rPr>
        <w:t xml:space="preserve">cers during the relevant recovery period pursuant to §240.10D-1(b). </w:t>
      </w:r>
      <w:r>
        <w:rPr>
          <w:rFonts w:ascii="Arial Unicode MS" w:cs="Arial Unicode MS" w:eastAsia="Arial Unicode MS" w:hAnsi="Arial Unicode MS"/>
          <w:sz w:val="14"/>
          <w:szCs w:val="14"/>
          <w:color w:val="000000"/>
        </w:rPr>
        <w:t>☐</w:t>
      </w:r>
    </w:p>
    <w:p>
      <w:pPr>
        <w:spacing w:after="0" w:line="5" w:lineRule="exact"/>
        <w:rPr>
          <w:sz w:val="24"/>
          <w:szCs w:val="24"/>
          <w:color w:val="auto"/>
        </w:rPr>
      </w:pPr>
    </w:p>
    <w:p>
      <w:pPr>
        <w:spacing w:after="0" w:line="188"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52" w:lineRule="exact"/>
        <w:rPr>
          <w:sz w:val="24"/>
          <w:szCs w:val="24"/>
          <w:color w:val="auto"/>
        </w:rPr>
      </w:pPr>
    </w:p>
    <w:p>
      <w:pPr>
        <w:ind w:right="34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Class A Common Stock held by non-affiliates of the Registrant on June 30, 2022, based on the reported closing price of the Registrant's Class A Common Stock on the NASDAQ Global Select Market on that date, was approximately $810.7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Class A Common Stock outstanding as of February 23, 2023 was 107,598,147.</w:t>
      </w:r>
    </w:p>
    <w:p>
      <w:pPr>
        <w:spacing w:after="0" w:line="10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 w:lineRule="exact"/>
        <w:rPr>
          <w:sz w:val="24"/>
          <w:szCs w:val="24"/>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Portions of the registrant’s proxy statement for the 2023 annual meeting of stockholders to be filed pursuant to Regulation 14A within 120 days after the registrant’s fiscal year ended December 31, 2022, are incorporated by reference in Part III of this Form 10-K.</w:t>
      </w:r>
    </w:p>
    <w:p>
      <w:pPr>
        <w:spacing w:after="0" w:line="28" w:lineRule="exact"/>
        <w:rPr>
          <w:sz w:val="24"/>
          <w:szCs w:val="24"/>
          <w:color w:val="auto"/>
        </w:rPr>
      </w:pPr>
    </w:p>
    <w:p>
      <w:pPr>
        <w:ind w:left="20"/>
        <w:spacing w:after="0"/>
        <w:tabs>
          <w:tab w:leader="none" w:pos="3760" w:val="left"/>
          <w:tab w:leader="none" w:pos="7500" w:val="left"/>
        </w:tabs>
        <w:rPr>
          <w:sz w:val="20"/>
          <w:szCs w:val="20"/>
          <w:color w:val="auto"/>
        </w:rPr>
      </w:pPr>
      <w:r>
        <w:rPr>
          <w:rFonts w:ascii="Times New Roman" w:cs="Times New Roman" w:eastAsia="Times New Roman" w:hAnsi="Times New Roman"/>
          <w:sz w:val="14"/>
          <w:szCs w:val="14"/>
          <w:color w:val="auto"/>
        </w:rPr>
        <w:t>Auditor Firm Id: PCAOB No. 34</w:t>
      </w:r>
      <w:r>
        <w:rPr>
          <w:sz w:val="20"/>
          <w:szCs w:val="20"/>
          <w:color w:val="auto"/>
        </w:rPr>
        <w:tab/>
      </w:r>
      <w:r>
        <w:rPr>
          <w:rFonts w:ascii="Times New Roman" w:cs="Times New Roman" w:eastAsia="Times New Roman" w:hAnsi="Times New Roman"/>
          <w:sz w:val="14"/>
          <w:szCs w:val="14"/>
          <w:color w:val="auto"/>
        </w:rPr>
        <w:t>Auditor Name: Deloitte &amp; Touche LLP</w:t>
      </w:r>
      <w:r>
        <w:rPr>
          <w:sz w:val="20"/>
          <w:szCs w:val="20"/>
          <w:color w:val="auto"/>
        </w:rPr>
        <w:tab/>
      </w:r>
      <w:r>
        <w:rPr>
          <w:rFonts w:ascii="Times New Roman" w:cs="Times New Roman" w:eastAsia="Times New Roman" w:hAnsi="Times New Roman"/>
          <w:sz w:val="14"/>
          <w:szCs w:val="14"/>
          <w:color w:val="auto"/>
        </w:rPr>
        <w:t>Auditor Location: Boston, MA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379730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1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Glossary</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80" w:type="dxa"/>
            <w:vAlign w:val="bottom"/>
            <w:gridSpan w:val="2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Summary of 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60" w:type="dxa"/>
            <w:vAlign w:val="bottom"/>
            <w:gridSpan w:val="6"/>
            <w:vMerge w:val="continue"/>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600" w:type="dxa"/>
            <w:vAlign w:val="bottom"/>
            <w:gridSpan w:val="4"/>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5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 w:type="dxa"/>
            <w:vAlign w:val="bottom"/>
            <w:tcBorders>
              <w:bottom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right w:val="single" w:sz="8" w:color="0000EE"/>
            </w:tcBorders>
            <w:gridSpan w:val="6"/>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797"/>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21"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7"/>
          <w:szCs w:val="17"/>
          <w:color w:val="auto"/>
        </w:rPr>
        <w:t>As used in this annual report on Form 10-K, the terms identified below have the meanings specified below unless otherwise noted or the context indicates otherwise. References in this Form 10-K to “Definitive Healthcare Corp.” refer to Definitive Healthcare Corp. and not to any of its subsidiaries unless the context indicates otherwise. References in this Form 10-K to “Definitive Healthcare,” "Definitive," the “Company,” “we,” “us,” and “our” refer</w:t>
      </w:r>
    </w:p>
    <w:p>
      <w:pPr>
        <w:spacing w:after="0" w:line="2" w:lineRule="exact"/>
        <w:rPr>
          <w:sz w:val="20"/>
          <w:szCs w:val="20"/>
          <w:color w:val="auto"/>
        </w:rPr>
      </w:pPr>
    </w:p>
    <w:p>
      <w:pPr>
        <w:ind w:right="10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w:t>
      </w:r>
      <w:r>
        <w:rPr>
          <w:rFonts w:ascii="Times New Roman" w:cs="Times New Roman" w:eastAsia="Times New Roman" w:hAnsi="Times New Roman"/>
          <w:sz w:val="18"/>
          <w:szCs w:val="18"/>
          <w:color w:val="auto"/>
        </w:rPr>
        <w:t>” refers to funds affiliated with Advent International, a global private equity firm.</w:t>
      </w:r>
    </w:p>
    <w:p>
      <w:pPr>
        <w:spacing w:after="0" w:line="9" w:lineRule="exact"/>
        <w:rPr>
          <w:rFonts w:ascii="Times New Roman" w:cs="Times New Roman" w:eastAsia="Times New Roman" w:hAnsi="Times New Roman"/>
          <w:sz w:val="18"/>
          <w:szCs w:val="18"/>
          <w:color w:val="auto"/>
        </w:rPr>
      </w:pPr>
    </w:p>
    <w:p>
      <w:pPr>
        <w:ind w:left="1020" w:right="22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 Acquisition</w:t>
      </w:r>
      <w:r>
        <w:rPr>
          <w:rFonts w:ascii="Times New Roman" w:cs="Times New Roman" w:eastAsia="Times New Roman" w:hAnsi="Times New Roman"/>
          <w:sz w:val="18"/>
          <w:szCs w:val="18"/>
          <w:color w:val="auto"/>
        </w:rPr>
        <w:t>” refers to the purchase of a majority of the issued and outstanding units of DH Holdings by Advent on July 16, 2019. The acquisition was accounted for as a business combination and purchase accounting was applied.</w:t>
      </w:r>
    </w:p>
    <w:p>
      <w:pPr>
        <w:ind w:left="1020" w:right="22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AIDH Buyer</w:t>
      </w:r>
      <w:r>
        <w:rPr>
          <w:rFonts w:ascii="Times New Roman" w:cs="Times New Roman" w:eastAsia="Times New Roman" w:hAnsi="Times New Roman"/>
          <w:sz w:val="18"/>
          <w:szCs w:val="18"/>
          <w:color w:val="auto"/>
        </w:rPr>
        <w:t>” refers to AIDH Buyer, LLC, which is a wholly owned subsidiary of Definitive OpCo and the direct parent company of DH Holdings.</w:t>
      </w:r>
    </w:p>
    <w:p>
      <w:pPr>
        <w:jc w:val="both"/>
        <w:ind w:left="1020" w:right="6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LLC Agreement</w:t>
      </w:r>
      <w:r>
        <w:rPr>
          <w:rFonts w:ascii="Times New Roman" w:cs="Times New Roman" w:eastAsia="Times New Roman" w:hAnsi="Times New Roman"/>
          <w:sz w:val="18"/>
          <w:szCs w:val="18"/>
          <w:color w:val="auto"/>
        </w:rPr>
        <w:t>” 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w:t>
      </w:r>
      <w:r>
        <w:rPr>
          <w:rFonts w:ascii="Times New Roman" w:cs="Times New Roman" w:eastAsia="Times New Roman" w:hAnsi="Times New Roman"/>
          <w:sz w:val="18"/>
          <w:szCs w:val="18"/>
          <w:color w:val="auto"/>
        </w:rPr>
        <w:t>” refers to annualized recurring revenue as of period end.</w:t>
      </w:r>
    </w:p>
    <w:p>
      <w:pPr>
        <w:spacing w:after="0" w:line="9" w:lineRule="exact"/>
        <w:rPr>
          <w:rFonts w:ascii="Times New Roman" w:cs="Times New Roman" w:eastAsia="Times New Roman" w:hAnsi="Times New Roman"/>
          <w:sz w:val="18"/>
          <w:szCs w:val="18"/>
          <w:color w:val="auto"/>
        </w:rPr>
      </w:pPr>
    </w:p>
    <w:p>
      <w:pPr>
        <w:ind w:left="1020" w:right="56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entities treated as corporations for U.S. federal income tax purposes, as defined within Note 1 to our audited consolidated financial statements included in Part II, Item 8 of this Form 10-K.</w:t>
      </w:r>
    </w:p>
    <w:p>
      <w:pPr>
        <w:ind w:left="1020" w:right="4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Pre-IPO LLC Members</w:t>
      </w:r>
      <w:r>
        <w:rPr>
          <w:rFonts w:ascii="Times New Roman" w:cs="Times New Roman" w:eastAsia="Times New Roman" w:hAnsi="Times New Roman"/>
          <w:sz w:val="18"/>
          <w:szCs w:val="18"/>
          <w:color w:val="auto"/>
        </w:rPr>
        <w:t>" refers to certain Pre-IPO LLC Members who retained their equity ownership in Definitive OpCo in the form of LLC Units immediately following the consummation of the Reorganization Transactions.</w:t>
      </w:r>
    </w:p>
    <w:p>
      <w:pPr>
        <w:ind w:left="1020" w:right="44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OpCo</w:t>
      </w:r>
      <w:r>
        <w:rPr>
          <w:rFonts w:ascii="Times New Roman" w:cs="Times New Roman" w:eastAsia="Times New Roman" w:hAnsi="Times New Roman"/>
          <w:sz w:val="18"/>
          <w:szCs w:val="18"/>
          <w:color w:val="auto"/>
        </w:rPr>
        <w:t>” refers to AIDH TopCo, LLC, a Delaware limited liability company, and a subsidiary of Definitive Healthcare Corp., following the Reorganization Transactions.</w:t>
      </w:r>
    </w:p>
    <w:p>
      <w:pPr>
        <w:ind w:left="1020" w:right="8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DH Holdings</w:t>
      </w:r>
      <w:r>
        <w:rPr>
          <w:rFonts w:ascii="Times New Roman" w:cs="Times New Roman" w:eastAsia="Times New Roman" w:hAnsi="Times New Roman"/>
          <w:sz w:val="18"/>
          <w:szCs w:val="18"/>
          <w:color w:val="auto"/>
        </w:rPr>
        <w:t>” refers to Definitive Healthcare Holdings, LLC, a Delaware limited liability company and wholly owned subsidiary of AIDH Buyer.</w:t>
      </w: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Units</w:t>
      </w:r>
      <w:r>
        <w:rPr>
          <w:rFonts w:ascii="Times New Roman" w:cs="Times New Roman" w:eastAsia="Times New Roman" w:hAnsi="Times New Roman"/>
          <w:sz w:val="18"/>
          <w:szCs w:val="18"/>
          <w:color w:val="auto"/>
        </w:rPr>
        <w:t>” refers to limited liability company interests in Definitive OpCo.</w:t>
      </w:r>
    </w:p>
    <w:p>
      <w:pPr>
        <w:spacing w:after="0" w:line="9"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LTV</w:t>
      </w:r>
      <w:r>
        <w:rPr>
          <w:rFonts w:ascii="Times New Roman" w:cs="Times New Roman" w:eastAsia="Times New Roman" w:hAnsi="Times New Roman"/>
          <w:sz w:val="18"/>
          <w:szCs w:val="18"/>
          <w:color w:val="auto"/>
        </w:rPr>
        <w:t>”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refers to the initial public offering of Class A Common Stock of Definitive Healthcare Corp.</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Net Dollar Retention Rate</w:t>
      </w:r>
      <w:r>
        <w:rPr>
          <w:rFonts w:ascii="Times New Roman" w:cs="Times New Roman" w:eastAsia="Times New Roman" w:hAnsi="Times New Roman"/>
          <w:sz w:val="18"/>
          <w:szCs w:val="18"/>
          <w:color w:val="auto"/>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1" w:lineRule="exact"/>
        <w:rPr>
          <w:rFonts w:ascii="Times New Roman" w:cs="Times New Roman" w:eastAsia="Times New Roman" w:hAnsi="Times New Roman"/>
          <w:sz w:val="18"/>
          <w:szCs w:val="18"/>
          <w:color w:val="auto"/>
        </w:rPr>
      </w:pPr>
    </w:p>
    <w:p>
      <w:pPr>
        <w:ind w:left="1020" w:right="26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LLC Members</w:t>
      </w:r>
      <w:r>
        <w:rPr>
          <w:rFonts w:ascii="Times New Roman" w:cs="Times New Roman" w:eastAsia="Times New Roman" w:hAnsi="Times New Roman"/>
          <w:sz w:val="18"/>
          <w:szCs w:val="18"/>
          <w:color w:val="auto"/>
        </w:rPr>
        <w:t>” refers to certain affiliates of Spectrum Equity, Jason Krantz, DH Holdings, AIDH Management Holdings, LLC, certain affiliates of 22C Capital, certain affiliates of Advent and certain other minority equity holders of Definitive OpCo prior to the Reorganization Transactions.</w:t>
      </w:r>
    </w:p>
    <w:p>
      <w:pPr>
        <w:spacing w:after="0" w:line="1"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Parties</w:t>
      </w:r>
      <w:r>
        <w:rPr>
          <w:rFonts w:ascii="Times New Roman" w:cs="Times New Roman" w:eastAsia="Times New Roman" w:hAnsi="Times New Roman"/>
          <w:sz w:val="18"/>
          <w:szCs w:val="18"/>
          <w:color w:val="auto"/>
        </w:rPr>
        <w:t>” refers to the shareholders of the Blocker Companies prior to the merger of the Blocker Companies into Definitive Healthcare Corp.</w:t>
      </w:r>
    </w:p>
    <w:p>
      <w:pPr>
        <w:ind w:left="1020" w:right="50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refers to transactions completed in connection with the Company’s IPO as defined within Note 1 to our audited consolidated financial statements included in Part II, Item 8 of this Form 10-K.</w:t>
      </w: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Spectrum Equity</w:t>
      </w:r>
      <w:r>
        <w:rPr>
          <w:rFonts w:ascii="Times New Roman" w:cs="Times New Roman" w:eastAsia="Times New Roman" w:hAnsi="Times New Roman"/>
          <w:sz w:val="18"/>
          <w:szCs w:val="18"/>
          <w:color w:val="auto"/>
        </w:rPr>
        <w:t>” refers to investment funds associated with Spectrum Equity Management, L.P., a private equity firm.</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Advent, 22C Capital, and Spectrum Equity.</w:t>
      </w:r>
    </w:p>
    <w:p>
      <w:pPr>
        <w:spacing w:after="0" w:line="9" w:lineRule="exact"/>
        <w:rPr>
          <w:rFonts w:ascii="Times New Roman" w:cs="Times New Roman" w:eastAsia="Times New Roman" w:hAnsi="Times New Roman"/>
          <w:sz w:val="18"/>
          <w:szCs w:val="18"/>
          <w:color w:val="auto"/>
        </w:rPr>
      </w:pPr>
    </w:p>
    <w:p>
      <w:pPr>
        <w:ind w:left="1020" w:right="42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refers to the Tax Receivable Agreement, dated September 14, 2021, between Definitive Healthcare Corp., Definitive OpCo, and the TRA Parties.</w:t>
      </w:r>
    </w:p>
    <w:p>
      <w:pPr>
        <w:ind w:left="1020" w:right="50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 refers to the Continuing Pre-IPO LLC Members, the Reorganization Parties, and any future party to the Tax Receivable Agreement.</w:t>
      </w: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22C Capital</w:t>
      </w:r>
      <w:r>
        <w:rPr>
          <w:rFonts w:ascii="Times New Roman" w:cs="Times New Roman" w:eastAsia="Times New Roman" w:hAnsi="Times New Roman"/>
          <w:sz w:val="18"/>
          <w:szCs w:val="18"/>
          <w:color w:val="auto"/>
        </w:rPr>
        <w:t>” refers to investment funds associated with 22C Capital LLC, a private equity firm.</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This Annual Report on Form 10-K (this “Annual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6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We caution you against relying on any forward-looking statements, which should also be read in conjunction with the other cautionary statements that are included elsewhere in this Annual Report, including under “Risk Factors” and “Management’s Discussion and Analysis of Financial Condition and Results of Operations”. Any forward-looking statement made by us speaks only as of the date on which we make it. Important factors that could cause actual results to differ materially from those in the forward-looking statements include, but are not limited to, regional, national or global political, economic, business, competitive, market and regulatory conditions. We undertake no obligation to publicly update or revise any forward-looking statement, whether as a result of new information, future developments or otherwise, except as may be required by law.</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risks that may materially adversely affect our business, financial condition, results of operations and cash flows. The following is a summary only, and should be read in conjunction with Part I, Item 1A “Risk Factors” and the other information contained in this Annual Report.</w:t>
      </w:r>
    </w:p>
    <w:p>
      <w:pPr>
        <w:spacing w:after="0" w:line="176" w:lineRule="exact"/>
        <w:rPr>
          <w:sz w:val="20"/>
          <w:szCs w:val="20"/>
          <w:color w:val="auto"/>
        </w:rPr>
      </w:pPr>
    </w:p>
    <w:p>
      <w:pPr>
        <w:ind w:left="820" w:right="300" w:hanging="461"/>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sales of subscriptions to our platform or any decline in demand for our platform and the data we offer could have a material adverse effect on our business, financial condition and results of operations;</w:t>
      </w:r>
    </w:p>
    <w:p>
      <w:pPr>
        <w:spacing w:after="0" w:line="80" w:lineRule="exact"/>
        <w:rPr>
          <w:rFonts w:ascii="Times New Roman" w:cs="Times New Roman" w:eastAsia="Times New Roman" w:hAnsi="Times New Roman"/>
          <w:sz w:val="18"/>
          <w:szCs w:val="18"/>
          <w:color w:val="auto"/>
        </w:rPr>
      </w:pPr>
    </w:p>
    <w:p>
      <w:pPr>
        <w:ind w:left="840" w:right="40" w:hanging="468"/>
        <w:spacing w:after="0" w:line="282" w:lineRule="auto"/>
        <w:tabs>
          <w:tab w:leader="none" w:pos="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new customers and expand subscriptions of current customers could negatively impact our revenue growth and financial performance;</w:t>
      </w:r>
    </w:p>
    <w:p>
      <w:pPr>
        <w:spacing w:after="0" w:line="80" w:lineRule="exact"/>
        <w:rPr>
          <w:rFonts w:ascii="Times New Roman" w:cs="Times New Roman" w:eastAsia="Times New Roman" w:hAnsi="Times New Roman"/>
          <w:sz w:val="18"/>
          <w:szCs w:val="18"/>
          <w:color w:val="auto"/>
        </w:rPr>
      </w:pPr>
    </w:p>
    <w:p>
      <w:pPr>
        <w:ind w:left="840" w:right="220" w:hanging="468"/>
        <w:spacing w:after="0" w:line="282" w:lineRule="auto"/>
        <w:tabs>
          <w:tab w:leader="none" w:pos="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operate is competitive, and if we do not compete effectively, it could have a material adverse effect on our business, financial condition and results of operations;</w:t>
      </w:r>
    </w:p>
    <w:p>
      <w:pPr>
        <w:spacing w:after="0" w:line="80" w:lineRule="exact"/>
        <w:rPr>
          <w:rFonts w:ascii="Times New Roman" w:cs="Times New Roman" w:eastAsia="Times New Roman" w:hAnsi="Times New Roman"/>
          <w:sz w:val="18"/>
          <w:szCs w:val="18"/>
          <w:color w:val="auto"/>
        </w:rPr>
      </w:pPr>
    </w:p>
    <w:p>
      <w:pPr>
        <w:ind w:left="820" w:right="180" w:hanging="461"/>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and improve our platform, or develop new modules, functionality, or insights for healthcare commercial intelligence, whereby competitors could surpass the depth, breadth or accuracy of our platform;</w:t>
      </w:r>
    </w:p>
    <w:p>
      <w:pPr>
        <w:spacing w:after="0" w:line="80" w:lineRule="exact"/>
        <w:rPr>
          <w:rFonts w:ascii="Times New Roman" w:cs="Times New Roman" w:eastAsia="Times New Roman" w:hAnsi="Times New Roman"/>
          <w:sz w:val="18"/>
          <w:szCs w:val="18"/>
          <w:color w:val="auto"/>
        </w:rPr>
      </w:pPr>
    </w:p>
    <w:p>
      <w:pPr>
        <w:ind w:left="840" w:hanging="468"/>
        <w:spacing w:after="0"/>
        <w:tabs>
          <w:tab w:leader="none" w:pos="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accurate, comprehensive or reliable data, which could result in reduced demand for our platform;</w:t>
      </w:r>
    </w:p>
    <w:p>
      <w:pPr>
        <w:spacing w:after="0" w:line="360" w:lineRule="exact"/>
        <w:rPr>
          <w:rFonts w:ascii="Times New Roman" w:cs="Times New Roman" w:eastAsia="Times New Roman" w:hAnsi="Times New Roman"/>
          <w:sz w:val="18"/>
          <w:szCs w:val="18"/>
          <w:color w:val="auto"/>
        </w:rPr>
      </w:pPr>
    </w:p>
    <w:p>
      <w:pPr>
        <w:ind w:left="840" w:hanging="468"/>
        <w:spacing w:after="0"/>
        <w:tabs>
          <w:tab w:leader="none" w:pos="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growth rates may not be indicative of our future growth;</w:t>
      </w:r>
    </w:p>
    <w:p>
      <w:pPr>
        <w:spacing w:after="0" w:line="360" w:lineRule="exact"/>
        <w:rPr>
          <w:rFonts w:ascii="Times New Roman" w:cs="Times New Roman" w:eastAsia="Times New Roman" w:hAnsi="Times New Roman"/>
          <w:sz w:val="18"/>
          <w:szCs w:val="18"/>
          <w:color w:val="auto"/>
        </w:rPr>
      </w:pPr>
    </w:p>
    <w:p>
      <w:pPr>
        <w:ind w:left="820" w:hanging="448"/>
        <w:spacing w:after="0"/>
        <w:tabs>
          <w:tab w:leader="none" w:pos="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or sustain profitability in the future compared to historical levels as we increase investments in our business;</w:t>
      </w:r>
    </w:p>
    <w:p>
      <w:pPr>
        <w:spacing w:after="0" w:line="360" w:lineRule="exact"/>
        <w:rPr>
          <w:rFonts w:ascii="Times New Roman" w:cs="Times New Roman" w:eastAsia="Times New Roman" w:hAnsi="Times New Roman"/>
          <w:sz w:val="18"/>
          <w:szCs w:val="18"/>
          <w:color w:val="auto"/>
        </w:rPr>
      </w:pPr>
    </w:p>
    <w:p>
      <w:pPr>
        <w:ind w:left="840" w:right="80" w:hanging="468"/>
        <w:spacing w:after="0" w:line="282" w:lineRule="auto"/>
        <w:tabs>
          <w:tab w:leader="none" w:pos="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of our access to our data providers could negatively impact our platform and have a material adverse effect on our business, financial condition and results of operations;</w:t>
      </w:r>
    </w:p>
    <w:p>
      <w:pPr>
        <w:spacing w:after="0" w:line="80" w:lineRule="exact"/>
        <w:rPr>
          <w:rFonts w:ascii="Times New Roman" w:cs="Times New Roman" w:eastAsia="Times New Roman" w:hAnsi="Times New Roman"/>
          <w:sz w:val="18"/>
          <w:szCs w:val="18"/>
          <w:color w:val="auto"/>
        </w:rPr>
      </w:pPr>
    </w:p>
    <w:p>
      <w:pPr>
        <w:ind w:left="820" w:right="220" w:hanging="461"/>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respond to advances in healthcare commercial intelligence, which could result in competitors surpassing the depth, breadth or accuracy of our platform;</w:t>
      </w:r>
    </w:p>
    <w:p>
      <w:pPr>
        <w:spacing w:after="0" w:line="80" w:lineRule="exact"/>
        <w:rPr>
          <w:rFonts w:ascii="Times New Roman" w:cs="Times New Roman" w:eastAsia="Times New Roman" w:hAnsi="Times New Roman"/>
          <w:sz w:val="18"/>
          <w:szCs w:val="18"/>
          <w:color w:val="auto"/>
        </w:rPr>
      </w:pPr>
    </w:p>
    <w:p>
      <w:pPr>
        <w:ind w:left="820" w:right="220" w:hanging="461"/>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cyber-attacks and security vulnerabilities could have a material adverse effect on our reputation, business, financial condition and results of operations;</w:t>
      </w:r>
    </w:p>
    <w:p>
      <w:pPr>
        <w:spacing w:after="0" w:line="80" w:lineRule="exact"/>
        <w:rPr>
          <w:rFonts w:ascii="Times New Roman" w:cs="Times New Roman" w:eastAsia="Times New Roman" w:hAnsi="Times New Roman"/>
          <w:sz w:val="18"/>
          <w:szCs w:val="18"/>
          <w:color w:val="auto"/>
        </w:rPr>
      </w:pPr>
    </w:p>
    <w:p>
      <w:pPr>
        <w:ind w:left="820" w:right="460" w:hanging="461"/>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between Russia and Ukraine, global geopolitical tension, and worsening global macroeconomic conditions could have a material adverse effect on our business, financial condition, and results of operations; and</w:t>
      </w:r>
    </w:p>
    <w:p>
      <w:pPr>
        <w:spacing w:after="0" w:line="80" w:lineRule="exact"/>
        <w:rPr>
          <w:rFonts w:ascii="Times New Roman" w:cs="Times New Roman" w:eastAsia="Times New Roman" w:hAnsi="Times New Roman"/>
          <w:sz w:val="18"/>
          <w:szCs w:val="18"/>
          <w:color w:val="auto"/>
        </w:rPr>
      </w:pPr>
    </w:p>
    <w:p>
      <w:pPr>
        <w:ind w:left="820" w:right="120" w:hanging="448"/>
        <w:spacing w:after="0" w:line="282" w:lineRule="auto"/>
        <w:tabs>
          <w:tab w:leader="none" w:pos="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security measures are breached or unauthorized access to data is otherwise obtained, our platform may be perceived as not being secure, customers may reduce the use of or stop using our platform, and we may incur significant liabilities.</w:t>
      </w: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mission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3,000 customers as of December 31, 2022. We generally define a customer as a company that maintains one or more active paid subscriptions to our platform.</w:t>
      </w:r>
    </w:p>
    <w:p>
      <w:pPr>
        <w:spacing w:after="0" w:line="7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healthcare commercial intelligence platform brings together comprehensive, in-depth and high-quality intelligence, a powerful artificial intelligence (“A.I.”) engine, and an intuitive front-end SaaS platform, which have all been built, modified and improved upon over the last 12 years to create a highly differentiated offering.</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Definitive Healthcare was founded in 2011 and incorporated as Definitive Healthcare Corp. in May 2021 for the purposes of facilitating an IPO of its Class A Common Stock, which was completed on September 17, 2021. The Company is headquartered in Framingham, MA. Our primary website address is www.definitivehc.com. The information on our website is not incorporated herein or otherwise part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Definitive Healthcare Platform</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SaaS-based healthcare commercial intelligence platform provides comprehensive and accurate information on the healthcare ecosystem in the U.S. The platform uses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Sources and Data Engine</w:t>
      </w:r>
    </w:p>
    <w:p>
      <w:pPr>
        <w:spacing w:after="0" w:line="121"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Our comprehensive, high-quality healthcare commercial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since our inception, our platform contains a full 360-degree, longitudinal view of the healthcare ecosystem and depicts how the ecosystem connects together, creating a true barrier to entry.</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Competition and Competitive Strengths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operate in a highly fragmented market. We have a competitive advantage that is based on our comprehensive dataset built up over 12 years, our application of the data science, which has created proprietary intelligence and linkages that we do not see elsewhere, and a user interface that provides customers access to answers, not data, in an integrated manner. Our competitive strengths include:</w:t>
      </w:r>
    </w:p>
    <w:p>
      <w:pPr>
        <w:spacing w:after="0" w:line="64" w:lineRule="exact"/>
        <w:rPr>
          <w:sz w:val="20"/>
          <w:szCs w:val="20"/>
          <w:color w:val="auto"/>
        </w:rPr>
      </w:pPr>
    </w:p>
    <w:p>
      <w:pPr>
        <w:ind w:left="1140" w:right="440" w:hanging="504"/>
        <w:spacing w:after="0" w:line="268"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Proprietary Healthcare-specific Commercial Intelligence</w:t>
      </w:r>
      <w:r>
        <w:rPr>
          <w:rFonts w:ascii="Times New Roman" w:cs="Times New Roman" w:eastAsia="Times New Roman" w:hAnsi="Times New Roman"/>
          <w:sz w:val="18"/>
          <w:szCs w:val="18"/>
          <w:color w:val="auto"/>
        </w:rPr>
        <w:t>. We have built proprietary intelligence via first-party research, aggregated,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linked, cleansed and inferred information from thousands of data sources and we have tied billions of data points together into a comprehensive view of the entire U.S. healthcare ecosystem.</w:t>
      </w:r>
    </w:p>
    <w:p>
      <w:pPr>
        <w:spacing w:after="0" w:line="62" w:lineRule="exact"/>
        <w:rPr>
          <w:rFonts w:ascii="Times New Roman" w:cs="Times New Roman" w:eastAsia="Times New Roman" w:hAnsi="Times New Roman"/>
          <w:sz w:val="18"/>
          <w:szCs w:val="18"/>
          <w:color w:val="auto"/>
        </w:rPr>
      </w:pPr>
    </w:p>
    <w:p>
      <w:pPr>
        <w:ind w:left="1140" w:hanging="504"/>
        <w:spacing w:after="0" w:line="268"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 Integrated Data and Technology Foundation that Creates a Flywheel of Innovation. </w:t>
      </w:r>
      <w:r>
        <w:rPr>
          <w:rFonts w:ascii="Times New Roman" w:cs="Times New Roman" w:eastAsia="Times New Roman" w:hAnsi="Times New Roman"/>
          <w:sz w:val="18"/>
          <w:szCs w:val="18"/>
          <w:color w:val="auto"/>
        </w:rPr>
        <w:t>Our technology platform provides the foundation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rapid product development and innovation by leveraging our existing data assets to produce new modules and features that solve a growing number of business problems.</w:t>
      </w:r>
    </w:p>
    <w:p>
      <w:pPr>
        <w:spacing w:after="0" w:line="62" w:lineRule="exact"/>
        <w:rPr>
          <w:rFonts w:ascii="Times New Roman" w:cs="Times New Roman" w:eastAsia="Times New Roman" w:hAnsi="Times New Roman"/>
          <w:sz w:val="18"/>
          <w:szCs w:val="18"/>
          <w:color w:val="auto"/>
        </w:rPr>
      </w:pPr>
    </w:p>
    <w:p>
      <w:pPr>
        <w:ind w:left="1140" w:right="200" w:hanging="504"/>
        <w:spacing w:after="0" w:line="286"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Powerful Go-to-Market Engine. </w:t>
      </w:r>
      <w:r>
        <w:rPr>
          <w:rFonts w:ascii="Times New Roman" w:cs="Times New Roman" w:eastAsia="Times New Roman" w:hAnsi="Times New Roman"/>
          <w:sz w:val="18"/>
          <w:szCs w:val="18"/>
          <w:color w:val="auto"/>
        </w:rPr>
        <w:t>We have a highly efficient and effective go-to-market engine that combines effective marketing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inside sales force comprised of highly trained, vertically focused sales executives.</w:t>
      </w:r>
    </w:p>
    <w:p>
      <w:pPr>
        <w:spacing w:after="0" w:line="46" w:lineRule="exact"/>
        <w:rPr>
          <w:rFonts w:ascii="Times New Roman" w:cs="Times New Roman" w:eastAsia="Times New Roman" w:hAnsi="Times New Roman"/>
          <w:sz w:val="18"/>
          <w:szCs w:val="18"/>
          <w:color w:val="auto"/>
        </w:rPr>
      </w:pPr>
    </w:p>
    <w:p>
      <w:pPr>
        <w:ind w:left="1140" w:right="60" w:hanging="504"/>
        <w:spacing w:after="0" w:line="286"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Visionary Management Team with a Track Record of Execution. </w:t>
      </w:r>
      <w:r>
        <w:rPr>
          <w:rFonts w:ascii="Times New Roman" w:cs="Times New Roman" w:eastAsia="Times New Roman" w:hAnsi="Times New Roman"/>
          <w:sz w:val="18"/>
          <w:szCs w:val="18"/>
          <w:color w:val="auto"/>
        </w:rPr>
        <w:t>Our management team has a strong track record of exceptional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and of building an award-winning culture to attract and retain highly talented individuals.</w:t>
      </w:r>
    </w:p>
    <w:p>
      <w:pPr>
        <w:spacing w:after="0" w:line="5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While we believe no competitor matches our breadth of data and intelligence solutions or offers as comprehensive and accurate a commercial intelligence platform, we compete either directly or indirectly with:</w:t>
      </w:r>
    </w:p>
    <w:p>
      <w:pPr>
        <w:spacing w:after="0" w:line="54" w:lineRule="exact"/>
        <w:rPr>
          <w:sz w:val="20"/>
          <w:szCs w:val="20"/>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raw claims data providers, such as Clarivate, IQVIA and Symphony Health;</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healthcare specialists, such as Komodo Health, H1 Healthcare, Marketware, Trella Health and Trilliant Health;</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Ecosystem players that may house or analyze similar intelligence, such as SG2 and Veeva;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Horizontal go-to-market intelligence platforms, such as ZoomInfo, LinkedIn and Dun &amp; Bradstreet.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principal competitive factors in our markets are:</w:t>
      </w:r>
    </w:p>
    <w:p>
      <w:pPr>
        <w:spacing w:after="0" w:line="117" w:lineRule="exact"/>
        <w:rPr>
          <w:sz w:val="20"/>
          <w:szCs w:val="20"/>
          <w:color w:val="auto"/>
        </w:rPr>
      </w:pPr>
    </w:p>
    <w:p>
      <w:pPr>
        <w:ind w:left="1140" w:hanging="50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breadth and accuracy of healthcare-specific commercial intelligence;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subject matter expertise;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and data science capabilities;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deployment;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drive growth through the following strategies:</w:t>
      </w:r>
    </w:p>
    <w:p>
      <w:pPr>
        <w:spacing w:after="0" w:line="113" w:lineRule="exact"/>
        <w:rPr>
          <w:sz w:val="20"/>
          <w:szCs w:val="20"/>
          <w:color w:val="auto"/>
        </w:rPr>
      </w:pPr>
    </w:p>
    <w:p>
      <w:pPr>
        <w:ind w:left="1140" w:hanging="50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our relationships with existing customers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Continuing to innovate to strengthen our platform and market leadership position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Making selective strategic acquisitions and investments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integrated platform is designed to drive commercial success for companies that sell into or compete in the healthcare ecosystem, creating large end-markets for us, including life sciences, healthcare information technology ("HCIT"), healthcare providers and other diversified companies, such as staffing firms, commercial real estate firms, financial institutions and other organizations seeking commercial success in the attractive, but complex, healthcare ecosystem.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a very efficient go-to-market model, driven by a high-velocity inside sales and marketing team, experienced sales engineers (“SEs”) and a well-defined verticalized sales strategy.</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go-to-market strategy begins with a high-velocity marketing engine that generates more than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 demo to the exact intelligence that will be most impactful to their business. As our brand presence continues to grow, we have seen a significant increase in the number of inbound MQLs received.</w:t>
      </w:r>
    </w:p>
    <w:p>
      <w:pPr>
        <w:spacing w:after="0" w:line="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complement our marketing efforts with a highly targeted outbound effort focused on important prospects across our target universe of over 100,000 companies, with an estimated total addressable market of more than $10 billion. These companies are prioritized and targeted with a measurable outbound effort led by our inside sales representative team.</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Once a new company signs up as a subscriber, they are transferred to our Customer Experience managers (“CX”) who assist with onboarding and training, answering questions and maintaining a “health score,” a predictive metric used to determine whether customers are likely to renew their subscription. In addition, an SE is typically assigned to each customer, with a focus on deepening the relationship and identifying opportunities to expand the relationship to new departments and sell additional intelligence modules and workflow products. The CX and SE teams are also organized by vertical end market to ensure appropriate subject matter expertise.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at Definitive Healthcare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community has continued to grow rapidly since our founding 12 years ago. While our people are primarily concentrated in the Boston metro area, we have expanded globally and increased our reach with a flourishing remote employee base.</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2022, our workforce included 974 employees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whom 946 were employed full time and 30% were fully remote. 729 employees were based in the U.S., 69 were based in Europe, and another 176 were based in India. Functionally, our workforce includes 517 in sales and marketing, 361 in product development, and 96 in general and administrative roles. Our workforce also included four independent contractors as of such date. Our workforce is comprised of a wide variety of professionals, including business development representatives, data scientists, software engineers, and more.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 and culture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consistently receive workplace accolades. In 2022, we were recognized by The Boston Globe as a Top Place to Work for the sixth consecutive year. We have also been awarded Energage’s “Top Workplace in the US” and have been recognized as a best place to work by the Boston Business Journal’s “Best Place to Work” for five of the past six years.</w:t>
      </w:r>
    </w:p>
    <w:p>
      <w:pPr>
        <w:spacing w:after="0" w:line="6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are committed to putting our community first. For us that means centering our culture around collaboration and community engagement. DefinitiveCares, our employee-led charitable organization, is at the core of our company culture. The mission of DefinitiveCares is to give back to the community through employee-led volunteer initiatives.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a company, we are collaborative, energetic, approachable, and driven. These attributes have allowed us to develop and maintain our customer-focused culture, where we aren't afraid to roll up our sleeves to get the job done. We also realize that there's more to life than work, so we try to have some fun together and ensure that every employee maintains a healthy work-life balance.</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5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Definitive Healthcare, we invite everyone to come as they are. We value our employees' unique perspectives, backgrounds, and voices because these diverse experiences drive new ideas and help us build a better community. We provide opportunities for our employees to grow and develop awareness around diversity, equity, and inclusion through company-sponsored speakers and presentations. We promote diversity and inclusion in our hiring processes by training our hiring managers on unconscious bias, by engaging with diverse student groups at college fairs, by increasing our work visa sponsorship program, and by incorporating inclusive, gender-neutral language into our job descriptions.</w:t>
      </w:r>
    </w:p>
    <w:p>
      <w:pPr>
        <w:spacing w:after="0" w:line="183"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addition, our employee-led affinity groups provide a way for everyone to come together and share their common experiences. Alongside their allies, these employees promote a sense of community, belonging, and understanding at Definitive Healthcare. The affinity groups include Women's Empowerment @ DHC, Out @ DHC (LGBTQIA), Black, Indigenous, and People of Color @ DHC, Working Parents, and AVID @ DHC (visible and invisible disabilities), as well as a wide variety of clubs and special interest groups.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wellness, and total rewards</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goal is to offer a best-in-class total rewards package that supports employees and their families, attracts top talent, and ensures pay equity. We provide competitive pay and benefits to attract and retain high quality talent. As part of our total rewards package, U.S. employees are eligible for variable compensation and we pay for employees' individual full medical coverage, in addition to providing generous healthcare, investment, retirement, and paid time off.</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Promoting a culture that supports health and well-being continues to be a priority for the organization. After initially transitioning to a fully remote work approach in response to the COVID-19 pandemic, we have since implemented and chosen to maintain a hybrid work environment, enabling all employees to work between our offices and remotely, which we believe enables greater flexibility for a successful work-life balance. In 2022, we implemented unlimited paid time off and expanded parental leave for U.S.-based employees. This year we also introduced email-free weekends and an educational assistance and reimbursement program.</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reward high performance and effort, regardless of experience or title. We recognize employees who do exceptional work four times a year through our Rockstars awards. The awards are granted to those who embody our guiding principles in extraordinary ways, and recipients are determined by employee nominations.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and Advancement</w:t>
      </w:r>
    </w:p>
    <w:p>
      <w:pPr>
        <w:spacing w:after="0" w:line="121"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Our people are our greatest asset. Enabling their career growth and upward mobility is critical to retaining and engaging our talent. We provide employees with the tools, learning, and internal opportunities to find their path and build the skills and abilities to take on new roles. As part of our offerings, we provide a comprehensive learning management system, with a mix of professional, technical, managerial, and leadership development programs across a number of learning pathways.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Each year, we conduct a robust talent review process that includes performance assessments and goal setting to enable growth and employee advancement while creating alignment with both company goals and values. This process ties into our compensation strategy to ensure that we reward and incentivize our high performers.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data driven platform and our approach to keeping it current is our defensive moat and protecting our intellectual property is a crucial aspect of our business. While, as of December 31, 2022, we have not pursued any patents, we secure and protect our intellectual property rights in material unregistered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18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healthcare and customer-level data we collect, process, use and disclose from healthcare organizations and professionals are integral to enabling us to provide a comprehensive healthcare commercial intelligence platform to our customers. 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We are passionate about protecting the information we collect and have rigorous policies and processes in place to adhere to the applicable laws, including the de-identification standards under the HIPAA de-identification rules. All patient-level personal information we collect is de-identified by third parties before we receive it so it never enters our network in an identifiable format. Additionally, we engage a qualified third-party to, at least annually, assess and certify our compliance with the HIPAA de-identification rules.</w:t>
      </w:r>
    </w:p>
    <w:p>
      <w:pPr>
        <w:spacing w:after="0" w:line="19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addition, certain state and non-U.S. laws, such as the CCPA, the CPRA, the Virginia Consumer Data Protection Act of 2021 (the "VCDPA"), the European Union's General Data Protection Regulation (“EU GDPR”), and the United Kingdom's GDPR (“UK GDPR”) govern the privacy and security of personal information and personal data,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 We strive to comply with applicable data privacy and security laws, and we closely monitor the development of similar legislation across the United States and the globe. Additionally, we have developed a privacy center, including privacy notices on our website to describe our practices related to the collection, maintenance, security, use and sharing of personal information on our platform and otherwise.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Other Available Information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make our Annual Report on Form 10-K, Quarterly Reports on Form 10-Q, Current Reports on Form 8-K, and all amendments to these filings, available free of charge as soon as reasonably practicable after we electronically file such material with, or furnish it to, the SEC on our website at https://ir.definitivehc.com/financial-information/sec-filings or by contacting our Investor Relations department at our office address listed above.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You should carefully consider each of the following risk factors, as well as other information contained in this Form 10-K, including “Management’s Discussion and Analysis of Financial Condition and Results of Operations” and our audited consolidated financial statements and related notes. The occurrence of any of the following risks could have a material adverse effect on our business, financial condition and results of operations, in which case the trading price of our Class A Common Stock could decline and you could lose all or part of your investment. Additional risks and uncertainties that we are unaware of, or that we currently believe are not material, may also become important factors that adversely affect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we derived 97%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 For example, worsening macroeconomic conditions have impacted our existing and prospective customers, which has in some cases resulted in longer deal cycles, more stringent approval processes and deferred purchasing decisions, and we expect this to continue until macroeconomic conditions improve.</w:t>
      </w:r>
    </w:p>
    <w:p>
      <w:pPr>
        <w:spacing w:after="0" w:line="9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68" w:lineRule="exact"/>
        <w:rPr>
          <w:sz w:val="20"/>
          <w:szCs w:val="20"/>
          <w:color w:val="auto"/>
        </w:rPr>
      </w:pPr>
    </w:p>
    <w:p>
      <w:pPr>
        <w:ind w:left="1140" w:right="500" w:hanging="504"/>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and acceptance of the healthcare commercial intelligence platform category generally, and the growth and evolution of the category and our addressable market;</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 platform;</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features and user experience, and the development and acceptance of new features, integrations and capabilities;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consistently procure high-quality and useful data;</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support we provide;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across several operating system and applications;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workflow insights and technologies;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and their impacts on users of healthcare data.</w:t>
      </w:r>
    </w:p>
    <w:p>
      <w:pPr>
        <w:spacing w:after="0" w:line="14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ind w:right="20"/>
        <w:spacing w:after="0" w:line="256" w:lineRule="auto"/>
        <w:rPr>
          <w:sz w:val="20"/>
          <w:szCs w:val="20"/>
          <w:color w:val="auto"/>
        </w:rPr>
      </w:pPr>
      <w:r>
        <w:rPr>
          <w:rFonts w:ascii="Times New Roman" w:cs="Times New Roman" w:eastAsia="Times New Roman" w:hAnsi="Times New Roman"/>
          <w:sz w:val="18"/>
          <w:szCs w:val="18"/>
          <w:color w:val="auto"/>
        </w:rPr>
        <w:t>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respond to advances in healthcare commercial intelligence, competitors could surpass the depth, breadth or accuracy of our platform.</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and technology. If we fail to respond to changes in healthcare commercial intelligence or technology,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maintain accurate, comprehensive or reliable data, we could experience reduced demand for our platform.</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healthcare landscape is complex, opaque and constantly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routine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our recent growth rates may not be indicative of our future growth.</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experienced rapid organic and acquisition-driven growth in recent periods. For the year ended December 31, 2022, our revenue was $222.7 million, an increase of 34.0% as compared to our revenue of $166.2 million for the year ended December 31, 2021. We cannot guarantee that we will sustain our recent revenue growth rate in future periods. Further, as we operate in a new and rapidly changing market, widespread acceptance and use of our platform is critical to our future growth and success. Our revenue growth may slow or our revenue may decline for a number of other reasons, including reduced demand for our platform, increased competition, a decrease in the growth or reduction in size of our overall market, failure to capitalize on growth opportunities, and the impacts to our business from macroeconomic factors such as the Russia-Ukraine war, global geopolitical tension, and more recently, rising inflation and interest rates, volatility in the capital markets and related market uncertainty. Our current and prospective customers are impacted by worsening macroeconomic conditions to varying degrees and as a result, in some cases we are observing deal cycles lengthen for new and existing customers, as well as more stringent approval processes and deferred purchasing decisions, which we expect will impact our growth unless macroeconomic conditions improve.</w:t>
      </w:r>
    </w:p>
    <w:p>
      <w:pPr>
        <w:spacing w:after="0" w:line="19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expenses to increase in future periods, and if our revenue growth does not increase to offset these anticipated increases in our operating expenses, it will have a material adverse effect on our business, financial condition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right="40"/>
        <w:spacing w:after="0" w:line="261" w:lineRule="auto"/>
        <w:rPr>
          <w:sz w:val="20"/>
          <w:szCs w:val="20"/>
          <w:color w:val="auto"/>
        </w:rPr>
      </w:pPr>
      <w:r>
        <w:rPr>
          <w:rFonts w:ascii="Times New Roman" w:cs="Times New Roman" w:eastAsia="Times New Roman" w:hAnsi="Times New Roman"/>
          <w:sz w:val="18"/>
          <w:szCs w:val="18"/>
          <w:color w:val="auto"/>
        </w:rPr>
        <w:t>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or sustain profitability in the future compared to historical levels as we increase investments in our business.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incurred operating losses in the past and may continue to incur net losses in the future. For the year ended December 31, 2022, we had a net loss of $22.3 million, compared to a net loss of $61.3 million for the year ended December 31, 2021. We expect our operating expenses to increase in the future as we invest capital to make acquisitions, develop new features, add to our existing intelligence modules and invest in new products and data sources. Further, our administrative costs have significantly increased relative to prior periods due to the incremental costs associated with operating as a public company, including corporate insurance costs, additional accounting and legal expenses, and additional resources associated with controls, reporting, and disclosure. While in light of macroeconomic conditions we have made efforts to contain our operating expenses, including implementation of a restructuring plan (the "Plan") in the first quarter of 2023, such efforts may not achieve the cost savings that we initially expect. Our efforts to grow our business may be more costly than we expect and we may not be able to increase our revenue enough to offset higher operating expenses. We may not be able to achieve or sustain profitability in subsequent periods and we may incur significant losses in the future for a number of reasons, including the foregoing as well as unforeseen expenses, difficulties, complications and delays, the other risks described in this Annual Report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30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29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ind w:right="60"/>
        <w:spacing w:after="0" w:line="256" w:lineRule="auto"/>
        <w:rPr>
          <w:sz w:val="20"/>
          <w:szCs w:val="20"/>
          <w:color w:val="auto"/>
        </w:rPr>
      </w:pPr>
      <w:r>
        <w:rPr>
          <w:rFonts w:ascii="Times New Roman" w:cs="Times New Roman" w:eastAsia="Times New Roman" w:hAnsi="Times New Roman"/>
          <w:sz w:val="18"/>
          <w:szCs w:val="18"/>
          <w:color w:val="auto"/>
        </w:rPr>
        <w:t>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and expand subscriptions of current customers, our revenue growth and financial performance will be negatively impacted.</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customers subscribe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including in light of recently worsening macroeconomic conditions, which we have seen result in lengthening deal cycles that we expect will continue until macroeconomic conditions improve. Despite our ability to expand our customer basis in 2022 notwithstanding macroeconomic challenges, similar or worsening macroeconomic challenges may negatively impact expansion in the future. Numerous other factors may also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generating more than $100,000 in ARR, which we refer to as “Enterprise Customers”) requires increasingly sophisticated and costly sales and account management efforts targeted at senior management and other personnel and generally involve longer sales cycles. If our efforts to sell to Enterprise Customers are not successful or do not generate additional revenue, our growth will suffer, which could have a material adverse effect on our business, financial condition and results of operations.</w:t>
      </w:r>
    </w:p>
    <w:p>
      <w:pPr>
        <w:spacing w:after="0" w:line="19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and recently worsening macroeconomic conditions)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and packaging of our solutions, which could negatively impact our growth strategy and ability to effectively compete in the market.</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make changes to our pricing model from time to time. Demand for our solutions is sensitive to price, and depends substantially on levels of expenditures by our customers and their ability to access capital. Sustained market uncertainty can also result in lower demand and pricing for our products and services.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2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6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Enterprise Customers are a key focus of our go-to-market programs. As we target more of our sales efforts at larger Enterprise Customers, we may face longer sales cycles, greater competition, more complex customer due diligence, less favorable contractual terms and less predictability in completing some of our sales. Consequently, a target customer’s decision to use our solutions may be an enterprise-wide decision and, if so, these types of sales would require us to provide greater levels of education regarding the use and benefits of our platform, as well as education regarding privacy and data 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experience, our business and reputation will suffer.</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additional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190"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ind w:right="100"/>
        <w:spacing w:after="0" w:line="261" w:lineRule="auto"/>
        <w:rPr>
          <w:sz w:val="20"/>
          <w:szCs w:val="20"/>
          <w:color w:val="auto"/>
        </w:rPr>
      </w:pPr>
      <w:r>
        <w:rPr>
          <w:rFonts w:ascii="Times New Roman" w:cs="Times New Roman" w:eastAsia="Times New Roman" w:hAnsi="Times New Roman"/>
          <w:sz w:val="18"/>
          <w:szCs w:val="18"/>
          <w:color w:val="auto"/>
        </w:rPr>
        <w:t>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28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 For example, in February 2022, we completed our acquisition of Analytical Wizards (“AW”), a company that specializes in automating complex analytic models using tools that expedite efficient big data mining through A.I. and M.L. and are in the process of integrating AW's business with ours.</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18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Acquisitions and other transactions, arrangements and investments involve numerous risks and could create unforeseen operating difficulties and expenditures, including:</w:t>
      </w:r>
    </w:p>
    <w:p>
      <w:pPr>
        <w:spacing w:after="0" w:line="54" w:lineRule="exact"/>
        <w:rPr>
          <w:sz w:val="20"/>
          <w:szCs w:val="20"/>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achieve the expected benefits on a timely basis or at all;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the cost of, integrating operations, technologies, solutions and platforms;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managerial resources from existing operations;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entry into new markets in which we have little or no experience or where competitors may have stronger market positions;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acquired assets or investments and potential financial and credit risks associated with acquired customers;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our values and those of our acquired companies;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re-training key employees of acquired companies and integrating them into our organizational structure and corporate culture;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financial costs of, addressing acquired compensation structures inconsistent with our compensation 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or investment costs;</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or changes in, relationships with customers and partners of the acquired business and costs to optimize any redundant data provider agreements;</w:t>
      </w:r>
    </w:p>
    <w:p>
      <w:pPr>
        <w:spacing w:after="0" w:line="53" w:lineRule="exact"/>
        <w:rPr>
          <w:rFonts w:ascii="Times New Roman" w:cs="Times New Roman" w:eastAsia="Times New Roman" w:hAnsi="Times New Roman"/>
          <w:sz w:val="18"/>
          <w:szCs w:val="18"/>
          <w:color w:val="auto"/>
        </w:rPr>
      </w:pPr>
    </w:p>
    <w:p>
      <w:pPr>
        <w:jc w:val="both"/>
        <w:ind w:left="1140" w:right="460" w:hanging="504"/>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ind w:left="1140" w:right="120" w:hanging="504"/>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and costs related to, transitioning the acquired technology onto our existing platform and customer acceptance of a new or changed platform on a temporary or permanent basis;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augmenting the acquired technologies and platforms to the levels that are consistent with our brand and reputation;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acquired platforms to impact the financial performance of existing platform;</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maintaining the security standards for acquired technology consistent with our platform;</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businesses, including risks associated with acquired technologies;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on our results of operations because of the depreciation and amortization of amounts related to acquired intangible assets, fixed assets and deferred compensation;</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stock-based compensation;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acquired unearned revenue and unbilled unearned revenue;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customer purchases due to uncertainty related to any acquisition;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or inadequate controls, procedures and policies at the acquired company;</w:t>
      </w:r>
    </w:p>
    <w:p>
      <w:pPr>
        <w:spacing w:after="0" w:line="117" w:lineRule="exact"/>
        <w:rPr>
          <w:rFonts w:ascii="Times New Roman" w:cs="Times New Roman" w:eastAsia="Times New Roman" w:hAnsi="Times New Roman"/>
          <w:sz w:val="18"/>
          <w:szCs w:val="18"/>
          <w:color w:val="auto"/>
        </w:rPr>
      </w:pPr>
    </w:p>
    <w:p>
      <w:pPr>
        <w:ind w:left="1140" w:right="200" w:hanging="504"/>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challenges caused by integrating operations over distance and across different languages, cultures and political environments;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and regulatory risks and potential additional cybersecurity and compliance risks resulting from entry into new markets;</w:t>
      </w:r>
    </w:p>
    <w:p>
      <w:pPr>
        <w:spacing w:after="0" w:line="117" w:lineRule="exact"/>
        <w:rPr>
          <w:rFonts w:ascii="Times New Roman" w:cs="Times New Roman" w:eastAsia="Times New Roman" w:hAnsi="Times New Roman"/>
          <w:sz w:val="18"/>
          <w:szCs w:val="18"/>
          <w:color w:val="auto"/>
        </w:rPr>
      </w:pPr>
    </w:p>
    <w:p>
      <w:pPr>
        <w:ind w:left="1140" w:right="220" w:hanging="504"/>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challenges by governmental authorities, including the U.S. Department of Justice, for anti-competitive or other reasons.</w:t>
      </w:r>
    </w:p>
    <w:p>
      <w:pPr>
        <w:spacing w:after="0" w:line="22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Any of these risks could harm our business. In addition, to facilitate these acquisitions or investments, we may seek additional equity or debt financing, which may not be available on terms favorable to us or at all, including in light of recently worsening macroeconomic conditions such as rising interest rates and volatility in the capital markets, and may affect our ability to complete subsequent acquisitions or investments and increase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9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which has placed, and may continue to place, significant demands on our management and our operational and financial resources. As of December 31, 2022, we have two offices across the northeastern U.S., and as a result of recent acquisitions, an office in Sweden and an office in India. We have experienced significant growth in headcount, with over 550 employees in 2020, over 670 employees in 2021 and over 970 employees in 2022.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with international expansion.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8" w:name="page19"/>
    <w:bookmarkEnd w:id="18"/>
    <w:p>
      <w:pPr>
        <w:ind w:firstLine="509"/>
        <w:spacing w:after="0" w:line="255" w:lineRule="auto"/>
        <w:rPr>
          <w:sz w:val="20"/>
          <w:szCs w:val="20"/>
          <w:color w:val="auto"/>
        </w:rPr>
      </w:pPr>
      <w:r>
        <w:rPr>
          <w:rFonts w:ascii="Times New Roman" w:cs="Times New Roman" w:eastAsia="Times New Roman" w:hAnsi="Times New Roman"/>
          <w:sz w:val="18"/>
          <w:szCs w:val="18"/>
          <w:color w:val="auto"/>
        </w:rPr>
        <w:t>To manage growth in our operations and personnel, we will need to continue to expand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 In light of macroeconomic conditions and their actual and potential future impacts on our business, we have made and expect to continue to make efforts to contain our operating expenses, including implementing a restructuring plan in the first quarter of 2023. These efforts have placed additional strain on our employees and other resources and diverted attention from our operations, and may continue do so, which could impact our ability to operate our business effectively.</w:t>
      </w:r>
    </w:p>
    <w:p>
      <w:pPr>
        <w:spacing w:after="0" w:line="18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as we expand our business, it is important that we continue to maintain a high level of customer service and satisfaction. As our customer base continues to grow, we will need to increase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and maintain our business.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and maintain our brand, our reputation may be harmed and our ability to attract and retain customers will be impaired.</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180"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Demand for our solutions could be affected by factors that affect the healthcare ecosystem, including:</w:t>
      </w:r>
    </w:p>
    <w:p>
      <w:pPr>
        <w:spacing w:after="0" w:line="117" w:lineRule="exact"/>
        <w:rPr>
          <w:sz w:val="20"/>
          <w:szCs w:val="20"/>
          <w:color w:val="auto"/>
        </w:rPr>
      </w:pPr>
    </w:p>
    <w:p>
      <w:pPr>
        <w:ind w:left="1140" w:hanging="504"/>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67" w:lineRule="exact"/>
        <w:rPr>
          <w:rFonts w:ascii="Times New Roman" w:cs="Times New Roman" w:eastAsia="Times New Roman" w:hAnsi="Times New Roman"/>
          <w:sz w:val="18"/>
          <w:szCs w:val="18"/>
          <w:color w:val="auto"/>
        </w:rPr>
      </w:pPr>
    </w:p>
    <w:p>
      <w:pPr>
        <w:ind w:left="1140" w:right="20" w:hanging="504"/>
        <w:spacing w:after="0" w:line="253"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86" w:lineRule="exact"/>
        <w:rPr>
          <w:rFonts w:ascii="Times New Roman" w:cs="Times New Roman" w:eastAsia="Times New Roman" w:hAnsi="Times New Roman"/>
          <w:sz w:val="18"/>
          <w:szCs w:val="18"/>
          <w:color w:val="auto"/>
        </w:rPr>
      </w:pPr>
    </w:p>
    <w:p>
      <w:pPr>
        <w:ind w:left="1140" w:right="240" w:hanging="504"/>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53" w:lineRule="exact"/>
        <w:rPr>
          <w:rFonts w:ascii="Times New Roman" w:cs="Times New Roman" w:eastAsia="Times New Roman" w:hAnsi="Times New Roman"/>
          <w:sz w:val="18"/>
          <w:szCs w:val="18"/>
          <w:color w:val="auto"/>
        </w:rPr>
      </w:pPr>
    </w:p>
    <w:p>
      <w:pPr>
        <w:ind w:left="1140" w:right="100" w:hanging="504"/>
        <w:spacing w:after="0" w:line="255"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public health crises (including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0" w:name="page21"/>
    <w:bookmarkEnd w:id="20"/>
    <w:p>
      <w:pPr>
        <w:ind w:left="1140" w:right="40" w:hanging="504"/>
        <w:spacing w:after="0" w:line="253"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We have seen this happen in response to recently worsening macroeconomic conditions and expect it will continue until they improve. In particular, these trends have been more pronounced for our existing and prospective life science and provider customers. For example, deteriorating macroeconomic conditions have impacted our existing and prospective customers and their business spendings, which has in some cases resulted in longer deal cycles, more stringent approval processes and deferred purchasing decisions, and we expect this to continue until macroeconomic conditions improve. Such macroeconomic conditions may also result in reductions in sales of our solutions, reductions in subscription duration and value, slower adoption of new solutions, and increased price competition.</w:t>
      </w:r>
    </w:p>
    <w:p>
      <w:pPr>
        <w:spacing w:after="0" w:line="19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79" w:lineRule="exact"/>
        <w:rPr>
          <w:sz w:val="20"/>
          <w:szCs w:val="20"/>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educate prospective customers about the uses and benefits of our platform;</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purchase and budget cycles and decisions;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functionality demands;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planned introductions of new intelligence modules by us or our competitors;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and multi-faceted purchasing approval processes.</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have overestimated the size of our total addressable market, our future growth rate may be limited.</w:t>
      </w:r>
    </w:p>
    <w:p>
      <w:pPr>
        <w:spacing w:after="0" w:line="121" w:lineRule="exact"/>
        <w:rPr>
          <w:sz w:val="20"/>
          <w:szCs w:val="20"/>
          <w:color w:val="auto"/>
        </w:rPr>
      </w:pPr>
    </w:p>
    <w:p>
      <w:pPr>
        <w:jc w:val="both"/>
        <w:ind w:right="180" w:firstLine="509"/>
        <w:spacing w:after="0" w:line="256" w:lineRule="auto"/>
        <w:rPr>
          <w:sz w:val="20"/>
          <w:szCs w:val="20"/>
          <w:color w:val="auto"/>
        </w:rPr>
      </w:pPr>
      <w:r>
        <w:rPr>
          <w:rFonts w:ascii="Times New Roman" w:cs="Times New Roman" w:eastAsia="Times New Roman" w:hAnsi="Times New Roman"/>
          <w:sz w:val="18"/>
          <w:szCs w:val="18"/>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Annual Report.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Even if our total addressable market meets our size estimates and experiences growth, we may not continue to grow our share of the market. Our growth is subject to many factors, including our success in implementing our business strategy and the activities of our current and potential future competitors, which are subject to many risks and uncertainties. Accordingly, our estimates of our total addressable market should not be taken as indicative of our ability to grow our business.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changes in search engine algorithms and dynamics or other traffic-generating arrangements.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outside the U.S. expose us to risks inherent in international operations.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acquisition of Monocl Holding Company (“Monocl”) in October 2020 and the completion of our acquisition of AW in 2022 create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forecast our revenue and evaluate our business and future prospects.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In addition, we have faced and continue to face evolving macroeconomic conditions that negatively impact our business and future prospects, which are hard to predict. Accordingly, we may be unable to prepare accurate internal financial forecasts or replace anticipated revenue that we do not receive as a result of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2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spacing w:after="0" w:line="51"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We may require additional financing, and we may not be able to obtain debt or equity financing on favorable terms, if at all. The terms of any additional debt financing may be similar or more restrictive than our current debt facilities. Recently worsening macroeconomic conditions, including rising interest rates and volatility in the capital markets, exacerbate this risk.</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need additional capital and cannot raise it on acceptable terms, or at all, we may not be able to, among other things:</w:t>
      </w:r>
    </w:p>
    <w:p>
      <w:pPr>
        <w:spacing w:after="0" w:line="117" w:lineRule="exact"/>
        <w:rPr>
          <w:sz w:val="20"/>
          <w:szCs w:val="20"/>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features, intelligence modules, updates, integrations, capabilities and enhancements;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provide synthesis of real-time data;</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 opportunities.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recently undertaken internal restructuring activities, and may do so again in the future. The assumptions underlying these activities may prove to be inaccurate, or we may fail to achieve the expected benefits therefrom.</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light of recent macroeconomic conditions, we have made, and will continue to make, judgments as to whether we should further reduce, relocate or otherwise change our workforce. For example, in January 2023, the Company took certain actions to reduce its global headcount by approximately 55 employees. This reduction in force, and any other future reductions, and the attrition that may occur following them, result in the loss of institutional knowledge and expertise and the reallocation and combination of certain roles and responsibilities across the organization, all of which could adversely affect our operations. These restructurings and other additional measures we might take to reduce costs could strain our workforce, divert management attention, yield attrition beyond our intended reduction in force, reduce employee morale, cause us to delay, limit, reduce or eliminate certain development plans or otherwise interfere with our ability to operate and grow our business effectively, each of which could have an adverse impact on our business, operating results and financial condition. Charges and costs incurred in connection with workforce reduction efforts may be significant and higher than estimated. In connection with these actions, we estimate that we will incur pre-tax cash restructuring and related charges of approximately $2.0 million to $2.5 million in the first quarter of 2023, consisting primarily of severance payments, employee benefits, and related cash expenses, as well as an immaterial non-cash stock-based compensation charge related to the vesting of share-based awards for employees who are terminated. We may not complete the current or any future restructuring activities on the anticipated timetable, and even if successfully completed, we may not achieve the anticipated cost savings, operating efficiencies or other benefits of such activities.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could disrupt our business and adversely affect our operating results.</w:t>
      </w:r>
    </w:p>
    <w:p>
      <w:pPr>
        <w:spacing w:after="0" w:line="121" w:lineRule="exact"/>
        <w:rPr>
          <w:sz w:val="20"/>
          <w:szCs w:val="20"/>
          <w:color w:val="auto"/>
        </w:rPr>
      </w:pPr>
    </w:p>
    <w:p>
      <w:pPr>
        <w:ind w:right="100" w:firstLine="554"/>
        <w:spacing w:after="0" w:line="254" w:lineRule="auto"/>
        <w:rPr>
          <w:sz w:val="20"/>
          <w:szCs w:val="20"/>
          <w:color w:val="auto"/>
        </w:rPr>
      </w:pPr>
      <w:r>
        <w:rPr>
          <w:rFonts w:ascii="Times New Roman" w:cs="Times New Roman" w:eastAsia="Times New Roman" w:hAnsi="Times New Roman"/>
          <w:sz w:val="18"/>
          <w:szCs w:val="18"/>
          <w:color w:val="auto"/>
        </w:rPr>
        <w:t>We are a global technology company with a corporate headquarters located in Framingham, Massachusetts and international offices in Sweden and India. Instability and unforeseen changes in any of the markets in which we operate could result in business disruptions or operational challenges that may adversely affect the demand for our products and services, or our reputation, financial condition, results of operations or cash flows.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w:t>
      </w:r>
    </w:p>
    <w:p>
      <w:pPr>
        <w:spacing w:after="0" w:line="8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Global geopolitical tension may also be disruptive to our business, including as a result of the war in Ukraine. The sanctions announced by the U.S. and other countries against Russia to date include restrictions on selling or importing goods, services or technology in or from affected regions and travel bans and asset freezes impacting connected individuals and political, military, business and financial organizations in Russia. The U.S. and other countries could impose wider sanctions and take other actions should the conflict further escalate. It is not possible to predict the broader consequences of this conflict, which have included or could include further sanctions, embargoes, regional instability, prolonged periods of higher inflation, geopolitical shifts, and adverse effects on macroeconomic conditions, currency exchange rates and financial markets, all of which could have a material adverse effect on our business, financial condition and results of operations.</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utilize open-source software, and any failure to comply with the terms of one or more of these open-source licenses could adversely affect our business.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solutions include software subject to open-source licenses. Particular uses of open-source software and the terms of various open-source licenses have not been interpreted by U.S. courts, and there is a risk that such use or licenses could be construed in a manner that imposes unanticipated conditions or restrictions with respect to our platform and proprietary technology. The use of certain open-source software in certain manners requires licensees to disclose publicly part, or all of the source code to the licensee’s proprietary software. Additionally, the use of certain open-source software in certain manners requires that other licensees be granted the right to make any derivative works of any proprietary software linked to or used with the open-source code, or make such proprietary software available to others on terms that are unfavorable to such licensee or at no cost. This can effectively render what was previously proprietary software open-source software.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ind w:firstLine="509"/>
        <w:spacing w:after="0" w:line="255" w:lineRule="auto"/>
        <w:rPr>
          <w:sz w:val="20"/>
          <w:szCs w:val="20"/>
          <w:color w:val="auto"/>
        </w:rPr>
      </w:pPr>
      <w:r>
        <w:rPr>
          <w:rFonts w:ascii="Times New Roman" w:cs="Times New Roman" w:eastAsia="Times New Roman" w:hAnsi="Times New Roman"/>
          <w:sz w:val="18"/>
          <w:szCs w:val="18"/>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and each of such instances could reduce or eliminate the value of our solutions. In addition to risks related to license requirements, use of open-source software can lead to greater risks than use of third-party commercial software, as open-source licensors generally do not provide warranties, controls on the origin of the software, bug fixing, or security scans.</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Cybersecurity</w:t>
      </w:r>
    </w:p>
    <w:p>
      <w:pPr>
        <w:spacing w:after="0" w:line="117"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security vulnerabilities could have a material adverse effect on our reputation, business, financial condition and results of operations.</w:t>
      </w:r>
    </w:p>
    <w:p>
      <w:pPr>
        <w:spacing w:after="0" w:line="5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including when we provide our solutions, we collect, receive, store, process, generate, use, transfer, disclose, make accessible, protect, secure, dispose of, transmit, and share (collectively, “processing”) information, including personal information of health care professionals (such as medical doctors, surgeons, and nurse practitioners), executives and members of health care organizations, de-identified personal information of patients and clinical trial participants, information regarding current and former employees and contractors and job candidates, information regarding registered users and prospects for our solutions, information collected through cookies and website forms, confidential business data, trade secrets, intellectual property, and other sensitive information. Our business, brand, reputation and ability to attract and retain customers depends upon the satisfactory performance, reliability and availability of our platform. Interruptions in our computer and information technology systems, whether due to social-engineering attacks (including through phishing attacks), malware (including as a result of advanced persistent threat intrusions), credential harvesting, personnel misconduct, ransomware attacks, supply-chain attacks, server malfunctions, loss of data or other information technology assets, adware, telecommunications failures, earthquakes, fire, flood, power loss, terrorist attacks, acts of war, system failures, computer viruses, software errors, physical or electronic break-ins or malicious hacks or attacks on our systems (such as denial of service attacks), and other similar threats,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196"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In particular, severe ransomware attacks are becoming increasingly prevalent and can lead to significant interruptions in our operations, loss of sensitive data and income, and diversion of funds.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services.</w:t>
      </w:r>
    </w:p>
    <w:p>
      <w:pPr>
        <w:spacing w:after="0" w:line="6" w:lineRule="exact"/>
        <w:rPr>
          <w:sz w:val="20"/>
          <w:szCs w:val="20"/>
          <w:color w:val="auto"/>
        </w:rPr>
      </w:pPr>
    </w:p>
    <w:p>
      <w:pPr>
        <w:jc w:val="both"/>
        <w:ind w:right="460" w:firstLine="36"/>
        <w:spacing w:after="0" w:line="255" w:lineRule="auto"/>
        <w:rPr>
          <w:sz w:val="20"/>
          <w:szCs w:val="20"/>
          <w:color w:val="auto"/>
        </w:rPr>
      </w:pPr>
      <w:r>
        <w:rPr>
          <w:rFonts w:ascii="Times New Roman" w:cs="Times New Roman" w:eastAsia="Times New Roman" w:hAnsi="Times New Roman"/>
          <w:sz w:val="18"/>
          <w:szCs w:val="18"/>
          <w:color w:val="auto"/>
        </w:rPr>
        <w:t>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4" w:name="page25"/>
    <w:bookmarkEnd w:id="24"/>
    <w:p>
      <w:pPr>
        <w:ind w:right="20"/>
        <w:spacing w:after="0" w:line="253" w:lineRule="auto"/>
        <w:rPr>
          <w:sz w:val="20"/>
          <w:szCs w:val="20"/>
          <w:color w:val="auto"/>
        </w:rPr>
      </w:pPr>
      <w:r>
        <w:rPr>
          <w:rFonts w:ascii="Times New Roman" w:cs="Times New Roman" w:eastAsia="Times New Roman" w:hAnsi="Times New Roman"/>
          <w:sz w:val="18"/>
          <w:szCs w:val="18"/>
          <w:color w:val="auto"/>
        </w:rPr>
        <w:t>platform and other aspects of our solutions, including those provided or facilitated by our third-party service providers, are vital to our operations and business strategy. As a result of the COVID-19 pandemic and our eventual shift to a hybrid remote work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 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 Our contracts with our data providers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8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and undermine our competitive advantage or market position.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Privacy Laws (as defined below) for actions arising from certain data security incidents. We have also outsourced elements of our information technology infrastructure, and as a result a number of third-party vendors may or could have access to our confidential information,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maintain insurance policies that cover certain security and privacy damages. However, we cannot guarantee that our coverage will be adequate for liabilities actually incurred or that insurance will continue to be available to us on economically reasonable terms, or at all.</w:t>
      </w:r>
    </w:p>
    <w:p>
      <w:pPr>
        <w:spacing w:after="0" w:line="20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5" w:name="page26"/>
    <w:bookmarkEnd w:id="25"/>
    <w:p>
      <w:pPr>
        <w:spacing w:after="0" w:line="255" w:lineRule="auto"/>
        <w:rPr>
          <w:sz w:val="20"/>
          <w:szCs w:val="20"/>
          <w:color w:val="auto"/>
        </w:rPr>
      </w:pPr>
      <w:r>
        <w:rPr>
          <w:rFonts w:ascii="Times New Roman" w:cs="Times New Roman" w:eastAsia="Times New Roman" w:hAnsi="Times New Roman"/>
          <w:sz w:val="18"/>
          <w:szCs w:val="18"/>
          <w:color w:val="auto"/>
        </w:rPr>
        <w:t>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or there is a perception that we have failed to do so, we may be subject to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These events may have a material adverse effect on our business, financial condition, and results of operations.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 to comply with applicable data protection, privacy and security laws, regulations, standards and other requirements could adversely affect our reputation, business, financial condition and results of operations, and financial condition.</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customers use our solutions to understand and navigate the healthcare ecosystem. The collection, retention, security, transfer and disclosure (collectively, “processing”) of personal information subject us to a variety of laws and regulations in the United States and abroad that govern data privacy and security (collectively, “Privacy Laws”), which can be enforced in some cases by private parties in addition to governmental and regulatory entities. From time to time, we may not be in full compliance with all such Privacy Laws. These Privacy Laws often require companies to implement specific privacy and information security controls to protect certain types of information, such as health information. Additionally, under Privacy Laws, we may be required to obtain certain consents prior to collecting personal data from specific sources, such as publicly available information. Our inability or failure to do so could result in adverse consequences. These laws and regulations are constantly evolving and may be interpreted, applied, created, or amended in a manner that could harm our current or future business and operations. For example, several states and localities have enacted measures related to the use of artificial intelligence and machine learning in products and services. Additionally, in Europe, there is a proposed regulation related to A.I. that, if adopted, could impose onerous obligations related to the use of A.I.-related systems. We may have to change our business practices to comply with such obligations.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p>
    <w:p>
      <w:pPr>
        <w:spacing w:after="0" w:line="19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spacing w:after="0" w:line="194"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Certain of our customers may be either “business associates” or “covered entities” under HIPAA, including certain of our customers that are not traditional healthcare providers. For example, some of our customers are 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w:t>
      </w:r>
    </w:p>
    <w:p>
      <w:pPr>
        <w:spacing w:after="0" w:line="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6" w:name="page27"/>
    <w:bookmarkEnd w:id="26"/>
    <w:p>
      <w:pPr>
        <w:ind w:right="80"/>
        <w:spacing w:after="0" w:line="282" w:lineRule="auto"/>
        <w:rPr>
          <w:sz w:val="20"/>
          <w:szCs w:val="20"/>
          <w:color w:val="auto"/>
        </w:rPr>
      </w:pPr>
      <w:r>
        <w:rPr>
          <w:rFonts w:ascii="Times New Roman" w:cs="Times New Roman" w:eastAsia="Times New Roman" w:hAnsi="Times New Roman"/>
          <w:sz w:val="18"/>
          <w:szCs w:val="18"/>
          <w:color w:val="auto"/>
        </w:rPr>
        <w:t>can result in violations of multiple standards. If a person knowingly or intentionally obtains or discloses PHI in violation of HIPAA requirements, criminal penalties may also be imposed.</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 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p>
    <w:p>
      <w:pPr>
        <w:spacing w:after="0" w:line="18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18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The California Privacy Rights Act (“CPRA”) broadly amends the CCPA and imposes additional obligations on covered businesses, including additional consumer rights processes, limitations on data uses, new audit requirements for higher risk data, and opt outs for certain uses of sensitive data. It creates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Similarly, other states are instituting privacy and data security laws (for example, the VCDPA, which became effective on January 1, 2023),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19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may also be subject to international Privacy Laws such as the EU GDPR, the UK GDPR, Canada’s Personal Information Protection and Electronic Documents Act and other international data protection, privacy, data security, data localization and similar national, state/provincial and local laws. The EU and UK GDPR imposes stringent operational requirements on “controllers” and “processors” of personal data, including, for example, requiring enhanced disclosures to data subjects about how personal data is processed, limiting retention periods of personal data, requiring mandatory data breach notification, requiring certain record keeping and risk assessment obligations, and requiring additional policies and procedures. In addition, data subjects have more robust rights with regard to their personal data. Personal data, as defined under the UK and EU GDPR, of medical experts or professionals in the EU is principally processed by our EU subsidiary, Monocl AB. Because our EU subsidiary operates under a Swedish publishing certificate issued in accordance with Swedish national law, such processing of personal data by our EU subsidiary comes under the Swedish constitutional protection enshrining freedom of expression and consequently falls within the scope of Article 85 EU GDPR and is exempt from certain core provisions of the EU GDPR including, but not limited to, requirements relating to the rights of the data subject (Chapter II) and the transfer of</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7" w:name="page28"/>
    <w:bookmarkEnd w:id="27"/>
    <w:p>
      <w:pPr>
        <w:spacing w:after="0" w:line="252" w:lineRule="auto"/>
        <w:rPr>
          <w:sz w:val="20"/>
          <w:szCs w:val="20"/>
          <w:color w:val="auto"/>
        </w:rPr>
      </w:pPr>
      <w:r>
        <w:rPr>
          <w:rFonts w:ascii="Times New Roman" w:cs="Times New Roman" w:eastAsia="Times New Roman" w:hAnsi="Times New Roman"/>
          <w:sz w:val="18"/>
          <w:szCs w:val="18"/>
          <w:color w:val="auto"/>
        </w:rPr>
        <w:t>personal data to third countries or international organizations (Chapter V). Notwithstanding such exemption, we may from time to time receive data subject requests that we may deny or decline to respond to in reliance on Article 85, which may lead data subjects to lodge complaints with data protection authorities. There is a possibility that such data protection authorities could disagree with Monocl AB’s reliance on Article 85. Further, legal challenges against the general right to publish personal data based on the publishing certificate and consequent exemption from the GDPR, if upheld, may potentially result in the exemption being deemed invalid in certain circumstances. The EU and UK GDPR treat health-related data as a “special category of personal data,” subject to heightened requirements, including compliance with specific exceptions to process health-related data, such as obtaining the data subject's explicit consent.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or private litigation related to processing of personal data brought by classes of data subjects or consumer protection organizations authorized at law to represent their interests. Further, since January 1, 2021, companies have to comply with the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After expiry of the period, the adequacy decision will be renewed only if the United Kingdom continues to ensure an adequate level of data protection.</w:t>
      </w:r>
    </w:p>
    <w:p>
      <w:pPr>
        <w:spacing w:after="0" w:line="195"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Additionally, we are subject to laws, rules, and regulations (including under the EU and UK GDPR) regarding cross- border transfers of personal data, including laws relating to the transfer of personal data outside the European Economic Area (“EEA”), the UK, and outside of India. We rely on transfer mechanisms permitted under these laws, including standard contractual clauses, which have been subject to regulatory and judicial scrutiny. On 7 October 2022, President Biden signed an Executive Order on “Enhancing Safeguards for United States Signals Intelligence Activities”, which implements into United States law the agreement in principle announced in March 2022 on a new EU-U.S. Data Privacy Framework. However, if these existing or new mechanisms for transferring personal data from the EEA, the UK, or other jurisdictions are unavailable, we may be prevented from transferring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EEA for allegedly violating the EU GDPR’s cross-border data transfer limitations.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Customers expect that our solutions can be used in compliance with data protection and data Privacy Laws and regulations. The functional and operational requirements and costs of compliance with such laws and 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 affect our customers’ ability or desire to collect, use, process, store and disclose personal information and health data using our solutions, or to license data products from us, which could reduce demand for our solutions.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Furthermore, we are bound by contractual obligations related to data privacy and security, and our efforts to comply with such obligations may not be successful. For example, certain Privacy Laws, require our customers to impose specific contractual restrictions on their service providers. Failure to comply with such Privacy Laws, certain certification/registration requirement, annual re-certification/registration requirements associated with these Privacy Laws, and failure to resolve any serious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2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sanctions, export controls, anti-corruption, anti-bribery, anti-money laundering and similar laws, and non-compliance with such laws can subject us to criminal penalties or significant fines and have a material adverse effect on our business, financial condition and results of operations.</w:t>
      </w:r>
    </w:p>
    <w:p>
      <w:pPr>
        <w:spacing w:after="0" w:line="67"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export controls, trade and economic sanctions laws and regulations, including those administered by the U.S. Treasury Department’s Office of Foreign Assets Control, the U.S. Department of Commerce, and the U.S. Department of State. These trade laws and regulations prohibit certain transactions involving sanctioned countries, governments, and persons without a license or other appropriate authorization. As we increase our international sales and business, our risks under these laws may increase. Changes to U.S. export and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20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Any violation or allegation of violations of economic and trade sanctions laws, export controls,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claims brought by our customers, which could be costly and time consuming to defend.</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51"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intellectual property,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be required to spend significant resources to monitor and protect our contractual, intellectual property and other rights, including collection of payments and fees and enforcement of intellectual property rights.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if we breach our contracts, and our insurance may be inadequate to cover our losses.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83"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liability for collecting, displaying or distributing information.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proprietary and intellectual property rights in our data analytics or data science.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information and technology including our trade secrets and other unregistered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protection, including by entering into confidentiality and non-disclosure agreements, and other contractual arrangements, along with copyright law, rather than on registered intellectual property such as patents, registered copyrights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Current law may not provide for adequate protection of our platform or proprietary information and technology.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proprietary information or technology,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protect our intellectual property rights, we may be required to spend significant resources to monitor and protect these rights, and we may not be able to detect infringement or misappropriation by our customers, business partners, or other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and data from third parties to develop and market new features, integrations and capabilities, and we cannot be certain that we could license that technology or data on commercially reasonable terms or at all, and our inability to license this technology or data could harm our ability to compete and have a material adverse effect on our business, financial condition and results of operations.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by others that we are infringing on their intellectual property rights.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ind w:right="260"/>
        <w:spacing w:after="0" w:line="282" w:lineRule="auto"/>
        <w:rPr>
          <w:sz w:val="20"/>
          <w:szCs w:val="20"/>
          <w:color w:val="auto"/>
        </w:rPr>
      </w:pPr>
      <w:r>
        <w:rPr>
          <w:rFonts w:ascii="Times New Roman" w:cs="Times New Roman" w:eastAsia="Times New Roman" w:hAnsi="Times New Roman"/>
          <w:sz w:val="18"/>
          <w:szCs w:val="18"/>
          <w:color w:val="auto"/>
        </w:rPr>
        <w:t>period of time there may currently be pending applications, unknown to us, that later result in issued patents that could cover one or more aspects of our technology and services.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claims that we or our customers infringe or otherwise violate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products or services that infringe or allegedly infringe on the plaintiff’s intellectual property rights. To resolve these claims, we may enter into licensing agreements with restrictive terms or significant fees, stop making our technology, products or services available, be required to implement costly redesigns to the affected technology, or products or services, or pay damages to satisfy contractual obligations to others. If we do not resolve these claims in advance of a trial, there is no guarantee that we will be successful in court. These outcomes could have a material adverse effect on our business, financial condition and operations.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contracts with our suppliers or customers contain provisions whereby we are required to indemnify the counterparty for damages suffered as a result of claims related to intellectual property infringement and the use of data analytics by our technology, products, or services. Claims made under these provisions could be expensive to litigate and could result in significant payments. Even if we were to prevail in such a dispute, any litigation regarding our or others’ intellectual property could be costly and time-consuming and divert the attention of our management and key personnel from our business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changes in laws and regulations related to the Internet or changes in access to the Internet generally.</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187"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7"/>
          <w:szCs w:val="17"/>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Certain Tax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effective tax rate and additional tax liabilities may impact our financial results.</w:t>
      </w:r>
    </w:p>
    <w:p>
      <w:pPr>
        <w:spacing w:after="0" w:line="12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taxes in the U.S. and certain foreign jurisdictions. Due to economic and political conditions, tax rates in various jurisdictions, including the U.S., may be subject to change.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For example, beginning in 2022, the Tax Cuts and Jobs Act of 2017 eliminated the option of expensing all research and development expenditures in the current year, instead requiring amortization over five years for expenditures in the U.S. and over fifteen years for foreign-based expenditures, pursuant to Section 174 of the Internal Revenue Code. In the future, Congress may consider legislation that would eliminate the capitalization and amortization requirement. There is no assurance that the requirement will be deferred, repealed, or otherwise modified.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194"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Accounting and Financial Reporting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change in deferred revenue may not be accurate indicators of our future financial results.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short-term investment balances and may not use them effectively.</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6" w:name="page37"/>
    <w:bookmarkEnd w:id="36"/>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a significant amount of goodwill and intangible assets on our balance sheet, and our results of operations may be adversely affected if we fail to realize the full value of our goodwill and intangible assets. Our balance sheet reflects goodwill of $1.3 billion as of December 31, 2022 and 2021, and intangible assets, net of $350.7 million and $352.5 million as of December 31, 2022 and 2021, respectively.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82" w:lineRule="exact"/>
        <w:rPr>
          <w:sz w:val="20"/>
          <w:szCs w:val="20"/>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historical or projected future operating results;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of our use of acquired assets or the strategy for our overall business;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industry or economic trends; or</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market capitalization relative to net book value for a sustained period.</w:t>
      </w:r>
    </w:p>
    <w:p>
      <w:pPr>
        <w:spacing w:after="0" w:line="225"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2022, the fair value of our one reporting unit was less than 10% higher than its carrying value. With a margin between fair value and carrying value in this range, our reporting unit is at risk for future goodwill impairments if it experiences a continued decline in its market capitalization or worsening macroeconomic conditions, which could represent potential indicators of impairment requiring further impairment analysis in 2023. We continue to monitor for potential impairment should impairment indicators arise. If actual results in our single reporting unit are substantially lower than the projections used in our valuation methodology, or if market discount rates substantially increase or our market capitalization substantially decreases, then our future valuations could be adversely affected. We could be required to record a significant charge to earnings in our financial statements during the period in which any impairment of our goodwill or intangible assets is determined, negatively impacting our results of operations.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secure sufficient additional financing on favorable terms, or at all, to meet our future capital needs.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default under our debt agreements could have significant consequences.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2021 Credit Agreement (as defined below) contains covenants imposing certain restrictions on our business. These restrictions may affect our ability to operate our business and may limit our ability to take advantage of potential business opportunities as they arise. The 2021 Credit Agreement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2021 Credit Agreement also requires us to, commencing on the last day of the fiscal quarter ended December 31, 2021, maintain a maximum total leverage ratio.</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ability to comply with these covenants under the 2021 Credit Agreement may be affected by events beyond our control, including prevailing economic, financial and industry conditions. The breach of any of these covenants could result in an event of default, which would permit Bank of America, N.A. (the “Administrative Agent”) or the specified threshold of lenders to declare all outstanding debt to be due and payable, together with accrued and unpaid interest. Our obligations under the 2021 Credit Agreement are secured by liens on substantially all of our assets, subject to agreed-upon exceptions. Any default by us under the 2021 Credit Agreement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level of indebtedness could have a material adverse effect on our business, financial condition and results of operations.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total principal amount of debt outstanding, excluding unamortized debt issuance costs, under the 2021 Credit Agreement as of December 31, 2022 was $266.4 million. The loans under the 2019 Credit Agreement were repaid and the 2019 Credit Agreement was terminated on September 17, 2021 in connection with the IPO Transactions and the 2021 Credit Agreement.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indebtedness could have significant effects on our business, such as:</w:t>
      </w:r>
    </w:p>
    <w:p>
      <w:pPr>
        <w:spacing w:after="0" w:line="117" w:lineRule="exact"/>
        <w:rPr>
          <w:sz w:val="20"/>
          <w:szCs w:val="20"/>
          <w:color w:val="auto"/>
        </w:rPr>
      </w:pPr>
    </w:p>
    <w:p>
      <w:pPr>
        <w:ind w:left="1140" w:right="12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acquisitions, debt service requirements, execution of our growth strategy, capital expenditures and other purposes;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including acquisitions, loans and advances, and to sell, transfer or otherwise dispose of assets;</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67" w:lineRule="exact"/>
        <w:rPr>
          <w:rFonts w:ascii="Times New Roman" w:cs="Times New Roman" w:eastAsia="Times New Roman" w:hAnsi="Times New Roman"/>
          <w:sz w:val="18"/>
          <w:szCs w:val="18"/>
          <w:color w:val="auto"/>
        </w:rPr>
      </w:pPr>
    </w:p>
    <w:p>
      <w:pPr>
        <w:ind w:left="1140" w:right="12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and</w:t>
      </w:r>
    </w:p>
    <w:p>
      <w:pPr>
        <w:spacing w:after="0" w:line="117" w:lineRule="exact"/>
        <w:rPr>
          <w:rFonts w:ascii="Times New Roman" w:cs="Times New Roman" w:eastAsia="Times New Roman" w:hAnsi="Times New Roman"/>
          <w:sz w:val="18"/>
          <w:szCs w:val="18"/>
          <w:color w:val="auto"/>
        </w:rPr>
      </w:pPr>
    </w:p>
    <w:p>
      <w:pPr>
        <w:ind w:left="1140" w:right="44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38" w:name="page39"/>
    <w:bookmarkEnd w:id="38"/>
    <w:p>
      <w:pPr>
        <w:ind w:right="380"/>
        <w:spacing w:after="0" w:line="282" w:lineRule="auto"/>
        <w:rPr>
          <w:sz w:val="20"/>
          <w:szCs w:val="20"/>
          <w:color w:val="auto"/>
        </w:rPr>
      </w:pPr>
      <w:r>
        <w:rPr>
          <w:rFonts w:ascii="Times New Roman" w:cs="Times New Roman" w:eastAsia="Times New Roman" w:hAnsi="Times New Roman"/>
          <w:sz w:val="18"/>
          <w:szCs w:val="18"/>
          <w:color w:val="auto"/>
        </w:rPr>
        <w:t>or our assets on favorable terms, if at all, and if we must sell our assets, it could have a material adverse effect on our business, financial condition and results of operation.</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Pursuant to our 2021 Credit Agreement, we are required to maintain, commencing on the last day of the fiscal quarter ending December 31, 2021, on a consolidated basis, a maximum ratio of consolidated net debt to consolidated EBITDA (with certain adjustments as set forth in the 2021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the covenants under our 2021 Credit Agreement or volatility in the credit and capital markets could have a material adverse effect on our business, financial condition, liquidity and results of operation.</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ability to manage our debt is dependent on our level of positive cash flow from the sale of our platform. An economic downturn may negatively impact our cash flows. Credit and capital markets can be volatile, and have recently experienced such volatility in light of global economic factors,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2021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7"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 holding company, and our principal asset is our 68.2% ownership interest in Definitive OpCo, and we are accordingly dependent upon distributions from Definitive OpCo to pay dividends, if any, and taxes, make payments under the Tax Receivable Agreement and pay other expenses.</w:t>
      </w:r>
    </w:p>
    <w:p>
      <w:pPr>
        <w:spacing w:after="0" w:line="2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 holding company and our principal asset is our ownership of 68.2% of the outstanding LLC Units (as of December 31, 2022), exclusive of unvested LLC Units. We have no independent means of generating revenue. We anticipate that Definitive OpCo will continue to be treated as a partnership for U.S. federal and applicable state and local income tax purposes and, as such, will generally not be subject to entity-level U.S. federal and applicable state and local income tax. Instead, the taxable income of Definitive OpCo is allocated among its members, including us. Accordingly, we incur income taxes on our allocable share of any taxable income of Definitive OpCo. We also incur expenses related to our operations, and have obligations to make payments under the Tax Receivable Agreement. As the sole managing member of Definitive OpCo, we intend to cause Definitive OpCo to make distributions to the holders of LLC Units in amounts sufficient to (i) cover all of the income taxes payable by holders of LLC Units (including us) on such holders’ respective allocable shares of the taxable income of Definitive OpCo, (ii) allow us to make any payments required under the Tax Receivable Agreement, (iii) fund dividends to our stockholders in accordance with our dividend policy, to the extent that our board of directors declares such dividends and (iv) pay our expenses.</w:t>
      </w:r>
    </w:p>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under applicable law or regulation, as a result of covenants in its debt agreements or otherwise, we may not be able to obtain such funds on terms acceptable to us, or at all, which could have a material adverse effect on our liquidity and financial condition. In addition, for taxable years beginning after December 31, 2017, liability for adjustments to a partnership’s tax return can be imposed on the partnership itself in certain circumstances, absent an election to the contrary. Definitive OpCo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Under the Amended LLC Agreement, Definitive OpCo is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9" w:name="page40"/>
    <w:bookmarkEnd w:id="39"/>
    <w:p>
      <w:pPr>
        <w:ind w:right="20"/>
        <w:spacing w:after="0" w:line="253" w:lineRule="auto"/>
        <w:rPr>
          <w:sz w:val="20"/>
          <w:szCs w:val="20"/>
          <w:color w:val="auto"/>
        </w:rPr>
      </w:pPr>
      <w:r>
        <w:rPr>
          <w:rFonts w:ascii="Times New Roman" w:cs="Times New Roman" w:eastAsia="Times New Roman" w:hAnsi="Times New Roman"/>
          <w:sz w:val="18"/>
          <w:szCs w:val="18"/>
          <w:color w:val="auto"/>
        </w:rPr>
        <w:t>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 redemption or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w:t>
      </w:r>
    </w:p>
    <w:p>
      <w:pPr>
        <w:spacing w:after="0" w:line="29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 The Tax Receivable Agreement with the TRA Parties requires Definitive Healthcare Corp. to make cash payments to TRA Parties in respect of certain tax benefits to which it may become entitled, and we expect that such payments will be substantial.</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TRA Parties that will not benefit the holders of Class A Common Stock to the same extent that it will benefit the TRA Parties. Although Definitive Healthcare Corp. holds 15% of the amount of such tax benefits, this and other aspects of our organizational structure may adversely impact the future trading market for our Class A Common Stock. Under the Tax Receivable Agreement, we are required to make cash payments to the TRA Parties equal to 85% of the tax benefits, if any, that Definitive Healthcare Corp. actually realizes, or in certain circumstances are deemed to realize, as a result of (i) certain tax attributes that Definitive Healthcare Corp. acquired from the Blocker Companies, (ii) certain tax basis adjustments resulting from (a) acquisitions by Definitive Healthcare Corp. of LLC Units from existing holders and (b) future redemptions or exchanges of LLC Units by holders of LLC Units for Class A Common Stock or other consideration and (iii) certain payments made under the Tax Receivable Agreement. The payment obligations under the Tax Receivable Agreement are obligations of Definitive Healthcare Corp. and we expect that the amount of the cash payments that we are required to make under the Tax Receivable Agreement will be significant. Any payments made by Definitive Healthcare Corp.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Definitive Healthcare Corp.’s future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30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or a replacement rate) of all future payments that holders of LLC Units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TRA Parties under the Tax Receivable Agreement in the event that any tax benefits are disallowed.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U.S. Internal Revenue Service, or the IRS, or another taxing authority may challenge all or part of the tax basis increases or other tax benefits that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p>
    <w:p>
      <w:pPr>
        <w:spacing w:after="0" w:line="299"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6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the sole managing member of Definitive OpCo, we control and operate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1" w:name="page42"/>
    <w:bookmarkEnd w:id="41"/>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have a material adverse effect on the market price of our Class A Common Stock.</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 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directors and stockholders will not have any obligation to present business opportunities to us and may compete with us.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directors and stockholders affiliated with Advent and Spectrum Equity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a result, our directors and stockholders affiliated with Advent and Spectrum Equity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28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28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Class A Common Stock may be volatile, which could result in rapid and substantial losses for our stockholders, and you may lose all or part of your investment.</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Shares of our Class A Common Stock may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54" w:lineRule="exact"/>
        <w:rPr>
          <w:sz w:val="20"/>
          <w:szCs w:val="20"/>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results of operations;</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earnings estimates (if provided) or differences between our actual results of operations and those expected by investors and analysts;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published research reports about us or our industry or the failure of securities analysts to cover our Class A Common Stock;</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increased indebtedness we may incur in the future;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others and developments affecting us;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stockholders;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judicial pronouncements interpreting laws and regulations;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Class A Common Stock in the public markets;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us or our industry in general;</w:t>
      </w:r>
    </w:p>
    <w:p>
      <w:pPr>
        <w:spacing w:after="0" w:line="117" w:lineRule="exact"/>
        <w:rPr>
          <w:rFonts w:ascii="Times New Roman" w:cs="Times New Roman" w:eastAsia="Times New Roman" w:hAnsi="Times New Roman"/>
          <w:sz w:val="18"/>
          <w:szCs w:val="18"/>
          <w:color w:val="auto"/>
        </w:rPr>
      </w:pPr>
    </w:p>
    <w:p>
      <w:pPr>
        <w:ind w:left="1140" w:right="8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strategic relationships, joint ventures or capital commitments; and</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political and economic conditions, including local conditions in the markets in which we operate.</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Class A Common Stock, regardless of our actual financial performance. The stock market in general has from time to time experienced extreme price and volume fluctuations, and the trading prices of technology company securities have been highly volatile,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3" w:name="page44"/>
    <w:bookmarkEnd w:id="43"/>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could be negatively affected by sales of substantial amounts of our Class A Common Stock in the public markets.</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2022, we had a total of 105,138,273 shares of Class A Common Stock outstanding. Of those shares, 62,493,676 shares were held by Advent, our largest stockholder and one of our pre-IPO owners. In addition, as of December 31,2022, our pre-IPO owners held directly or indirectly a total of 50,433,101 LLC Units that, subject to applicable time-vesting conditions (some of which have already been met), can ultimately be redeemed or exchanged for our Class A Common Stock. In connection with the completion of our IPO, we entered into a Registration Rights Agreement with certain pre-IPO owners, including Advent, Spectrum Equity, 22C Capital and our founder. Any sales in connection with the Registration Rights Agreement or otherwise in compliance with the </w:t>
      </w:r>
      <w:r>
        <w:rPr>
          <w:rFonts w:ascii="Times New Roman" w:cs="Times New Roman" w:eastAsia="Times New Roman" w:hAnsi="Times New Roman"/>
          <w:sz w:val="18"/>
          <w:szCs w:val="18"/>
          <w:color w:val="231F20"/>
        </w:rPr>
        <w:t>Securities Act of 1933, as amended (the “Securities Act”)</w:t>
      </w:r>
      <w:r>
        <w:rPr>
          <w:rFonts w:ascii="Times New Roman" w:cs="Times New Roman" w:eastAsia="Times New Roman" w:hAnsi="Times New Roman"/>
          <w:sz w:val="18"/>
          <w:szCs w:val="18"/>
          <w:color w:val="auto"/>
        </w:rPr>
        <w:t>, or the prospect of any such sales, could materially and adversely impact the market price of our Class A common stock and could impair our ability to raise capital through future sales of equity securities.</w:t>
      </w:r>
    </w:p>
    <w:p>
      <w:pPr>
        <w:spacing w:after="0" w:line="84" w:lineRule="exact"/>
        <w:rPr>
          <w:sz w:val="20"/>
          <w:szCs w:val="20"/>
          <w:color w:val="auto"/>
        </w:rPr>
      </w:pPr>
    </w:p>
    <w:p>
      <w:pPr>
        <w:jc w:val="both"/>
        <w:ind w:right="280" w:firstLine="509"/>
        <w:spacing w:after="0" w:line="281" w:lineRule="auto"/>
        <w:rPr>
          <w:sz w:val="20"/>
          <w:szCs w:val="20"/>
          <w:color w:val="auto"/>
        </w:rPr>
      </w:pPr>
      <w:r>
        <w:rPr>
          <w:rFonts w:ascii="Times New Roman" w:cs="Times New Roman" w:eastAsia="Times New Roman" w:hAnsi="Times New Roman"/>
          <w:sz w:val="17"/>
          <w:szCs w:val="17"/>
          <w:color w:val="auto"/>
        </w:rPr>
        <w:t>In addition, we filed a registration statement on Form S-8 under the Securities Act to register shares of our Class A Common Stock or securities convertible into or exchangeable for shares of our Class A Common Stock issued pursuant to our 2021 Equity Incentive Plan and 2021 Employee Stock Purchase Plan. Such Form S-8 registration statement automatically became effective upon filing. Accordingly, shares registered under such registration statement will be available for sale in the open market. Our registration statement on Form S-8 covers 10,487,212 shares of our Class A common stock.</w:t>
      </w:r>
    </w:p>
    <w:p>
      <w:pPr>
        <w:spacing w:after="0" w:line="5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w:t>
      </w:r>
    </w:p>
    <w:p>
      <w:pPr>
        <w:spacing w:after="0" w:line="280"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Class A Common Stock in connection with any equity plans, acquisitions or otherwise will dilute all other stockholdings.</w:t>
      </w:r>
    </w:p>
    <w:p>
      <w:pPr>
        <w:spacing w:after="0" w:line="5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we had an aggregate of 484,374,515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owners of our Class A Common Stock.</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Based on the market value of our Class A common stock held by non-affiliates as of June 30, 2022, on December 31, 2022 we ceased to be an “emerging growth company” as defined in Section 2(a) of the Securities Act, as modified by the JOBS Act. As a result, we have experienced, and expect to continue to experience, additional costs associated with being a public company, including costs associated with compliance with the auditor attestation requirement of Section 404 of the Sarbanes-Oxley Act, or Section 404, the adoption of certain accounting standard updates upon losing such status, and additional disclosure requirements.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diverting their attention from other business concerns, which could harm our business, financial condition and results of operations.</w:t>
      </w:r>
    </w:p>
    <w:p>
      <w:pPr>
        <w:spacing w:after="0" w:line="19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To comply with the requirements of being a public company, including the Sarbanes-Oxley Act, we continue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2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Definitive Healthcare Corp. is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4" w:name="page45"/>
    <w:bookmarkEnd w:id="44"/>
    <w:p>
      <w:pPr>
        <w:ind w:right="460"/>
        <w:spacing w:after="0" w:line="282" w:lineRule="auto"/>
        <w:rPr>
          <w:sz w:val="20"/>
          <w:szCs w:val="20"/>
          <w:color w:val="auto"/>
        </w:rPr>
      </w:pPr>
      <w:r>
        <w:rPr>
          <w:rFonts w:ascii="Times New Roman" w:cs="Times New Roman" w:eastAsia="Times New Roman" w:hAnsi="Times New Roman"/>
          <w:sz w:val="18"/>
          <w:szCs w:val="18"/>
          <w:color w:val="auto"/>
        </w:rPr>
        <w:t>restated bylaws may make it more difficult for, or prevent a third-party from, acquiring control of us without the approval of our Board. Among other things, these provisions generally:</w:t>
      </w:r>
    </w:p>
    <w:p>
      <w:pPr>
        <w:spacing w:after="0" w:line="54" w:lineRule="exact"/>
        <w:rPr>
          <w:sz w:val="20"/>
          <w:szCs w:val="20"/>
          <w:color w:val="auto"/>
        </w:rPr>
      </w:pPr>
    </w:p>
    <w:p>
      <w:pPr>
        <w:ind w:left="1140" w:hanging="50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with staggered three-year terms;</w:t>
      </w:r>
    </w:p>
    <w:p>
      <w:pPr>
        <w:spacing w:after="0" w:line="117" w:lineRule="exact"/>
        <w:rPr>
          <w:rFonts w:ascii="Times New Roman" w:cs="Times New Roman" w:eastAsia="Times New Roman" w:hAnsi="Times New Roman"/>
          <w:sz w:val="18"/>
          <w:szCs w:val="18"/>
          <w:color w:val="auto"/>
        </w:rPr>
      </w:pPr>
    </w:p>
    <w:p>
      <w:pPr>
        <w:ind w:left="1140" w:right="440" w:hanging="504"/>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directors, which would otherwise allow less than a majority of stockholders to elect director candidates;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sole power of a majority of the Board to fix the number of directors;</w:t>
      </w:r>
    </w:p>
    <w:p>
      <w:pPr>
        <w:spacing w:after="0" w:line="117"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has the sole power to fill any vacancy on our Board, whether such vacancy occurs as a result of an increase in the number of directors or otherwise;</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without any need for action by stockholders;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140" w:right="620" w:hanging="504"/>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acting by written consent once Advent’s ownership falls below 30%; and establish advance notice requirements for nominations for election to our Board or for proposing matters that can be acted on by stockholders at stockholder meetings.</w:t>
      </w:r>
    </w:p>
    <w:p>
      <w:pPr>
        <w:spacing w:after="0" w:line="176"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our 2021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9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5" w:name="page46"/>
    <w:bookmarkEnd w:id="45"/>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By agreeing to this provision, however, stockholders are not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issue preferred stock may deter takeover attempts.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 10 million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Framingham, Massachusetts and consists of approximately 55,700 square feet of space under leases that expire in January 2029, with extension options. As of December 31, 2022, we have other offices in Sweden, India and New Jersey.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57" w:right="43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00"/>
        <w:spacing w:after="0" w:line="435"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Our Class A Common Stock is listed and traded on the Nasdaq Global Select Market under the trading symbol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DH</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There is no established public trading market for our Class B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of February 23, 2023, there were 38 holders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no current plans to pay dividends on our Class A common stock. The declaration, amount, and payment of any future dividends on shares of Class A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shall not be deemed “soliciting material” or to be “filed” with the SEC for purposes of Section 18 of the Exchange Act, or otherwise subject to the liabilities under that Section, and shall not be deemed to be incorporated by reference into any of our other filings under the Securities Act or the Exchange Act.</w:t>
      </w:r>
    </w:p>
    <w:p>
      <w:pPr>
        <w:spacing w:after="0" w:line="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Class A Common Stock with the cumulative total return on the Nasdaq Composite Total Return (^XCMP) and the S&amp;P 500 Internet Services &amp; Infrastructure Index, assuming an initial investment of $100 at the market close on September 15, 2021, the date our Class A Common Stock commenced trading on the Nasdaq Global Select Market. Data for the Nasdaq Composite Total Return and S&amp;P 500 Internet Services &amp; Infrastructure Index assume reinvestment of dividends.</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comparisons in the graph below are based upon historical data and are not indicative of, nor intended to forecast,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45720</wp:posOffset>
            </wp:positionV>
            <wp:extent cx="5837555" cy="30346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3755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the LLC Unit holder are cancelled. Such exchanges executed in the fourth quarter of 2022 are as follows:</w:t>
      </w:r>
    </w:p>
    <w:p>
      <w:pPr>
        <w:spacing w:after="0" w:line="81"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60" w:type="dxa"/>
            <w:vAlign w:val="bottom"/>
          </w:tcPr>
          <w:p>
            <w:pPr>
              <w:spacing w:after="0"/>
              <w:rPr>
                <w:sz w:val="18"/>
                <w:szCs w:val="18"/>
                <w:color w:val="auto"/>
              </w:rPr>
            </w:pPr>
          </w:p>
        </w:tc>
      </w:tr>
      <w:tr>
        <w:trPr>
          <w:trHeight w:val="245"/>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420" w:type="dxa"/>
            <w:vAlign w:val="bottom"/>
          </w:tcPr>
          <w:p>
            <w:pPr>
              <w:spacing w:after="0"/>
              <w:rPr>
                <w:sz w:val="21"/>
                <w:szCs w:val="21"/>
                <w:color w:val="auto"/>
              </w:rPr>
            </w:pPr>
          </w:p>
        </w:tc>
        <w:tc>
          <w:tcPr>
            <w:tcW w:w="1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Exchanged</w:t>
            </w:r>
          </w:p>
        </w:tc>
        <w:tc>
          <w:tcPr>
            <w:tcW w:w="60" w:type="dxa"/>
            <w:vAlign w:val="bottom"/>
          </w:tcPr>
          <w:p>
            <w:pPr>
              <w:spacing w:after="0"/>
              <w:rPr>
                <w:sz w:val="21"/>
                <w:szCs w:val="21"/>
                <w:color w:val="auto"/>
              </w:rPr>
            </w:pPr>
          </w:p>
        </w:tc>
      </w:tr>
      <w:tr>
        <w:trPr>
          <w:trHeight w:val="243"/>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 2022</w:t>
            </w:r>
          </w:p>
        </w:tc>
        <w:tc>
          <w:tcPr>
            <w:tcW w:w="42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60" w:type="dxa"/>
            <w:vAlign w:val="bottom"/>
            <w:shd w:val="clear" w:color="auto" w:fill="CFF0FC"/>
          </w:tcPr>
          <w:p>
            <w:pPr>
              <w:spacing w:after="0"/>
              <w:rPr>
                <w:sz w:val="21"/>
                <w:szCs w:val="21"/>
                <w:color w:val="auto"/>
              </w:rPr>
            </w:pPr>
          </w:p>
        </w:tc>
      </w:t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2022</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60" w:type="dxa"/>
            <w:vAlign w:val="bottom"/>
          </w:tcPr>
          <w:p>
            <w:pPr>
              <w:spacing w:after="0"/>
              <w:rPr>
                <w:sz w:val="20"/>
                <w:szCs w:val="20"/>
                <w:color w:val="auto"/>
              </w:rPr>
            </w:pPr>
          </w:p>
        </w:tc>
      </w:tr>
      <w:tr>
        <w:trPr>
          <w:trHeight w:val="281"/>
        </w:trPr>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FF0FC"/>
            </w:tcBorders>
            <w:shd w:val="clear" w:color="auto" w:fill="CFF0FC"/>
          </w:tcPr>
          <w:p>
            <w:pPr>
              <w:spacing w:after="0"/>
              <w:rPr>
                <w:sz w:val="24"/>
                <w:szCs w:val="24"/>
                <w:color w:val="auto"/>
              </w:rPr>
            </w:pP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342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342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includes a comparison of our results of operations, financial condition, and liquidity and capital resources for fiscal years 2022, 2021 and 2020. This discussion is provided as a supplement to, and should be read in conjunction with, our consolidated financial statements and accompanying Notes to the Financial Statements found in Part II, Item 8 of this Form 10-K. It contains forward-looking statements that involve risks and uncertainties and our actual results may differ materially from those discussed. Factors that could cause or contribute to these differences include, but are not limited to, those identified below and those discussed in “Risk Factors” under Part I, Item 1A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over 3,000 customers as of December 31, 2022. We generally define a customer as a company that maintains one or more active paid subscriptions to our platform.</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w:t>
      </w:r>
    </w:p>
    <w:p>
      <w:pPr>
        <w:spacing w:after="0" w:line="75"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50"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January 12, 2023, we announced a restructuring plan intended to reduce operating costs, improve operating margins, and continue advancing the Company’s ongoing commitment to profitable growth. We estimate that in the first quarter of 2023 we will incur pre-tax cash restructuring and related charges of approximately $2.0 million to $2.5 million, consisting primarily of severance payments, employee benefits, and related cash expenses, as well as an immaterial non-cash stock-based compensation charge related to the vesting of share-based awards for employees who are terminated. We expect these actions will be substantially complete by the end of the first quarter of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As a corporation with a global footprint, we are subject to risks and exposures caused by significant events and their macroeconomic impacts, including, but not limited to, the COVID-19 pandemic, the Russia-Ukraine war, global geopolitical tension and more recently, rising inflation and interest rates, volatility in the capital markets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current and prospective customers and their business spendings are impacted by worsening macroeconomic conditions to varying degrees and as a result, in some cases we are observing deal cycles lengthen for new and existing customers, in part as a result of more stringent approval processes, and a significant number of deferred purchasing decisions, which have been most pronounced in the life science and provider markets, and which we expect will impact our growth unless macroeconomic conditions improve. We are continuing to evaluate these and other past and potential future direct and indirect impacts on our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Enterprise Customers represent the majority of our ARR and are a key focus of our go-to-market programs. As of December 31, 2022, 2021, and 2020, we had over 3,000, 2,800, and 2,600 customers, respectively. We generally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 Despite our ability to expand our customer base in 2022 notwithstanding macroeconomic challenges, similar or worsening macroeconomic challenges may negatively impact expansion in the future.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Relationships with Existing Customers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believe there is a significant opportunity to generate additional revenue from our existing customer base, which we expanded to over 3,000 customers as of December 31, 2022.</w:t>
      </w:r>
    </w:p>
    <w:p>
      <w:pPr>
        <w:spacing w:after="0" w:line="5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customers have historically increased their spending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platform currently offers 18 intelligence modules. Our success in expanding usage of our platform with our existing customers is demonstrated by our NDR (see “Key Metrics”). For the year ended December 31, 2022, our NDR for customers generating more than $100,000 in ARR (“Enterprise Customers”) was 110%. As of December 31, 2022, we had 538 Enterprise Customers, which represented approximately 61% of our ARR. Our NDR for all customers over $17,500 ARR was 103%. For the year ended December 31, 2021, our NDR for Enterprise Customers was 120% and our NDR for all customers over $17,500 ARR was 111%. For the year ended December 31, 2020, our NDR for Enterprise Customers was 124% and our NDR for all customers over $17,500 ARR was 108%.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Innovate and Expand Our Platform</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growth of our business is driven in part by our ability to apply our deep healthcare domain expertise to innovate and expand our platform. We have continually created new products since our founding in 2011 and have launched 18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view Adjusted Gross Profit, Adjusted Gross Margin, Adjusted EBITDA, and Adjusted EBITDA Margin as operating performance measures. As such, we believe the most directly comparable GAAP financial measure to Adjusted Gross Profit and Adjusted Gross Margin is GAAP Gross Profit, and the most directly comparable GAAP financial measure to Adjusted EBITDA and Adjusted EBITDA Margin is GAAP net loss.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21"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We define Adjusted Gross Profit as revenue less cost of revenue, excluding acquisition-related depreciation and amortization, and stock-based compensation costs. Adjusted Gross Profit differs from Gross Profit, in that Gross Profit includes the impact of acquisition-related depreciation and amortization expense and stock-based compensation. We exclude acquisition-related depreciation and amortization expense as they have no direct correlation to the cost of operating our business on an ongoing basis. Adjusted Gross Margin is defined as Adjusted Gross Profit as a percentage of revenue. These are key metrics used by management and our board of directors to assess our operations.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Gross Profit to Adjusted Gross Profit and Adjusted Gross Margin for the periods presented:</w:t>
      </w:r>
    </w:p>
    <w:p>
      <w:pPr>
        <w:spacing w:after="0" w:line="124"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8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Reported gross profit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180,028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125,465</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87,849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Amortization of intangible assets resulting from acquisition-</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380" w:type="dxa"/>
            <w:vAlign w:val="bottom"/>
          </w:tcPr>
          <w:p>
            <w:pPr>
              <w:ind w:left="140"/>
              <w:spacing w:after="0" w:line="267" w:lineRule="exact"/>
              <w:rPr>
                <w:sz w:val="20"/>
                <w:szCs w:val="20"/>
                <w:color w:val="auto"/>
              </w:rPr>
            </w:pPr>
            <w:r>
              <w:rPr>
                <w:rFonts w:ascii="Times New Roman" w:cs="Times New Roman" w:eastAsia="Times New Roman" w:hAnsi="Times New Roman"/>
                <w:sz w:val="18"/>
                <w:szCs w:val="18"/>
                <w:color w:val="auto"/>
              </w:rPr>
              <w:t xml:space="preserve">related purchase accounting adjustments </w:t>
            </w:r>
            <w:r>
              <w:rPr>
                <w:rFonts w:ascii="Times New Roman" w:cs="Times New Roman" w:eastAsia="Times New Roman" w:hAnsi="Times New Roman"/>
                <w:sz w:val="24"/>
                <w:szCs w:val="24"/>
                <w:color w:val="auto"/>
                <w:vertAlign w:val="superscript"/>
              </w:rPr>
              <w:t>(a)</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19,169</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costs</w:t>
            </w: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196,685</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145,962</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166,154</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320" w:type="dxa"/>
            <w:vAlign w:val="bottom"/>
          </w:tcPr>
          <w:p>
            <w:pPr>
              <w:spacing w:after="0"/>
              <w:rPr>
                <w:sz w:val="20"/>
                <w:szCs w:val="20"/>
                <w:color w:val="auto"/>
              </w:rPr>
            </w:pPr>
          </w:p>
        </w:tc>
        <w:tc>
          <w:tcPr>
            <w:tcW w:w="1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88 %</w:t>
            </w:r>
          </w:p>
        </w:tc>
        <w:tc>
          <w:tcPr>
            <w:tcW w:w="3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88 %</w:t>
            </w:r>
          </w:p>
        </w:tc>
        <w:tc>
          <w:tcPr>
            <w:tcW w:w="3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-496570</wp:posOffset>
            </wp:positionV>
            <wp:extent cx="6858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-496570</wp:posOffset>
            </wp:positionV>
            <wp:extent cx="5969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-496570</wp:posOffset>
            </wp:positionV>
            <wp:extent cx="60325"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162560"/>
                    </a:xfrm>
                    <a:prstGeom prst="rect">
                      <a:avLst/>
                    </a:prstGeom>
                    <a:noFill/>
                  </pic:spPr>
                </pic:pic>
              </a:graphicData>
            </a:graphic>
          </wp:anchor>
        </w:drawing>
      </w:r>
    </w:p>
    <w:p>
      <w:pPr>
        <w:spacing w:after="0" w:line="70" w:lineRule="exact"/>
        <w:rPr>
          <w:sz w:val="20"/>
          <w:szCs w:val="20"/>
          <w:color w:val="auto"/>
        </w:rPr>
      </w:pPr>
    </w:p>
    <w:p>
      <w:pPr>
        <w:ind w:left="1260" w:right="760" w:hanging="368"/>
        <w:spacing w:after="0" w:line="282"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resulting from purchase accounting adjustments represents non-cash amortization of acquired intangibles, primarily resulting from the Advent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as a measure of our operating performance. EBITDA is defined as earnings before (i) debt-related costs, including interest expense and loss from extinguishment of debt, (ii) interest income, (iii) provision for taxes, and (iv) depreciation and amortization. Management further adjusts EBITDA in its presentation of Adjusted EBITDA to exclude (i) other (income) expense, (ii) equity-based compensation, (iii) acquisition, integration and restructuring expenses and (iv) other non-recurring and one-time expenses.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to Adjusted EBITDA for the periods presented:</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(61,257</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(17,185 )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320" w:type="dxa"/>
            <w:vAlign w:val="bottom"/>
          </w:tcPr>
          <w:p>
            <w:pPr>
              <w:spacing w:after="0"/>
              <w:rPr>
                <w:sz w:val="20"/>
                <w:szCs w:val="20"/>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3"/>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56,904</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59,947</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59,580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5440" w:type="dxa"/>
            <w:vAlign w:val="bottom"/>
            <w:shd w:val="clear" w:color="auto" w:fill="CFF0FC"/>
          </w:tcPr>
          <w:p>
            <w:pPr>
              <w:spacing w:after="0" w:line="245"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4"/>
                <w:szCs w:val="24"/>
                <w:color w:val="auto"/>
                <w:vertAlign w:val="superscript"/>
              </w:rPr>
              <w:t>(a)</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(10,236 )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(143 )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Equity-based compensation </w:t>
            </w:r>
            <w:r>
              <w:rPr>
                <w:rFonts w:ascii="Times New Roman" w:cs="Times New Roman" w:eastAsia="Times New Roman" w:hAnsi="Times New Roman"/>
                <w:sz w:val="24"/>
                <w:szCs w:val="24"/>
                <w:color w:val="auto"/>
                <w:vertAlign w:val="superscript"/>
              </w:rPr>
              <w:t>(b)</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4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Transaction, integration and restructuring expenses </w:t>
            </w:r>
            <w:r>
              <w:rPr>
                <w:rFonts w:ascii="Times New Roman" w:cs="Times New Roman" w:eastAsia="Times New Roman" w:hAnsi="Times New Roman"/>
                <w:sz w:val="24"/>
                <w:szCs w:val="24"/>
                <w:color w:val="auto"/>
                <w:vertAlign w:val="superscript"/>
              </w:rPr>
              <w:t>(c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Other non-recurring items </w:t>
            </w:r>
            <w:r>
              <w:rPr>
                <w:rFonts w:ascii="Times New Roman" w:cs="Times New Roman" w:eastAsia="Times New Roman" w:hAnsi="Times New Roman"/>
                <w:sz w:val="24"/>
                <w:szCs w:val="24"/>
                <w:color w:val="auto"/>
                <w:vertAlign w:val="superscript"/>
              </w:rPr>
              <w:t>(d)</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63,746</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55,990</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8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166,154</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3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32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5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-1276985</wp:posOffset>
            </wp:positionV>
            <wp:extent cx="6858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5392420</wp:posOffset>
            </wp:positionH>
            <wp:positionV relativeFrom="paragraph">
              <wp:posOffset>-1276985</wp:posOffset>
            </wp:positionV>
            <wp:extent cx="60325"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-1276985</wp:posOffset>
            </wp:positionV>
            <wp:extent cx="6032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-179070</wp:posOffset>
            </wp:positionV>
            <wp:extent cx="641223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70" w:lineRule="exact"/>
        <w:rPr>
          <w:sz w:val="20"/>
          <w:szCs w:val="20"/>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left="740" w:hanging="368"/>
        <w:spacing w:after="0" w:line="250"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jc w:val="both"/>
        <w:ind w:left="740" w:right="480" w:hanging="368"/>
        <w:spacing w:after="0" w:line="250"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including a go-to market integration project conducted in 2022. Restructuring expenses relate to impairment and restructuring charges related to office relocations.</w:t>
      </w:r>
    </w:p>
    <w:p>
      <w:pPr>
        <w:spacing w:after="0" w:line="1" w:lineRule="exact"/>
        <w:rPr>
          <w:rFonts w:ascii="Times New Roman" w:cs="Times New Roman" w:eastAsia="Times New Roman" w:hAnsi="Times New Roman"/>
          <w:sz w:val="18"/>
          <w:szCs w:val="18"/>
          <w:color w:val="auto"/>
        </w:rPr>
      </w:pPr>
    </w:p>
    <w:p>
      <w:pPr>
        <w:jc w:val="both"/>
        <w:ind w:left="740" w:hanging="368"/>
        <w:spacing w:after="0" w:line="255"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represent expenses that are typically by nature one-time, non-operational and unrelated to our core operations. One-time expenses are comprised primarily of professional fees related to financing, capital structure changes and other non-recurring set-up costs related to public company operations for the current period, and IPO readiness costs for the prior periods.</w:t>
      </w:r>
    </w:p>
    <w:p>
      <w:pPr>
        <w:spacing w:after="0" w:line="2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840" w:top="553"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performance, identify financial trends, formulate business plans, and make strategic operational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Dollar Retention Rate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Unfavorable macroeconomic challenges are elongating deal cycles as customers implement more stringent approval processes or delay spending decisions, which impacts revenue from our existing customers, including upsells, and as a result, we expect our NDR growth rates for 2023 to be reduced unless macroeconomic conditions improve.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Remaining Performance Obligations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cRPO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Due to these factors, it is important to review cRPO in conjunction with revenue and other financial metrics.</w:t>
      </w:r>
    </w:p>
    <w:p>
      <w:pPr>
        <w:spacing w:after="0" w:line="7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cRPO will continue to be impacted by macroenvironment challenges, which have resulted in elongating deal cycles as customers implement more stringent approval processes or push out final decisions to later periods. We expect this trend to reduce our revenue growth rate in 2023 if the macroenvironment remains challenged.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remaining performance obligations, including cRPO as of December 31, 2022 and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183,527</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155,134</w:t>
            </w: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95,354</w:t>
            </w:r>
          </w:p>
        </w:tc>
        <w:tc>
          <w:tcPr>
            <w:tcW w:w="100" w:type="dxa"/>
            <w:vAlign w:val="bottom"/>
          </w:tcPr>
          <w:p>
            <w:pPr>
              <w:spacing w:after="0"/>
              <w:rPr>
                <w:sz w:val="20"/>
                <w:szCs w:val="20"/>
                <w:color w:val="auto"/>
              </w:rPr>
            </w:pPr>
          </w:p>
        </w:tc>
      </w:tr>
      <w:tr>
        <w:trPr>
          <w:trHeight w:val="281"/>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276,991</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Acquisitions and Investments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seek to enhance our platform, data and business through internal development and through acquisitions of and investments in businesses that broaden and strengthen our platform. In February 2022, we completed our acquisition of Analytical Wizards Inc., a company that specializes in automating complex analytic models using tools that expedite efficient big data mining through A.I. and M.L. power to uncover deep insights. This acquisition further strengthened our data platform and our business. In October 2020, we acquired Monocl, a cloud-based platform with millions of expert profiles. In December 2019, we acquired Healthcare Sales Enablement, Inc.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 world data and intelligence for the healthcare supply chain. These acquisitions and investments have strengthened our data platform and our business. Acquisitions can result in transaction costs, amortization expense and other adjustments as purchase accounting requires that all assets acquired and liabilities assumed be recorded at fair value on the acquisition date. See Note 3 in our consolidated financial statements included in Part II, Item 8 of this Form 10-K.</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we derived approximately 97%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Because of the macroenvironment challenges described above, we expect a reduction in our revenue growth rate for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Cost of Revenue</w:t>
      </w:r>
      <w:r>
        <w:rPr>
          <w:rFonts w:ascii="Times New Roman" w:cs="Times New Roman" w:eastAsia="Times New Roman" w:hAnsi="Times New Roman"/>
          <w:sz w:val="17"/>
          <w:szCs w:val="17"/>
          <w:color w:val="auto"/>
        </w:rPr>
        <w:t>. Cost of revenue, excluding amortization of acquired technology and data, consists of direct expenses related to the support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60" w:lineRule="exact"/>
        <w:rPr>
          <w:sz w:val="20"/>
          <w:szCs w:val="20"/>
          <w:color w:val="auto"/>
        </w:rPr>
      </w:pPr>
    </w:p>
    <w:p>
      <w:pPr>
        <w:ind w:right="6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Amortization</w:t>
      </w:r>
      <w:r>
        <w:rPr>
          <w:rFonts w:ascii="Times New Roman" w:cs="Times New Roman" w:eastAsia="Times New Roman" w:hAnsi="Times New Roman"/>
          <w:sz w:val="18"/>
          <w:szCs w:val="18"/>
          <w:color w:val="auto"/>
        </w:rPr>
        <w:t>. Includes amortization expense for technology and data acquired in business combinations and asset purchase agreements.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that amortization will increase only if we make additional acquisitions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a restructuring plan in the first quarter of 2023. Rising inflation, and in particular increases to the cost of labor due to cost-of-living increases, have negatively impacted our operating expenses, and we expect this to continue. However, inflation has not materially affected our business to date.</w:t>
      </w:r>
    </w:p>
    <w:p>
      <w:pPr>
        <w:spacing w:after="0" w:line="7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primarily consist of personnel costs such as salaries, bonuses, sales commissions,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sales and marketing teams, as well as non-personnel costs including overhead costs, technology and marketing costs. While we have slowed hiring in response to macroeconomic conditions, and expect to maintain slower levels until macroeconomic conditions improve, we continue to hire additional sales and marketing personnel, enhance our digital marketing infrastructure and invest in marketing programs targeting our major vertical markets.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primarily consist of personnel costs such as salaries, bonuses, stock-based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module improvements for our customers, enhance our software development team and invest in automation and A.I. to drive higher quality data and deeper insights.</w:t>
      </w: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56" w:name="page57"/>
    <w:bookmarkEnd w:id="56"/>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primarily consist of personnel costs such as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executive, finance, legal, human resources, IT and operations, and administrative teams, as well as non-personnel costs including overhead costs, professional fees and other corporate expenses. General and administrative costs have increased relative to prior periods due to the incremental costs associated with operating as a public company, including corporate insurance costs, incremental accounting and legal expenses, and additional resources associated with controls, reporting, and disclosure. We have slowed hiring in response to macroeconomic conditions and do not expect to increase it until macroeconomic conditions improve.</w:t>
      </w:r>
    </w:p>
    <w:p>
      <w:pPr>
        <w:spacing w:after="0" w:line="74" w:lineRule="exact"/>
        <w:rPr>
          <w:sz w:val="20"/>
          <w:szCs w:val="20"/>
          <w:color w:val="auto"/>
        </w:rPr>
      </w:pPr>
    </w:p>
    <w:p>
      <w:pPr>
        <w:ind w:right="4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expenses consist primarily of amortization of intangible assets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business combinations, as well as depreciation of property and equipment. We anticipate depreciation of property and equipment as a percentage of revenue to moderately decrease, although amortization will increase if we make additional acquisitions in the future.</w:t>
      </w:r>
    </w:p>
    <w:p>
      <w:pPr>
        <w:spacing w:after="0" w:line="65"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Transaction, integration and restructuring expenses</w:t>
      </w:r>
      <w:r>
        <w:rPr>
          <w:rFonts w:ascii="Times New Roman" w:cs="Times New Roman" w:eastAsia="Times New Roman" w:hAnsi="Times New Roman"/>
          <w:sz w:val="18"/>
          <w:szCs w:val="18"/>
          <w:color w:val="auto"/>
        </w:rPr>
        <w:t>. Transaction, integration and restructuring expenses are costs directly associated with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and integration activities we have undertaken, primarily accounting and legal due diligence, and consulting and advisory fees as well as expenses related to our office relocations.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net consists primarily of interest expense, net and other income (expense), net.</w:t>
      </w:r>
    </w:p>
    <w:p>
      <w:pPr>
        <w:spacing w:after="0" w:line="115"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consists primarily of interest expense on our debt obligations and the amortization of debt discounts and debt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interest income. We expect, as a result of the recent rise in interest rates, that interest expense will increase in 2023 over prior periods for the unhedged portion of our outstanding debt while interest rate swap agreements will keep the hedged portion of outstanding debt fixed.</w:t>
      </w:r>
    </w:p>
    <w:p>
      <w:pPr>
        <w:spacing w:after="0" w:line="6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consists primarily of the revaluation of tax receivable agreement liabilities and realized and unrealized gains,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extinguishment of debt resulting from the write-off of unamortized deferred financing costs associated with loan repayments in conjunction with the September 2021 refinancing and losses 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discussion of our consolidated results of operations includes year-over-year comparisons of 2022 results compared to those in 2021. For a discussion of the 2021 results compared to those in 2020, see the discussion in Item 7, Management’s Discussion and Analysis of Financial Condition and Results of Operations in our 2021 Form 10-K, which is incorporated by reference herein.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operations for the periods presented:</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166,154</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40,689</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221,291</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150,446</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0"/>
                <w:szCs w:val="20"/>
                <w:color w:val="auto"/>
              </w:rPr>
            </w:pPr>
          </w:p>
        </w:tc>
        <w:tc>
          <w:tcPr>
            <w:tcW w:w="11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(41,263 )</w:t>
            </w:r>
          </w:p>
        </w:tc>
        <w:tc>
          <w:tcPr>
            <w:tcW w:w="28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(24,981 )</w:t>
            </w: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(14,445 )</w:t>
            </w:r>
          </w:p>
        </w:tc>
        <w:tc>
          <w:tcPr>
            <w:tcW w:w="0" w:type="dxa"/>
            <w:vAlign w:val="bottom"/>
          </w:tcPr>
          <w:p>
            <w:pPr>
              <w:spacing w:after="0"/>
              <w:rPr>
                <w:sz w:val="1"/>
                <w:szCs w:val="1"/>
                <w:color w:val="auto"/>
              </w:rPr>
            </w:pPr>
          </w:p>
        </w:tc>
      </w:tr>
      <w:tr>
        <w:trPr>
          <w:trHeight w:val="247"/>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(35,601 )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(36,712 )</w:t>
            </w: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20"/>
                <w:szCs w:val="20"/>
                <w:color w:val="auto"/>
              </w:rPr>
            </w:pPr>
          </w:p>
        </w:tc>
        <w:tc>
          <w:tcPr>
            <w:tcW w:w="11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(39,440 )</w:t>
            </w:r>
          </w:p>
        </w:tc>
        <w:tc>
          <w:tcPr>
            <w:tcW w:w="28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(60,582 )</w:t>
            </w: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(51,157 )</w:t>
            </w:r>
          </w:p>
        </w:tc>
        <w:tc>
          <w:tcPr>
            <w:tcW w:w="0" w:type="dxa"/>
            <w:vAlign w:val="bottom"/>
          </w:tcPr>
          <w:p>
            <w:pPr>
              <w:spacing w:after="0"/>
              <w:rPr>
                <w:sz w:val="1"/>
                <w:szCs w:val="1"/>
                <w:color w:val="auto"/>
              </w:rPr>
            </w:pPr>
          </w:p>
        </w:tc>
      </w:tr>
      <w:tr>
        <w:trPr>
          <w:trHeight w:val="247"/>
        </w:trPr>
        <w:tc>
          <w:tcPr>
            <w:tcW w:w="5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(675 )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0"/>
                <w:szCs w:val="20"/>
                <w:color w:val="auto"/>
              </w:rPr>
            </w:pPr>
          </w:p>
        </w:tc>
        <w:tc>
          <w:tcPr>
            <w:tcW w:w="11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(22,255 )</w:t>
            </w:r>
          </w:p>
        </w:tc>
        <w:tc>
          <w:tcPr>
            <w:tcW w:w="28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(61,257 )</w:t>
            </w: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(51,157 )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90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8"/>
                <w:szCs w:val="18"/>
                <w:color w:val="auto"/>
              </w:rPr>
              <w:t>Less: Net loss attributable to Definitive OpCo prior to the Reorganization</w:t>
            </w:r>
          </w:p>
        </w:tc>
        <w:tc>
          <w:tcPr>
            <w:tcW w:w="28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(33,343 )</w:t>
            </w:r>
          </w:p>
        </w:tc>
        <w:tc>
          <w:tcPr>
            <w:tcW w:w="28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(51,157 )</w:t>
            </w:r>
          </w:p>
        </w:tc>
        <w:tc>
          <w:tcPr>
            <w:tcW w:w="0" w:type="dxa"/>
            <w:vAlign w:val="bottom"/>
          </w:tcPr>
          <w:p>
            <w:pPr>
              <w:spacing w:after="0"/>
              <w:rPr>
                <w:sz w:val="1"/>
                <w:szCs w:val="1"/>
                <w:color w:val="auto"/>
              </w:rPr>
            </w:pPr>
          </w:p>
        </w:tc>
      </w:tr>
      <w:tr>
        <w:trPr>
          <w:trHeight w:val="126"/>
        </w:trPr>
        <w:tc>
          <w:tcPr>
            <w:tcW w:w="590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28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80" w:type="dxa"/>
            <w:vAlign w:val="bottom"/>
          </w:tcPr>
          <w:p>
            <w:pPr>
              <w:spacing w:after="0"/>
              <w:rPr>
                <w:sz w:val="20"/>
                <w:szCs w:val="20"/>
                <w:color w:val="auto"/>
              </w:rPr>
            </w:pPr>
          </w:p>
        </w:tc>
        <w:tc>
          <w:tcPr>
            <w:tcW w:w="11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(16,218 )</w:t>
            </w:r>
          </w:p>
        </w:tc>
        <w:tc>
          <w:tcPr>
            <w:tcW w:w="28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(10,237 )</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90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-2691130</wp:posOffset>
            </wp:positionV>
            <wp:extent cx="6858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-2691130</wp:posOffset>
            </wp:positionV>
            <wp:extent cx="6032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-2691130</wp:posOffset>
            </wp:positionV>
            <wp:extent cx="6032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-1439545</wp:posOffset>
            </wp:positionV>
            <wp:extent cx="6858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-1439545</wp:posOffset>
            </wp:positionV>
            <wp:extent cx="6032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-1439545</wp:posOffset>
            </wp:positionV>
            <wp:extent cx="6032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-1122680</wp:posOffset>
            </wp:positionV>
            <wp:extent cx="6858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-1122680</wp:posOffset>
            </wp:positionV>
            <wp:extent cx="6032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-1122680</wp:posOffset>
            </wp:positionV>
            <wp:extent cx="6032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-805180</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-805180</wp:posOffset>
            </wp:positionV>
            <wp:extent cx="6032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-805180</wp:posOffset>
            </wp:positionV>
            <wp:extent cx="6032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2021</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$56.5 million, or 34%, for the year ended December 31, 2022 compared with the same period in the prior year, driven almost entirely by higher subscription revenue. This increase was primarily due to net expansion with existing customers, as well as organic additions of new customers, and the addition of new customers resulting from the acquisition of Analytical Wizards.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Cost of revenue increased $1.9 million, or 5%, for the year ended December 31, 2022 compared with the same period in the prior year, primarily due to increased data and hosting fees, increases in employee benefit and insurance costs and, to a lesser extent, incremental personnel costs resulting from the acquisition of Analytical Wizards, partially offset by lower amortization of acquired technology costs.</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58" w:name="page59"/>
    <w:bookmarkEnd w:id="58"/>
    <w:p>
      <w:pPr>
        <w:ind w:left="5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increased $70.8 million, or 47%, for the year ended December 31, 2022 compared with the same period in the prior year. The increase was primarily due to:</w:t>
      </w:r>
    </w:p>
    <w:p>
      <w:pPr>
        <w:spacing w:after="0" w:line="54" w:lineRule="exact"/>
        <w:rPr>
          <w:sz w:val="20"/>
          <w:szCs w:val="20"/>
          <w:color w:val="auto"/>
        </w:rPr>
      </w:pPr>
    </w:p>
    <w:p>
      <w:pPr>
        <w:jc w:val="both"/>
        <w:ind w:left="1020" w:right="3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of $33.2 million for the year ended December 31, 2022, primarily due to increased personnel costs, including employee benefits and insurance costs, resulting from additional hiring, as well as increases in stock-based compensation expense driven primarily by a full year's amortization of post-IPO equity grants;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product development expense of $16.3 million for the year ended December 31, 2022, primarily due to increased personnel costs, including employee benefits and insurance costs, resulting from additional hiring and the acquisition of Analytical Wizards, as well as increases in stock-based compensation expense driven primarily by a full year's amortization of post-IPO equity grants;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of $18.3 million for the year ended December 31, 2022, primarily due to increased personnel costs, including employee benefits and insurance costs, resulting from additional hiring, as well as increases in stock-based compensation expense, and additional accounting and legal expenses resulting from the transition to becoming a publicly-traded company. If the macroenvironment trends previously described continue, we may experience additional increases in bad debt expense in the future;</w:t>
      </w:r>
    </w:p>
    <w:p>
      <w:pPr>
        <w:spacing w:after="0" w:line="71"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transaction, integration and restructuring expenses of $1.6 million for the year ended December 31, 2022, due primarily to costs arising from the acquisition of Analytical Wizards, restructuring costs, and a go-to-market integration project conducted in the third quarter of 2022.</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Total other income, net was $1.8 million for the year ended December 31, 2022, driven primarily by other income of $10.2 million, including a TRA liability remeasurement gain of $9.4 million, partially offset by $8.4 million of interest expense. Total other expense, net was $35.6 million for the year ended December 31, 2021, driven primarily by $25.9 million of interest expense, net and a $9.9 million loss from the extinguishment of debt. Interest expense, net was lower in the year ended December 31, 2022 compared with the same period in the prior year due to lower interest rates and a lower outstanding debt balance resulting from the refinancing of the Company’s debt in September 2021.</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Benefit From (Provision For) Income Taxes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Benefit from income taxes for the year ended December 31, 2022 was $17.2 million, representing an effective tax rate of 43.6%, as compared to expense from income taxes of $0.7 million, representing an effective tax rate of (1.1)% for the year ended December 31, 2021. The 2022 increase in the effective tax rate was primarily driven by the impact of the change in the state effective tax rate on our substantial net deferred tax liability balance. The state effective tax rate decreased from 6.67% to 4.77% due to changes in state apportionment factors inclusive of changes in the mix of sales, property, and payroll by state, certain state tax rates changes, and principally certain state incentives. State tax incentives include benefits such as state R&amp;D credits and qualification for single sales factor rather than three-factor apportionment.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2022, we had $146.9 million of cash and cash equivalents, $184.9 million of short-term investments and $75.0 million available under our revolving credit facility. Our principal sources of liquidity are cash and cash equivalents and short-term investments on hand, primarily from our IPO and follow-on offering, as well as the cash flows we generate from operations. In addition, on October 7, 2022, we filed a registration statement on Form S-3 with the SEC using a “shelf” registration process. If and when we utilize the shelf registration, we will be able to, from time to time, offer and sell, either individually or in combination, in one or more offerings of the securities described in the shelf registration statement. Each time we offer securities under this shelf registration, we will provide a prospectus supplement that will contain more specific information about the terms of that offering. Our principal uses of liquidity have been primarily for investment in long-term growth of the business through capital expenditures and acquisitions, as well as debt services and distributions to members of Definitive OpCo.</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All of our business is conducted through Definitive OpCo and its consolidated subsidiaries and affiliates, and the financial results are included in the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9" w:name="page60"/>
    <w:bookmarkEnd w:id="59"/>
    <w:p>
      <w:pPr>
        <w:ind w:right="80"/>
        <w:spacing w:after="0" w:line="254" w:lineRule="auto"/>
        <w:rPr>
          <w:sz w:val="20"/>
          <w:szCs w:val="20"/>
          <w:color w:val="auto"/>
        </w:rPr>
      </w:pPr>
      <w:r>
        <w:rPr>
          <w:rFonts w:ascii="Times New Roman" w:cs="Times New Roman" w:eastAsia="Times New Roman" w:hAnsi="Times New Roman"/>
          <w:sz w:val="18"/>
          <w:szCs w:val="18"/>
          <w:color w:val="auto"/>
        </w:rPr>
        <w:t>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8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cash flow from operations, availability under the 2021 Credit Agreement and available cash and cash equivalents and short-term investments will be sufficient to meet our liquidity needs for at least the next twelve months.</w:t>
      </w:r>
    </w:p>
    <w:p>
      <w:pPr>
        <w:spacing w:after="0" w:line="5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However, our liquidity and our ability to meet our obligations and fund our capital requirements are dependent on our future financial performance, which is subject to general economic, financial and other factors that are beyond our control, such as rising inflation and potential recession, and our anticipated funding requirements could increase. See the “Risk Factors” section in this Annual Report. We anticipate that to the extent that we require additional liquidity, it will be funded through the incurrence of additional indebtedness, the issuance of additional equity, or a combination thereof. In the event we need to seek additional funding, rising interest rates, stock market volatility or other unfavorable macroeconomic conditions may also prevent us from obtaining additional financing on favorable terms or at all.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discussion of our cash flows includes a year-over-year comparison of 2022 cash flows to those in 2021. For a discussion of our 2021 cash flows compared to 2020 cash flows, see the discussion in Item 7, Management’s Discussion and Analysis of Financial Condition and Results of Operations in our 2021 Form 10-K, which is incorporated by reference herein.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35,579</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25,212</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(248,903 )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(46,731 )</w:t>
            </w: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(23,862 )</w:t>
            </w:r>
          </w:p>
        </w:tc>
        <w:tc>
          <w:tcPr>
            <w:tcW w:w="0" w:type="dxa"/>
            <w:vAlign w:val="bottom"/>
          </w:tcPr>
          <w:p>
            <w:pPr>
              <w:spacing w:after="0"/>
              <w:rPr>
                <w:sz w:val="1"/>
                <w:szCs w:val="1"/>
                <w:color w:val="auto"/>
              </w:rPr>
            </w:pPr>
          </w:p>
        </w:tc>
      </w:tr>
      <w:tr>
        <w:trPr>
          <w:trHeight w:val="239"/>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0"/>
                <w:szCs w:val="20"/>
                <w:color w:val="auto"/>
              </w:rPr>
            </w:pP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(26,696 )</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384,372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(excluding effect of exchange rate</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(240,020 )</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362,853</w:t>
            </w:r>
          </w:p>
        </w:tc>
        <w:tc>
          <w:tcPr>
            <w:tcW w:w="240" w:type="dxa"/>
            <w:vAlign w:val="bottom"/>
            <w:shd w:val="clear" w:color="auto" w:fill="CFF0FC"/>
          </w:tcPr>
          <w:p>
            <w:pPr>
              <w:spacing w:after="0"/>
              <w:rPr>
                <w:sz w:val="18"/>
                <w:szCs w:val="18"/>
                <w:color w:val="auto"/>
              </w:rPr>
            </w:pP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w:t>
            </w:r>
          </w:p>
        </w:tc>
        <w:tc>
          <w:tcPr>
            <w:tcW w:w="280" w:type="dxa"/>
            <w:vAlign w:val="bottom"/>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$35.6 million during the year ended December 31, 2022, primarily as a result of a net loss of $22.3 million and a $22.0 million net decrease in our operating assets and liabilities, offset by non-cash charges of $79.8 million. The non-cash charges were primarily comprised of amortization of intangible assets of $54.7 million, equity compensation costs of $36.4 million, and amortization of deferred contract costs of $8.8 million, partially offset by deferred income taxes of $17.3 million and a gain on remeasurement of the TRA of $9.4 million. The change in operating assets and liabilities was primarily the result of cash outflows resulting from an increase in deferred contract costs of $15.3 million, an increase in accounts receivable of $13.2 million, and payments of contingent consideration of $6.4 million. These factors were partially offset by an increase in deferred revenue of $12.7 million due to the timing of billings and cash received in advance of revenue recognition for subscription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2022 was $248.9 million, driven primarily by $338.0 million in purchases of short-term investments, $56.3 million paid to complete the AW acquisition (net of cash acquired), and $8.3 million of capital expenditures, partially offset by $153.7 million in maturities of short-term investments.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during the year ended December 31, 2022 was $26.7 million, primarily driven by $12.9 million in tax distribution payments to members, repayments of the 2021 Term Loan (as defined below) of $6.9 million, taxes paid related to the net share settlement of equity awards of $4.1 million, $1.7 million in payments of deferred equity offering issuance costs, and $1.1 million in payments of contingent consideration arising from the Monocl acquisition.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for additional information related to our debt obligations.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September 17, 2021, DH Holdings entered into the 2021 Credit Agreement, providing for (i) a $275.0 million term loan A facility (the “2021 Term Loan”) and (ii) a $75.0 million revolving credit facility (the “2021 Revolving Line of Credit” and together with the 2021 Term Loan, collectively, the “2021 Credit Facilities”). The 2021 Credit Facilities thereunder are guaranteed by all of DH Holdings' wholly owned domestic restricted subsidiaries and AIDH Buyer, the direct parent company of DH Holdings, in each case, subject to customary exceptions, and are secured by a lien on substantially all of the assets of DH Holdings and such guarantors, including a pledge of the equity of DH Holdings, in each case, subject to customary exceptions.</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2021 Term Loan is for $275.0 million and has a maturity date of September 17, 2026. The 2021 Term Loan was recorded net of $3.5 million in issuance costs. The issuance costs are amortized to interest expense over the term of the 2021 Term Loan using the effective interest method.</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$266.4 million outstanding on the 2021 Term Loan at December 31, 2022.</w:t>
      </w:r>
    </w:p>
    <w:p>
      <w:pPr>
        <w:spacing w:after="0" w:line="7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2021 Revolving Line of Credit is committed for $75.0 million and has a maturity date of September 17, 2026. There was no outstanding balance on the 2021 Revolving Line of Credit as of December 31, 2022 and 2021.</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31, 2022, the Company amended the 2021 Credit Agreement to replace the LIBO rate with Term SOFR plus an applicable rate.</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2021 Credit Agreement includes certain customary financial covenants, and the Company was compliant with its financial covenants under the 2021 Credit Agreement as of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Financing obligations generally include repayment of principal amounts of our term loan (as detailed above in “Debt Obligations”), lease payments and purchase obligations. The leases relate to office facilities and expire at various times through 2029. The lease obligations include $2.0 million to be paid in 2023 and $11.0 million thereafter. Estimated purchase commitments, which currently run through 2025, are $11.0 million in 2023 and $16.7 million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the Company entered into the TRA with certain of our pre- IPO holders of LLC Units and the former shareholders of certain Blocker Companies. The TRA provides for the payment by Definitive Healthcare Corp. of 85.0%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61" w:name="page62"/>
    <w:bookmarkEnd w:id="61"/>
    <w:p>
      <w:pPr>
        <w:spacing w:after="0" w:line="253" w:lineRule="auto"/>
        <w:rPr>
          <w:sz w:val="20"/>
          <w:szCs w:val="20"/>
          <w:color w:val="auto"/>
        </w:rPr>
      </w:pPr>
      <w:r>
        <w:rPr>
          <w:rFonts w:ascii="Times New Roman" w:cs="Times New Roman" w:eastAsia="Times New Roman" w:hAnsi="Times New Roman"/>
          <w:sz w:val="18"/>
          <w:szCs w:val="18"/>
          <w:color w:val="auto"/>
        </w:rPr>
        <w:t>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19 in our consolidated financial statements included in Part II, Item 8 of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Capital expenditures increased by $1.6 million to $8.3 million for the year ended December 31, 2022 compared to $6.7 million for the same period in the prior year, primarily driven by the purchases of historical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While rising inflation and increases to the cost of and competition for labor have negatively impacted and continue to negatively impact our operating expenses, we do not believe inflation has had a material effect on our business, financial condition, or results of operations.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and notes have been prepared in accordance with GAAP. Our critical accounting policies are those that are reflective of uncertainties resulting from significant, complex and subjective judgements, though the accounting treatment for the majority of our revenue, expenses, assets, and liabilities is specifically dictated by GAAP, with no need for the application of judgement.</w:t>
      </w:r>
    </w:p>
    <w:p>
      <w:pPr>
        <w:spacing w:after="0" w:line="68"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In certain circumstances, the preparation of consolidated financial statements in conformity with GAAP requires us to make certain estimates and assumptions that affect reported amounts. The estimates and assumptions are based on historical experience, current conditions, and various other factors that we believe to be reasonable under the circumstances. Our actual results may differ from those estimates, though we believe such differences are not likely to be material. We review these estimates on a periodic basis to ensure reasonableness and adequacy.</w:t>
      </w:r>
    </w:p>
    <w:p>
      <w:pPr>
        <w:spacing w:after="0" w:line="7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discussed more fully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following topics pertain to accounting policies we believe are most critical to the preparation of our financial statements and that require our more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66" w:lineRule="exact"/>
        <w:rPr>
          <w:sz w:val="20"/>
          <w:szCs w:val="20"/>
          <w:color w:val="auto"/>
        </w:rPr>
      </w:pPr>
    </w:p>
    <w:p>
      <w:pPr>
        <w:jc w:val="both"/>
        <w:ind w:right="340" w:firstLine="509"/>
        <w:spacing w:after="0" w:line="267" w:lineRule="auto"/>
        <w:rPr>
          <w:sz w:val="20"/>
          <w:szCs w:val="20"/>
          <w:color w:val="auto"/>
        </w:rPr>
      </w:pPr>
      <w:r>
        <w:rPr>
          <w:rFonts w:ascii="Times New Roman" w:cs="Times New Roman" w:eastAsia="Times New Roman" w:hAnsi="Times New Roman"/>
          <w:sz w:val="18"/>
          <w:szCs w:val="18"/>
          <w:color w:val="auto"/>
        </w:rPr>
        <w:t>We recognize revenue in accordance with ASC 606–</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68"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5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account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w:t>
      </w:r>
    </w:p>
    <w:p>
      <w:pPr>
        <w:spacing w:after="0" w:line="7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historically has not experienced any significant incidents that affected the defined levels of reliability and performance as required by the contracts.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in accordance with ASC 805—Business Combinations. Each acquired company’s results of operations are included in our consolidated financial 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8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made an accounting policy election to measure the credit risk of its derivative financial instruments that are subject to master netting agreements on a net basis by counterparty portfolio.</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fourth quarter of 2022, the Company experienced a decline in its stock price resulting in the total market value of its shares of stock outstanding, or its market capitalization, being less than the carrying value of its one reporting unit. Therefore, as of October 1, 2022, the Company elected to bypass the qualitative assessment and determined it appropriate to perform quantitative assessments of the Company’s one reporting unit at both October 1, 2022 and December 31, 2022. The Company elected to conduct its quantitative assessments using a combination of an income and a market approach. The income approach is based on a projected discounted cash flow model and the market approach utilizes the Company's market capitalization plus an appropriate control premium. Market capitalization is determined by multiplying the number of shares of Class A Common Stock outstanding by the market price of its Class A Common Stock. The control premium is determined by utilizing data from publicly available premium studies for public company transactions. Based on the Company’s quantitative assessments performed as of October 1, 2022 and December 31, 2022, the fair value of the reporting unit exceeded its related carrying value. Therefore, the Company concluded there was no impairment of goodwill during the fourth quarter of 2022.</w:t>
      </w:r>
    </w:p>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the fair value of our one reporting unit was less than 10% higher than its carrying value. With a margin between fair value and carrying value in this range, the Company’s reporting unit is at risk for future goodwill impairments if it experiences a continued decline in its market capitalization or worsening macroeconomic conditions, which could represent potential indicators of impairment requiring further impairment analysis in 2023. The Company continues to monitor for potential impairment should impairment indicators arise.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Definitive OpCo is taxed as a partnership. For federal and state income tax purposes, income, losses, and other tax attributes not generated by the HSE, Monocl, or AW subsidiaries generally pass through to the Definitive OpCo members’ individual income tax returns. Additionally, Definitive OpCo may be subject to certain taxes on behalf of its members in certain states.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HSE, AW, and the Monocl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Deferred taxes for the HSE, AW, and Monocl subsidiaries are determined using enacted federal, state, or foreign income tax rates in effect in the year in which the differences are expected to reverse.</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Tax Receivable Agreement, which we expect to be significant. We anticipate that we will account for the income tax effects and corresponding Tax Receivable Agreement’s effects resulting from future redemptions or exchanges of LLC Units by recognizing an increase in Definitive Healthcare Corp.'s deferred tax assets, based on enacted tax rates at the date of the purchase or exchange.</w:t>
      </w:r>
    </w:p>
    <w:p>
      <w:pPr>
        <w:spacing w:after="0" w:line="7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Further, we account for amounts payable under the Tax Receivable Agreement in accordance with ASC 450—</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income or loss. Similarly, the effect of subsequent changes in the enacted tax rates will be included in net income or loss.</w:t>
      </w:r>
    </w:p>
    <w:p>
      <w:pPr>
        <w:spacing w:after="0" w:line="74"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In assessing the realizability of deferred tax assets of Definitive OpCo and its subsidiaries, management considers the weight of available evidence and whether it is more likely than not that some or all of the deferred tax assets will be realized; when necessary, a valuation allowance is established.</w:t>
      </w:r>
    </w:p>
    <w:p>
      <w:pPr>
        <w:spacing w:after="0" w:line="3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Under the provisions of ASC 740—</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2022, 2021 and 2020, we did not have any uncertain tax positions.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summary of recent accounting pronouncements applicable to our consolidated financial statements, refer to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in the Notes to our consolidated financial statements included in Part II, Item 8 of this Form 10-K.</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Our cash, cash equivalents and short-term investments primarily consist of cash on hand and highly liquid investments in money market funds, U.S. government securities and commercial paper. As of December 31, 2022 we had cash and cash equivalents of $146.9 million and short-term investments of $184.9 million.</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2021 Term Loan, which bears a variable interest rate based on the Term SOFR Rate plus an applicable margin. As of December 31, 2022, the total principal balance outstanding was $266.4 million.</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2021 Term Loan, which bears a variable interest rate based on the SOFR Rate or a Base Rate plus an applicable margin. In order to reduce the interest rate risk on our debt, we have entered into an interest rate swap agreement on a portion of our borrowings. As of December 31, 2022, the total principal balance outstanding was $266.4 million. Excluding the effect of the interest rate swap agreement, a hypothetical 1.0% increase or decrease in the interest rate associated with borrowings under the 2021 Credit Agreement would result in an approximately $2.7 million impact to interest expense on an annual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short-term investments, and trade and other receivables. We hold cash with reputable financial institutions that often exceed federally insured limits. We manage our credit risk by concentrating our cash deposits and short-term investments with high-quality financial institutions and periodically evaluating the credit quality of those institutions. The carrying value of cash and short-term investments approximates fair value.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reports of our independent registered public accounting firm, appear beginning on page F-1 of this Annual Report for the year ended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Annual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December 31, 2022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Controls Over Financial Reporting</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financing reporting and the preparation of financial statements for external purposes in accordance with U.S generally accepted accounting principles. 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2022, based on the criteria set forth in Internal Control-Integrated Framework issued by the Committee of Sponsoring Organizations of the Treadway Commission (2013 framework). Based on this evaluation, management concluded that our internal control over financial reporting was effective as of December 31, 2022.</w:t>
      </w:r>
    </w:p>
    <w:p>
      <w:pPr>
        <w:spacing w:after="0" w:line="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audited our consolidated financial statements included in this Annual Report and issued its report on the effectiveness of our internal control over financial reporting, which is included herein.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ind w:right="50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Definitive Healthcare Corp.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Definitive Healthcare Corp.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(PCAOB) the consolidated financial statements as of and for the year ended December 31, 2022, of the Company and our report dated February 27, 2023, expressed an unqualified opinion on those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During the quarter ended December 31, 2022,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0" w:name="page71"/>
    <w:bookmarkEnd w:id="7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2022.</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employees of ours, with regard to their activities related to our business. Our code of business conduct and ethics is available in the Investor Relations section of our website at https://ir.definitivehc.com. We intend to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2022.</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00" w:hanging="49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the Index to Consolidated Financial Statements in the Financial Statements Section beginning on page F-1 of this Annual Report on Form 10-K.</w:t>
      </w:r>
    </w:p>
    <w:p>
      <w:pPr>
        <w:spacing w:after="0" w:line="117" w:lineRule="exact"/>
        <w:rPr>
          <w:sz w:val="20"/>
          <w:szCs w:val="20"/>
          <w:color w:val="auto"/>
        </w:rPr>
      </w:pPr>
    </w:p>
    <w:p>
      <w:pPr>
        <w:ind w:left="1000" w:hanging="49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left="500" w:right="16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not applicable, or the required information is included in the financial statements or notes to the financial statements.</w:t>
      </w:r>
    </w:p>
    <w:p>
      <w:pPr>
        <w:spacing w:after="0" w:line="54" w:lineRule="exact"/>
        <w:rPr>
          <w:sz w:val="20"/>
          <w:szCs w:val="20"/>
          <w:color w:val="auto"/>
        </w:rPr>
      </w:pPr>
    </w:p>
    <w:p>
      <w:pPr>
        <w:ind w:left="1000" w:hanging="49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40" w:type="dxa"/>
            <w:vAlign w:val="bottom"/>
            <w:gridSpan w:val="28"/>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60" w:type="dxa"/>
            <w:vAlign w:val="bottom"/>
            <w:gridSpan w:val="2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942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Amended and Restated Certificate of Incorporation of Definitive Healthcare Corp. (incorporated by reference to Exhibit 3.1 to the</w:t>
              </w:r>
            </w:hyperlink>
          </w:p>
        </w:tc>
        <w:tc>
          <w:tcPr>
            <w:tcW w:w="44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Company’s Quarterly Report on Form 10-Q (File No. 001-40815) filed with the SEC on November 8, 2021).</w:t>
              </w:r>
            </w:hyperlink>
          </w:p>
        </w:tc>
        <w:tc>
          <w:tcPr>
            <w:tcW w:w="20" w:type="dxa"/>
            <w:vAlign w:val="bottom"/>
            <w:tcBorders>
              <w:bottom w:val="single" w:sz="8" w:color="0000EE"/>
            </w:tcBorders>
          </w:tcPr>
          <w:p>
            <w:pPr>
              <w:spacing w:after="0"/>
              <w:rPr>
                <w:sz w:val="17"/>
                <w:szCs w:val="17"/>
                <w:color w:val="auto"/>
              </w:rPr>
            </w:pPr>
          </w:p>
        </w:tc>
        <w:tc>
          <w:tcPr>
            <w:tcW w:w="20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95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Amended and Restated Bylaws of Definitive Healthcare Corp. (incorporated by reference to Exhibit 3.2 to the Company’s Quarterly</w:t>
              </w:r>
            </w:hyperlink>
          </w:p>
        </w:tc>
        <w:tc>
          <w:tcPr>
            <w:tcW w:w="3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Report on Form 10-Q (File No. 001-40815) filed with the SEC on November 8, 2021).</w:t>
              </w:r>
            </w:hyperlink>
          </w:p>
        </w:tc>
        <w:tc>
          <w:tcPr>
            <w:tcW w:w="20" w:type="dxa"/>
            <w:vAlign w:val="bottom"/>
            <w:tcBorders>
              <w:bottom w:val="single" w:sz="8" w:color="0000EE"/>
            </w:tcBorders>
          </w:tcPr>
          <w:p>
            <w:pPr>
              <w:spacing w:after="0"/>
              <w:rPr>
                <w:sz w:val="17"/>
                <w:szCs w:val="17"/>
                <w:color w:val="auto"/>
              </w:rPr>
            </w:pPr>
          </w:p>
        </w:tc>
        <w:tc>
          <w:tcPr>
            <w:tcW w:w="36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97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Second Amended and Restated Limited Liability Company Agreement of AIDH TopCo, LLC (incorporated by reference to Exhibit 3.3</w:t>
              </w:r>
            </w:hyperlink>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2"/>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to the Company’s Quarterly Report on Form 10-Q (File No. 001-40815) filed with the SEC on November 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9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Description of Registrant’s Securities (incorporated by reference to Exhibit 4.1 to the Company’s Annual Report on Form 10-K (File</w:t>
              </w:r>
            </w:hyperlink>
          </w:p>
        </w:tc>
        <w:tc>
          <w:tcPr>
            <w:tcW w:w="2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No. 001-40815) filed with the SEC on March 15, 2022).</w:t>
              </w:r>
            </w:hyperlink>
          </w:p>
        </w:tc>
        <w:tc>
          <w:tcPr>
            <w:tcW w:w="20" w:type="dxa"/>
            <w:vAlign w:val="bottom"/>
            <w:tcBorders>
              <w:bottom w:val="single" w:sz="8" w:color="0000EE"/>
            </w:tcBorders>
          </w:tcPr>
          <w:p>
            <w:pPr>
              <w:spacing w:after="0"/>
              <w:rPr>
                <w:sz w:val="17"/>
                <w:szCs w:val="17"/>
                <w:color w:val="auto"/>
              </w:rPr>
            </w:pPr>
          </w:p>
        </w:tc>
        <w:tc>
          <w:tcPr>
            <w:tcW w:w="58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97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Credit Agreement, dated September 17, 2021, by and among DH Holdings and Administrative Agent, the lenders party thereto and the</w:t>
              </w:r>
            </w:hyperlink>
          </w:p>
        </w:tc>
        <w:tc>
          <w:tcPr>
            <w:tcW w:w="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issuing banks from time to time party thereto (incorporated by reference to Exhibit 10.1 to the Company’s current report on Form 8-K</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2"/>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(File No. 001-40815), filed with the SEC on September 20,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94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No. 1, dated October 31, 2022, to Credit Agreement, dated September 17, 2021, by and among Definitive Healthcare</w:t>
              </w:r>
            </w:hyperlink>
          </w:p>
        </w:tc>
        <w:tc>
          <w:tcPr>
            <w:tcW w:w="46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Holdings, LLC, AIDH Buyer, LLC, Bank of America, N.A. as Administrative Agent, the lenders party thereto and the issuing banks</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from time to time party thereto (incorporated by reference to Exhibit 10.5 to the Company’s Quarterly Report on Form 10-Q (File</w:t>
              </w:r>
            </w:hyperlink>
          </w:p>
        </w:tc>
        <w:tc>
          <w:tcPr>
            <w:tcW w:w="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No.001-40815) filed with the SEC on November 3, 2022).</w:t>
              </w:r>
            </w:hyperlink>
          </w:p>
        </w:tc>
        <w:tc>
          <w:tcPr>
            <w:tcW w:w="56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98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Reorganization Agreement, dated September 14, 2021, between Definitive Healthcare Corp., AIDH TopCo, LLC and the parties named</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therein (incorporated by reference to Exhibit 10.8 to the Company’s Quarterly Report on Form 10-Q (File No. 001-40815) filed with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2"/>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SEC on November 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98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Registration Rights Agreement, dated September 14, 2021, by and among Definitive Healthcare Corp. and the Continuing Pre-IPO LLC</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Members (incorporated by reference to Exhibit 10.9 to the Company’s Quarterly Report on Form 10-Q (File No. 001-40815) filed with</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the SEC on November 8, 2021).</w:t>
              </w:r>
            </w:hyperlink>
          </w:p>
        </w:tc>
        <w:tc>
          <w:tcPr>
            <w:tcW w:w="75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94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Tax Receivable Agreement, dated September 14, 2021, between Definitive Healthcare Corp. and the TRA Parties (incorporated by</w:t>
              </w:r>
            </w:hyperlink>
          </w:p>
        </w:tc>
        <w:tc>
          <w:tcPr>
            <w:tcW w:w="42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reference to Exhibit 10.10 to the Company’s Quarterly Report on Form10-Q (File No. 001-40815) filed with the SEC on November 8,</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line="196" w:lineRule="exact"/>
              <w:rPr>
                <w:rFonts w:ascii="Times New Roman" w:cs="Times New Roman" w:eastAsia="Times New Roman" w:hAnsi="Times New Roman"/>
                <w:sz w:val="18"/>
                <w:szCs w:val="18"/>
                <w:color w:val="0000FF"/>
                <w:w w:val="94"/>
              </w:rPr>
            </w:pPr>
            <w:hyperlink r:id="rId135">
              <w:r>
                <w:rPr>
                  <w:rFonts w:ascii="Times New Roman" w:cs="Times New Roman" w:eastAsia="Times New Roman" w:hAnsi="Times New Roman"/>
                  <w:sz w:val="18"/>
                  <w:szCs w:val="18"/>
                  <w:color w:val="0000FF"/>
                  <w:w w:val="94"/>
                </w:rPr>
                <w:t>2021).</w:t>
              </w:r>
            </w:hyperlink>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96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Nominating Agreement, dated September 17, 2021, between the Company and Advent (incorporated by reference to Exhibit 10.11 to</w:t>
              </w:r>
            </w:hyperlink>
          </w:p>
        </w:tc>
        <w:tc>
          <w:tcPr>
            <w:tcW w:w="2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the Company’s Quarterly Report on Form 10-Q (File No. 001-40815) filed with the SEC on November 8, 2021).</w:t>
              </w:r>
            </w:hyperlink>
          </w:p>
        </w:tc>
        <w:tc>
          <w:tcPr>
            <w:tcW w:w="20" w:type="dxa"/>
            <w:vAlign w:val="bottom"/>
            <w:tcBorders>
              <w:bottom w:val="single" w:sz="8" w:color="0000EE"/>
            </w:tcBorders>
          </w:tcPr>
          <w:p>
            <w:pPr>
              <w:spacing w:after="0"/>
              <w:rPr>
                <w:sz w:val="17"/>
                <w:szCs w:val="17"/>
                <w:color w:val="auto"/>
              </w:rPr>
            </w:pPr>
          </w:p>
        </w:tc>
        <w:tc>
          <w:tcPr>
            <w:tcW w:w="17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8"/>
                <w:szCs w:val="18"/>
                <w:color w:val="auto"/>
              </w:rPr>
            </w:pPr>
          </w:p>
        </w:tc>
        <w:tc>
          <w:tcPr>
            <w:tcW w:w="95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Nominating Agreement, dated September 17, 2021 between the Company and SE VII DHC AIV, L.P. (incorporated by reference to</w:t>
              </w:r>
            </w:hyperlink>
          </w:p>
        </w:tc>
        <w:tc>
          <w:tcPr>
            <w:tcW w:w="3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2"/>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Exhibit 10.12 to the Company’s Quarterly Report on Form10-Q (File No. 001-40815) filed with the SEC on November 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560" w:type="dxa"/>
            <w:vAlign w:val="bottom"/>
            <w:tcBorders>
              <w:right w:val="single" w:sz="8" w:color="0000FF"/>
            </w:tcBorders>
            <w:gridSpan w:val="11"/>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8"/>
                <w:szCs w:val="18"/>
                <w:color w:val="auto"/>
              </w:rPr>
            </w:pPr>
          </w:p>
        </w:tc>
        <w:tc>
          <w:tcPr>
            <w:tcW w:w="98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Nominating Agreement, dated September 17, 2021, between the Company and Jason Krantz (incorporated by reference to Exhibit 10.13</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to the Company’s Quarterly Report on Form10-Q (File No. 001-40815) filed with the SEC on November 8, 2021).</w:t>
              </w:r>
            </w:hyperlink>
          </w:p>
        </w:tc>
        <w:tc>
          <w:tcPr>
            <w:tcW w:w="15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92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Reimbursement Agreement, dated September 17, 2021, between Definitive Healthcare Corp. and Jason Krantz and certain other</w:t>
              </w:r>
            </w:hyperlink>
          </w:p>
        </w:tc>
        <w:tc>
          <w:tcPr>
            <w:tcW w:w="58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stockholders (incorporated by reference to Exhibit 10.14 to the Company’s Quarterly Report on Form10-Q (File No. 001-40815) filed</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with the SEC on November 8, 2021).</w:t>
              </w:r>
            </w:hyperlink>
          </w:p>
        </w:tc>
        <w:tc>
          <w:tcPr>
            <w:tcW w:w="71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40" w:type="dxa"/>
            <w:vAlign w:val="bottom"/>
          </w:tcPr>
          <w:p>
            <w:pPr>
              <w:spacing w:after="0"/>
              <w:rPr>
                <w:sz w:val="24"/>
                <w:szCs w:val="24"/>
                <w:color w:val="auto"/>
              </w:rPr>
            </w:pPr>
          </w:p>
        </w:tc>
        <w:tc>
          <w:tcPr>
            <w:tcW w:w="4900" w:type="dxa"/>
            <w:vAlign w:val="bottom"/>
            <w:gridSpan w:val="9"/>
          </w:tcPr>
          <w:p>
            <w:pPr>
              <w:jc w:val="right"/>
              <w:ind w:right="348"/>
              <w:spacing w:after="0"/>
              <w:rPr>
                <w:sz w:val="20"/>
                <w:szCs w:val="20"/>
                <w:color w:val="auto"/>
              </w:rPr>
            </w:pPr>
            <w:r>
              <w:rPr>
                <w:rFonts w:ascii="Times New Roman" w:cs="Times New Roman" w:eastAsia="Times New Roman" w:hAnsi="Times New Roman"/>
                <w:sz w:val="18"/>
                <w:szCs w:val="18"/>
                <w:color w:val="auto"/>
              </w:rPr>
              <w:t>67</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Stock and Unit Purchase Agreement, dated September 7, 2021, by and among Definitive Health Care Corp. and the parties named</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therein (incorporated by reference to Exhibit 10.19 to Amendment No. 2 to the Company’s Registration Statement on Form S-1 (File</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No. 333-258990) filed with the SEC on September 7,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Stock and Unit Purchase Agreement, dated November 10, 2021, by and among Definitive Healthcare Corp. and the parties named</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therein (incorporated by reference to Exhibit 10.21 to the Company’s Registration Statement on Form S-1 (File No. 333-261083) filed</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with the SEC on November 15,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2019 Equity Incentive Plan (incorporated by reference to Exhibit 10.1 to the Company’s Registration Statement on Form S-1 (File No.</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333-258990) filed with the SEC on August 20,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2021 Equity Incentive Plan (incorporated by reference to Exhibit 10.12 to the Company's Annual Report on Form 10-K (File No. 001-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40815) filed with the SEC on March 15, 2022.</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equity award agreements under 2019 Equity Incentive Plan (incorporated by reference to Exhibit 10.3 to the Company’s</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Registration Statement on Form S-1 (File No. 333-258990) filed with the SEC on August 20,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executive equity award agreements under 2021 Equity Incentive Plan (incorporated by reference to Exhibit 10.4 to the</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Company’s Registration Statement on Form S-1 (File No. 333-258990) filed with the SEC on August 20,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6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840" w:type="dxa"/>
            <w:vAlign w:val="bottom"/>
            <w:gridSpan w:val="30"/>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Form of Executive Restricted Stock Unit Award Agreement under Definitive Healthcare Corp. 2021 Equity Incentive Plan (incorporated</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by reference to Exhibit 10.2 to the Company’s Current Report on Form 8-K (File No. 001-40815) filed with the SEC on November 3,</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148">
              <w:r>
                <w:rPr>
                  <w:rFonts w:ascii="Times New Roman" w:cs="Times New Roman" w:eastAsia="Times New Roman" w:hAnsi="Times New Roman"/>
                  <w:sz w:val="18"/>
                  <w:szCs w:val="18"/>
                  <w:color w:val="0000FF"/>
                  <w:w w:val="90"/>
                </w:rPr>
                <w:t>2022).</w:t>
              </w:r>
            </w:hyperlink>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Form of Executive Performance-Based Restricted Stock Unit Award Agreement under Definitive Healthcare Corp. 2021 Equity</w:t>
            </w:r>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Incentive Plan.</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Director Restricted Stock Unit Award Agreement under Definitive Healthcare Corp. 2021 Equity Incentive Plan (incorporated</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by reference to Exhibit 10.1 to the Company’s Current Report on Form 8-K (File No. 001-40815) filed with the SEC on October 3,</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149">
              <w:r>
                <w:rPr>
                  <w:rFonts w:ascii="Times New Roman" w:cs="Times New Roman" w:eastAsia="Times New Roman" w:hAnsi="Times New Roman"/>
                  <w:sz w:val="18"/>
                  <w:szCs w:val="18"/>
                  <w:color w:val="0000FF"/>
                  <w:w w:val="90"/>
                </w:rPr>
                <w:t>2022).</w:t>
              </w:r>
            </w:hyperlink>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840" w:type="dxa"/>
            <w:vAlign w:val="bottom"/>
            <w:gridSpan w:val="30"/>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Definitive Healthcare Corp. Cash Incentive Plan (incorporated by reference to Exhibit 10.2 to the Company's Current Report on Form 8-</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K (File No. 001-40815) filed with the SEC on February 23,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2021 Executive Officer and Director Indemnification Agreement for Definitive Healthcare Corp. (incorporated by reference to</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Exhibit 10.6 to the Company’s Registration Statement on Form S-1 (File No. 333-258990) filed with the SEC on August 20,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2021 Employee Stock Purchase Plan (incorporated by reference to Exhibit 10.7 to the Company’s Registration Statement on Form S-1</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(File No. 333-258990) filed with the SEC on August 20,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Employment Agreement, dated February 18, 2015, by and between Definitive Healthcare, LLC and Jason Krantz (incorporated by</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reference to Exhibit 10.8 to the Company’s Registration Statement on Form S-1 (File No. 333-258990) filed with the SEC on August 20,</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153">
              <w:r>
                <w:rPr>
                  <w:rFonts w:ascii="Times New Roman" w:cs="Times New Roman" w:eastAsia="Times New Roman" w:hAnsi="Times New Roman"/>
                  <w:sz w:val="18"/>
                  <w:szCs w:val="18"/>
                  <w:color w:val="0000FF"/>
                  <w:w w:val="90"/>
                </w:rPr>
                <w:t>2021).</w:t>
              </w:r>
            </w:hyperlink>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Employment Agreement, dated January 29, 2021, by and between Definitive Healthcare, LLC and Richard Booth (incorporated by</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reference to Exhibit 10.9 to the Company’s Registration Statement on Form S-1 (File No. 333-258990) filed with the SEC on August 20,</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154">
              <w:r>
                <w:rPr>
                  <w:rFonts w:ascii="Times New Roman" w:cs="Times New Roman" w:eastAsia="Times New Roman" w:hAnsi="Times New Roman"/>
                  <w:sz w:val="18"/>
                  <w:szCs w:val="18"/>
                  <w:color w:val="0000FF"/>
                  <w:w w:val="90"/>
                </w:rPr>
                <w:t>2021).</w:t>
              </w:r>
            </w:hyperlink>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Employment Agreement, dated February 1, 2021, by and between Definitive Healthcare, LLC and David Samuels (incorporated by</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reference to Exhibit 10.10 to the Company’s Registration Statement on Form S-1 (File No. 333-258990) filed with the SEC on August</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720" w:type="dxa"/>
            <w:vAlign w:val="bottom"/>
            <w:gridSpan w:val="2"/>
          </w:tcPr>
          <w:p>
            <w:pPr>
              <w:spacing w:after="0" w:line="196" w:lineRule="exact"/>
              <w:rPr>
                <w:rFonts w:ascii="Times New Roman" w:cs="Times New Roman" w:eastAsia="Times New Roman" w:hAnsi="Times New Roman"/>
                <w:sz w:val="18"/>
                <w:szCs w:val="18"/>
                <w:color w:val="0000FF"/>
                <w:w w:val="92"/>
              </w:rPr>
            </w:pPr>
            <w:hyperlink r:id="rId155">
              <w:r>
                <w:rPr>
                  <w:rFonts w:ascii="Times New Roman" w:cs="Times New Roman" w:eastAsia="Times New Roman" w:hAnsi="Times New Roman"/>
                  <w:sz w:val="18"/>
                  <w:szCs w:val="18"/>
                  <w:color w:val="0000FF"/>
                  <w:w w:val="92"/>
                </w:rPr>
                <w:t>20, 2021).</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Employment Agreement dated October 7, 2021 by and between Definitive Healthcare Corp. and Robert Musslewhite (incorporated by</w:t>
              </w:r>
            </w:hyperlink>
          </w:p>
        </w:tc>
      </w:tr>
      <w:tr>
        <w:trPr>
          <w:trHeight w:val="20"/>
        </w:trPr>
        <w:tc>
          <w:tcPr>
            <w:tcW w:w="14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reference to Exhibit 10.1 to the Company’s Current Report on Form 8-K (File No. 001-40815) filed with the SEC on October 7,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9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Separation Agreement, dated as of November 1, 2022, by and among Definitive Healthcare, LLC and David Samuels.</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8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Amended and Restated Employment Agreement, dated as of May 4, 2022, by and among Definitive Healthcare, LLC, Definitive</w:t>
              </w:r>
            </w:hyperlink>
          </w:p>
        </w:tc>
      </w:tr>
      <w:tr>
        <w:trPr>
          <w:trHeight w:val="20"/>
        </w:trPr>
        <w:tc>
          <w:tcPr>
            <w:tcW w:w="14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Healthcare Corp. and Robert Musslewhite (incorporated by reference to Exhibit 10.1 to the Company’s Current Report on Form 8-K</w:t>
              </w:r>
            </w:hyperlink>
          </w:p>
        </w:tc>
      </w:tr>
      <w:tr>
        <w:trPr>
          <w:trHeight w:val="20"/>
        </w:trPr>
        <w:tc>
          <w:tcPr>
            <w:tcW w:w="14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(File No. 001-40815) filed with the SEC on May 5, 2022).</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Executive Chairman Agreement, dated as of May 4, 2022, by and among Definitive Healthcare, LLC, Definitive Healthcare Corp. and</w:t>
              </w:r>
            </w:hyperlink>
          </w:p>
        </w:tc>
      </w:tr>
      <w:tr>
        <w:trPr>
          <w:trHeight w:val="20"/>
        </w:trPr>
        <w:tc>
          <w:tcPr>
            <w:tcW w:w="14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tcBorders>
              <w:right w:val="single" w:sz="8" w:color="0000FF"/>
            </w:tcBorders>
            <w:gridSpan w:val="7"/>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Jason Krantz (incorporated by reference to Exhibit 10.2 to the Company’s Current Report on Form 8-K (File No. 001-40815) filed with</w:t>
              </w:r>
            </w:hyperlink>
          </w:p>
        </w:tc>
      </w:tr>
      <w:tr>
        <w:trPr>
          <w:trHeight w:val="20"/>
        </w:trPr>
        <w:tc>
          <w:tcPr>
            <w:tcW w:w="14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tcBorders>
              <w:right w:val="single" w:sz="8" w:color="0000FF"/>
            </w:tcBorders>
            <w:gridSpan w:val="7"/>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the SEC on May 5, 2022).</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1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Amendment to Executive Chairman Agreement and Employment Agreement of Jason Krantz, dated as of February 16, 2023</w:t>
              </w:r>
            </w:hyperlink>
          </w:p>
        </w:tc>
      </w:tr>
      <w:tr>
        <w:trPr>
          <w:trHeight w:val="20"/>
        </w:trPr>
        <w:tc>
          <w:tcPr>
            <w:tcW w:w="14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280" w:type="dxa"/>
            <w:vAlign w:val="bottom"/>
            <w:tcBorders>
              <w:right w:val="single" w:sz="8" w:color="0000FF"/>
            </w:tcBorders>
            <w:gridSpan w:val="8"/>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(incorporated by reference to Exhibit 10.1 to the Company's Current Report on Form 8-K (File No. 001-40815) filed with the SEC on</w:t>
              </w:r>
            </w:hyperlink>
          </w:p>
        </w:tc>
      </w:tr>
      <w:tr>
        <w:trPr>
          <w:trHeight w:val="20"/>
        </w:trPr>
        <w:tc>
          <w:tcPr>
            <w:tcW w:w="14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280" w:type="dxa"/>
            <w:vAlign w:val="bottom"/>
            <w:tcBorders>
              <w:right w:val="single" w:sz="8" w:color="0000FF"/>
            </w:tcBorders>
            <w:gridSpan w:val="8"/>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520" w:type="dxa"/>
            <w:vAlign w:val="bottom"/>
            <w:tcBorders>
              <w:left w:val="single" w:sz="8" w:color="0000FF"/>
            </w:tcBorders>
            <w:gridSpan w:val="7"/>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February 23,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1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9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Offer Letter to Kate Shamsuddin Jensen, dated February 3, 2015.</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80" w:type="dxa"/>
            <w:vAlign w:val="bottom"/>
            <w:tcBorders>
              <w:right w:val="single" w:sz="8" w:color="0000EE"/>
            </w:tcBorders>
            <w:gridSpan w:val="1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0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Restricted Stock Unit Award Agreement (333,322 time-based Restricted Stock Units), dated as of May 3, 2022, by and among</w:t>
              </w:r>
            </w:hyperlink>
          </w:p>
        </w:tc>
      </w:tr>
      <w:tr>
        <w:trPr>
          <w:trHeight w:val="20"/>
        </w:trPr>
        <w:tc>
          <w:tcPr>
            <w:tcW w:w="1400" w:type="dxa"/>
            <w:vAlign w:val="bottom"/>
          </w:tcPr>
          <w:p>
            <w:pPr>
              <w:spacing w:after="0" w:line="20" w:lineRule="exact"/>
              <w:rPr>
                <w:sz w:val="1"/>
                <w:szCs w:val="1"/>
                <w:color w:val="auto"/>
              </w:rPr>
            </w:pPr>
          </w:p>
        </w:tc>
        <w:tc>
          <w:tcPr>
            <w:tcW w:w="5220" w:type="dxa"/>
            <w:vAlign w:val="bottom"/>
            <w:gridSpan w:val="14"/>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Definitive Healthcare Corp. and Robert Musslewhite (incorporated by reference to Exhibit 10.3 to the Company’s Quarterly Report on</w:t>
              </w:r>
            </w:hyperlink>
          </w:p>
        </w:tc>
      </w:tr>
      <w:tr>
        <w:trPr>
          <w:trHeight w:val="20"/>
        </w:trPr>
        <w:tc>
          <w:tcPr>
            <w:tcW w:w="1400" w:type="dxa"/>
            <w:vAlign w:val="bottom"/>
          </w:tcPr>
          <w:p>
            <w:pPr>
              <w:spacing w:after="0" w:line="20" w:lineRule="exact"/>
              <w:rPr>
                <w:sz w:val="1"/>
                <w:szCs w:val="1"/>
                <w:color w:val="auto"/>
              </w:rPr>
            </w:pPr>
          </w:p>
        </w:tc>
        <w:tc>
          <w:tcPr>
            <w:tcW w:w="5220" w:type="dxa"/>
            <w:vAlign w:val="bottom"/>
            <w:gridSpan w:val="14"/>
            <w:shd w:val="clear" w:color="auto" w:fill="0000FF"/>
          </w:tcPr>
          <w:p>
            <w:pPr>
              <w:spacing w:after="0" w:line="20" w:lineRule="exact"/>
              <w:rPr>
                <w:sz w:val="1"/>
                <w:szCs w:val="1"/>
                <w:color w:val="auto"/>
              </w:rPr>
            </w:pPr>
          </w:p>
        </w:tc>
        <w:tc>
          <w:tcPr>
            <w:tcW w:w="4420" w:type="dxa"/>
            <w:vAlign w:val="bottom"/>
            <w:gridSpan w:val="12"/>
            <w:shd w:val="clear" w:color="auto" w:fill="0000FF"/>
          </w:tcPr>
          <w:p>
            <w:pPr>
              <w:spacing w:after="0" w:line="20" w:lineRule="exact"/>
              <w:rPr>
                <w:sz w:val="1"/>
                <w:szCs w:val="1"/>
                <w:color w:val="auto"/>
              </w:rPr>
            </w:pPr>
          </w:p>
        </w:tc>
        <w:tc>
          <w:tcPr>
            <w:tcW w:w="200" w:type="dxa"/>
            <w:vAlign w:val="bottom"/>
            <w:tcBorders>
              <w:left w:val="single" w:sz="8" w:color="0000FF"/>
            </w:tcBorders>
            <w:gridSpan w:val="4"/>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10-Q (File No. 001-40815) filed with the SEC on August 4, 2022).</w:t>
              </w:r>
            </w:hyperlink>
          </w:p>
        </w:tc>
      </w:tr>
      <w:tr>
        <w:trPr>
          <w:trHeight w:val="358"/>
        </w:trPr>
        <w:tc>
          <w:tcPr>
            <w:tcW w:w="1400" w:type="dxa"/>
            <w:vAlign w:val="bottom"/>
          </w:tcPr>
          <w:p>
            <w:pPr>
              <w:spacing w:after="0"/>
              <w:rPr>
                <w:sz w:val="24"/>
                <w:szCs w:val="24"/>
                <w:color w:val="auto"/>
              </w:rPr>
            </w:pPr>
          </w:p>
        </w:tc>
        <w:tc>
          <w:tcPr>
            <w:tcW w:w="4340" w:type="dxa"/>
            <w:vAlign w:val="bottom"/>
            <w:tcBorders>
              <w:top w:val="single" w:sz="8" w:color="0000FF"/>
            </w:tcBorders>
            <w:gridSpan w:val="10"/>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820" w:type="dxa"/>
            <w:vAlign w:val="bottom"/>
            <w:gridSpan w:val="16"/>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Restricted Stock Unit Award Agreement (83,333 time-based Restricted Stock Units), dated as of May 3, 2022, by and among Definitive</w:t>
              </w:r>
            </w:hyperlink>
          </w:p>
        </w:tc>
      </w:tr>
      <w:tr>
        <w:trPr>
          <w:trHeight w:val="20"/>
        </w:trPr>
        <w:tc>
          <w:tcPr>
            <w:tcW w:w="138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Healthcare Corp. and Robert Musslewhite (incorporated by reference to Exhibit 10.4 to the Company’s Quarterly Report on Form 10-Q</w:t>
              </w:r>
            </w:hyperlink>
          </w:p>
        </w:tc>
      </w:tr>
      <w:tr>
        <w:trPr>
          <w:trHeight w:val="20"/>
        </w:trPr>
        <w:tc>
          <w:tcPr>
            <w:tcW w:w="138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(File No. 001-40815) filed with the SEC on August 4, 2022).</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820" w:type="dxa"/>
            <w:vAlign w:val="bottom"/>
            <w:gridSpan w:val="16"/>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Restricted Stock Unit Award Agreement (125,000 performance-based Restricted Stock Units), dated as of May 3, 2022, by and among</w:t>
              </w:r>
            </w:hyperlink>
          </w:p>
        </w:tc>
      </w:tr>
      <w:tr>
        <w:trPr>
          <w:trHeight w:val="20"/>
        </w:trPr>
        <w:tc>
          <w:tcPr>
            <w:tcW w:w="138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Definitive Healthcare Corp. and Robert Musslewhite (incorporated by reference to Exhibit 10.5 to the Company’s Quarterly Report on</w:t>
              </w:r>
            </w:hyperlink>
          </w:p>
        </w:tc>
      </w:tr>
      <w:tr>
        <w:trPr>
          <w:trHeight w:val="20"/>
        </w:trPr>
        <w:tc>
          <w:tcPr>
            <w:tcW w:w="138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10-Q (File No. 001-40815) filed with the SEC on August 4, 2022)</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820" w:type="dxa"/>
            <w:vAlign w:val="bottom"/>
            <w:gridSpan w:val="16"/>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Employment Agreement, dated as of September 22, 2022, by and between Definitive Healthcare, LLC and Jonathan Maack</w:t>
              </w:r>
            </w:hyperlink>
          </w:p>
        </w:tc>
      </w:tr>
      <w:tr>
        <w:trPr>
          <w:trHeight w:val="20"/>
        </w:trPr>
        <w:tc>
          <w:tcPr>
            <w:tcW w:w="138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(incorporated by reference to Exhibit 10.1 to the Company’s Current Report on Form 8-K (File No. 001-40815) filed with the SEC on</w:t>
              </w:r>
            </w:hyperlink>
          </w:p>
        </w:tc>
      </w:tr>
      <w:tr>
        <w:trPr>
          <w:trHeight w:val="20"/>
        </w:trPr>
        <w:tc>
          <w:tcPr>
            <w:tcW w:w="138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November 3, 2022).</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820" w:type="dxa"/>
            <w:vAlign w:val="bottom"/>
            <w:gridSpan w:val="16"/>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Amendment, dated August 9, 2022, to Restricted Stock Unit Award Agreements, issued under the Definitive Healthcare Corp. 2021</w:t>
              </w:r>
            </w:hyperlink>
          </w:p>
        </w:tc>
      </w:tr>
      <w:tr>
        <w:trPr>
          <w:trHeight w:val="20"/>
        </w:trPr>
        <w:tc>
          <w:tcPr>
            <w:tcW w:w="138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Equity Incentive Plan, between Robert Musslewhite and Definitive Healthcare Corp. (incorporated by reference to Exhibit 10.4 to the</w:t>
              </w:r>
            </w:hyperlink>
          </w:p>
        </w:tc>
      </w:tr>
      <w:tr>
        <w:trPr>
          <w:trHeight w:val="20"/>
        </w:trPr>
        <w:tc>
          <w:tcPr>
            <w:tcW w:w="138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Company’s Quarterly Report on Form 10-Q (File No. 001-40815) filed with the SEC on November 3, 2022).</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Definitive Healthcare Corp. Change in Control Severance Plan for Executives.</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20" w:type="dxa"/>
            <w:vAlign w:val="bottom"/>
            <w:gridSpan w:val="1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List of subsidiaries (incorporated by reference to Exhibit 21.1 to the Company's Registration Statement on Form S-1 (File No. 333-</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258990) filed with the SEC on August 20, 2021).</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 Registered Public Accounting Firm</w:t>
            </w:r>
            <w:r>
              <w:rPr>
                <w:rFonts w:ascii="Times New Roman" w:cs="Times New Roman" w:eastAsia="Times New Roman" w:hAnsi="Times New Roman"/>
                <w:sz w:val="18"/>
                <w:szCs w:val="18"/>
                <w:color w:val="000000"/>
              </w:rPr>
              <w:t>.</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tcBorders>
            <w:gridSpan w:val="3"/>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EE"/>
            </w:tcBorders>
            <w:gridSpan w:val="3"/>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38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tcBorders>
            <w:gridSpan w:val="3"/>
            <w:shd w:val="clear" w:color="auto" w:fill="0000FF"/>
          </w:tcPr>
          <w:p>
            <w:pPr>
              <w:spacing w:after="0" w:line="20" w:lineRule="exact"/>
              <w:rPr>
                <w:sz w:val="1"/>
                <w:szCs w:val="1"/>
                <w:color w:val="auto"/>
              </w:rPr>
            </w:pPr>
          </w:p>
        </w:tc>
        <w:tc>
          <w:tcPr>
            <w:tcW w:w="4620" w:type="dxa"/>
            <w:vAlign w:val="bottom"/>
            <w:gridSpan w:val="8"/>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tcBorders>
            <w:gridSpan w:val="3"/>
            <w:shd w:val="clear" w:color="auto" w:fill="0000FF"/>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38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6160" w:type="dxa"/>
            <w:vAlign w:val="bottom"/>
            <w:tcBorders>
              <w:left w:val="single" w:sz="8" w:color="0000FF"/>
            </w:tcBorders>
            <w:gridSpan w:val="11"/>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tcBorders>
            <w:gridSpan w:val="3"/>
            <w:shd w:val="clear" w:color="auto" w:fill="0000FF"/>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0"/>
        </w:trPr>
        <w:tc>
          <w:tcPr>
            <w:tcW w:w="138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6360" w:type="dxa"/>
            <w:vAlign w:val="bottom"/>
            <w:tcBorders>
              <w:left w:val="single" w:sz="8" w:color="0000FF"/>
            </w:tcBorders>
            <w:gridSpan w:val="1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6400" w:type="dxa"/>
            <w:vAlign w:val="bottom"/>
            <w:gridSpan w:val="14"/>
          </w:tcPr>
          <w:p>
            <w:pPr>
              <w:spacing w:after="0" w:line="20" w:lineRule="exact"/>
              <w:rPr>
                <w:sz w:val="1"/>
                <w:szCs w:val="1"/>
                <w:color w:val="auto"/>
              </w:rPr>
            </w:pPr>
          </w:p>
        </w:tc>
      </w:tr>
      <w:tr>
        <w:trPr>
          <w:trHeight w:val="2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29"/>
        </w:trPr>
        <w:tc>
          <w:tcPr>
            <w:tcW w:w="1380" w:type="dxa"/>
            <w:vAlign w:val="bottom"/>
          </w:tcPr>
          <w:p>
            <w:pPr>
              <w:spacing w:after="0"/>
              <w:rPr>
                <w:sz w:val="19"/>
                <w:szCs w:val="19"/>
                <w:color w:val="auto"/>
              </w:rPr>
            </w:pP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380" w:right="380" w:hanging="1359"/>
        <w:spacing w:after="0" w:line="276" w:lineRule="auto"/>
        <w:tabs>
          <w:tab w:leader="none" w:pos="13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The certifications attached as Exhibits 31.1, 31.2 and 32.1 that accompany this Annual Report on Form 10-K are not</w:t>
      </w:r>
    </w:p>
    <w:p>
      <w:pPr>
        <w:spacing w:after="0" w:line="27" w:lineRule="exact"/>
        <w:rPr>
          <w:rFonts w:ascii="Times New Roman" w:cs="Times New Roman" w:eastAsia="Times New Roman" w:hAnsi="Times New Roman"/>
          <w:sz w:val="18"/>
          <w:szCs w:val="18"/>
          <w:color w:val="auto"/>
        </w:rPr>
      </w:pPr>
    </w:p>
    <w:p>
      <w:pPr>
        <w:ind w:left="16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deemed filed with the Securities and Exchange Commission and are not to be incorporated by reference into any filing of Definitive Healthcare Corp.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-632460</wp:posOffset>
            </wp:positionV>
            <wp:extent cx="14230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Management contract or compensatory plan or arrangement.</w:t>
      </w:r>
    </w:p>
    <w:p>
      <w:pPr>
        <w:spacing w:after="0" w:line="225"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231F20"/>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74" w:name="page75"/>
    <w:bookmarkEnd w:id="7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52" w:lineRule="exact"/>
        <w:rPr>
          <w:sz w:val="20"/>
          <w:szCs w:val="20"/>
          <w:color w:val="auto"/>
        </w:rPr>
      </w:pPr>
    </w:p>
    <w:p>
      <w:pPr>
        <w:ind w:left="20"/>
        <w:spacing w:after="0"/>
        <w:tabs>
          <w:tab w:leader="none" w:pos="5420" w:val="left"/>
          <w:tab w:leader="none" w:pos="7780" w:val="left"/>
        </w:tabs>
        <w:rPr>
          <w:sz w:val="20"/>
          <w:szCs w:val="20"/>
          <w:color w:val="auto"/>
        </w:rPr>
      </w:pPr>
      <w:r>
        <w:rPr>
          <w:rFonts w:ascii="Times New Roman" w:cs="Times New Roman" w:eastAsia="Times New Roman" w:hAnsi="Times New Roman"/>
          <w:sz w:val="18"/>
          <w:szCs w:val="18"/>
          <w:color w:val="auto"/>
        </w:rPr>
        <w:t>Date: February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Robert Musslewhite</w:t>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12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p>
      <w:pPr>
        <w:ind w:left="1680"/>
        <w:spacing w:after="0"/>
        <w:tabs>
          <w:tab w:leader="none" w:pos="612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Jason Krantz</w:t>
            </w: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Chairman</w:t>
            </w:r>
          </w:p>
        </w:tc>
      </w:tr>
      <w:tr>
        <w:trPr>
          <w:trHeight w:val="190"/>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Jason Krantz</w:t>
            </w:r>
          </w:p>
        </w:tc>
        <w:tc>
          <w:tcPr>
            <w:tcW w:w="4140" w:type="dxa"/>
            <w:vAlign w:val="bottom"/>
          </w:tcPr>
          <w:p>
            <w:pPr>
              <w:spacing w:after="0"/>
              <w:rPr>
                <w:sz w:val="16"/>
                <w:szCs w:val="16"/>
                <w:color w:val="auto"/>
              </w:rPr>
            </w:pPr>
          </w:p>
        </w:tc>
      </w:tr>
      <w:tr>
        <w:trPr>
          <w:trHeight w:val="49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Musslewhite</w:t>
            </w: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190"/>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Robert Musslewhite</w:t>
            </w:r>
          </w:p>
        </w:tc>
        <w:tc>
          <w:tcPr>
            <w:tcW w:w="4140" w:type="dxa"/>
            <w:vAlign w:val="bottom"/>
          </w:tcPr>
          <w:p>
            <w:pPr>
              <w:spacing w:after="0"/>
              <w:rPr>
                <w:sz w:val="16"/>
                <w:szCs w:val="16"/>
                <w:color w:val="auto"/>
              </w:rPr>
            </w:pPr>
          </w:p>
        </w:tc>
      </w:tr>
      <w:tr>
        <w:trPr>
          <w:trHeight w:val="264"/>
        </w:trPr>
        <w:tc>
          <w:tcPr>
            <w:tcW w:w="3720" w:type="dxa"/>
            <w:vAlign w:val="bottom"/>
          </w:tcPr>
          <w:p>
            <w:pPr>
              <w:spacing w:after="0"/>
              <w:rPr>
                <w:sz w:val="22"/>
                <w:szCs w:val="22"/>
                <w:color w:val="auto"/>
              </w:rPr>
            </w:pP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 and</w:t>
            </w:r>
          </w:p>
        </w:tc>
      </w:tr>
      <w:tr>
        <w:trPr>
          <w:trHeight w:val="24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Booth</w:t>
            </w: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190"/>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Richard Booth</w:t>
            </w:r>
          </w:p>
        </w:tc>
        <w:tc>
          <w:tcPr>
            <w:tcW w:w="4140" w:type="dxa"/>
            <w:vAlign w:val="bottom"/>
          </w:tcPr>
          <w:p>
            <w:pPr>
              <w:spacing w:after="0"/>
              <w:rPr>
                <w:sz w:val="16"/>
                <w:szCs w:val="16"/>
                <w:color w:val="auto"/>
              </w:rPr>
            </w:pPr>
          </w:p>
        </w:tc>
      </w:tr>
      <w:tr>
        <w:trPr>
          <w:trHeight w:val="49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Egan</w:t>
            </w: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90"/>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 Egan</w:t>
            </w:r>
          </w:p>
        </w:tc>
        <w:tc>
          <w:tcPr>
            <w:tcW w:w="4140" w:type="dxa"/>
            <w:vAlign w:val="bottom"/>
          </w:tcPr>
          <w:p>
            <w:pPr>
              <w:spacing w:after="0"/>
              <w:rPr>
                <w:sz w:val="16"/>
                <w:szCs w:val="16"/>
                <w:color w:val="auto"/>
              </w:rPr>
            </w:pPr>
          </w:p>
        </w:tc>
      </w:tr>
      <w:tr>
        <w:trPr>
          <w:trHeight w:val="49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Samuel A. Hamood</w:t>
            </w: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90"/>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Samuel A. Hamood</w:t>
            </w:r>
          </w:p>
        </w:tc>
        <w:tc>
          <w:tcPr>
            <w:tcW w:w="4140" w:type="dxa"/>
            <w:vAlign w:val="bottom"/>
          </w:tcPr>
          <w:p>
            <w:pPr>
              <w:spacing w:after="0"/>
              <w:rPr>
                <w:sz w:val="16"/>
                <w:szCs w:val="16"/>
                <w:color w:val="auto"/>
              </w:rPr>
            </w:pPr>
          </w:p>
        </w:tc>
      </w:tr>
      <w:tr>
        <w:trPr>
          <w:trHeight w:val="49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 Haywood</w:t>
            </w: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90"/>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 Haywood</w:t>
            </w:r>
          </w:p>
        </w:tc>
        <w:tc>
          <w:tcPr>
            <w:tcW w:w="4140" w:type="dxa"/>
            <w:vAlign w:val="bottom"/>
          </w:tcPr>
          <w:p>
            <w:pPr>
              <w:spacing w:after="0"/>
              <w:rPr>
                <w:sz w:val="16"/>
                <w:szCs w:val="16"/>
                <w:color w:val="auto"/>
              </w:rPr>
            </w:pPr>
          </w:p>
        </w:tc>
      </w:tr>
      <w:tr>
        <w:trPr>
          <w:trHeight w:val="49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Jill Larsen</w:t>
            </w: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90"/>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Jill Larsen</w:t>
            </w:r>
          </w:p>
        </w:tc>
        <w:tc>
          <w:tcPr>
            <w:tcW w:w="4140" w:type="dxa"/>
            <w:vAlign w:val="bottom"/>
          </w:tcPr>
          <w:p>
            <w:pPr>
              <w:spacing w:after="0"/>
              <w:rPr>
                <w:sz w:val="16"/>
                <w:szCs w:val="16"/>
                <w:color w:val="auto"/>
              </w:rPr>
            </w:pPr>
          </w:p>
        </w:tc>
      </w:tr>
      <w:tr>
        <w:trPr>
          <w:trHeight w:val="49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Mitchell</w:t>
            </w: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90"/>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 Mitchell</w:t>
            </w:r>
          </w:p>
        </w:tc>
        <w:tc>
          <w:tcPr>
            <w:tcW w:w="4140" w:type="dxa"/>
            <w:vAlign w:val="bottom"/>
          </w:tcPr>
          <w:p>
            <w:pPr>
              <w:spacing w:after="0"/>
              <w:rPr>
                <w:sz w:val="16"/>
                <w:szCs w:val="16"/>
                <w:color w:val="auto"/>
              </w:rPr>
            </w:pPr>
          </w:p>
        </w:tc>
      </w:tr>
      <w:tr>
        <w:trPr>
          <w:trHeight w:val="70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Sastry Chilukuri</w:t>
            </w: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90"/>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Sastry Chilukuri</w:t>
            </w:r>
          </w:p>
        </w:tc>
        <w:tc>
          <w:tcPr>
            <w:tcW w:w="4140" w:type="dxa"/>
            <w:vAlign w:val="bottom"/>
          </w:tcPr>
          <w:p>
            <w:pPr>
              <w:spacing w:after="0"/>
              <w:rPr>
                <w:sz w:val="16"/>
                <w:szCs w:val="16"/>
                <w:color w:val="auto"/>
              </w:rPr>
            </w:pPr>
          </w:p>
        </w:tc>
      </w:tr>
      <w:tr>
        <w:trPr>
          <w:trHeight w:val="70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A. Winters</w:t>
            </w: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90"/>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Kathleen A. Winters</w:t>
            </w:r>
          </w:p>
        </w:tc>
        <w:tc>
          <w:tcPr>
            <w:tcW w:w="4140" w:type="dxa"/>
            <w:vAlign w:val="bottom"/>
          </w:tcPr>
          <w:p>
            <w:pPr>
              <w:spacing w:after="0"/>
              <w:rPr>
                <w:sz w:val="16"/>
                <w:szCs w:val="16"/>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Lauren Young</w:t>
            </w: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Lauren Young</w:t>
            </w:r>
          </w:p>
        </w:tc>
        <w:tc>
          <w:tcPr>
            <w:tcW w:w="4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February 27, 2023</w:t>
      </w:r>
    </w:p>
    <w:p>
      <w:pPr>
        <w:spacing w:after="0" w:line="200" w:lineRule="exact"/>
        <w:rPr>
          <w:sz w:val="20"/>
          <w:szCs w:val="20"/>
          <w:color w:val="auto"/>
        </w:rPr>
      </w:pPr>
    </w:p>
    <w:p>
      <w:pPr>
        <w:spacing w:after="0" w:line="30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February 27, 2023</w:t>
      </w:r>
    </w:p>
    <w:p>
      <w:pPr>
        <w:spacing w:after="0" w:line="200" w:lineRule="exact"/>
        <w:rPr>
          <w:sz w:val="20"/>
          <w:szCs w:val="20"/>
          <w:color w:val="auto"/>
        </w:rPr>
      </w:pPr>
    </w:p>
    <w:p>
      <w:pPr>
        <w:spacing w:after="0" w:line="320"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February 27, 2023</w:t>
      </w:r>
    </w:p>
    <w:p>
      <w:pPr>
        <w:spacing w:after="0" w:line="200" w:lineRule="exact"/>
        <w:rPr>
          <w:sz w:val="20"/>
          <w:szCs w:val="20"/>
          <w:color w:val="auto"/>
        </w:rPr>
      </w:pPr>
    </w:p>
    <w:p>
      <w:pPr>
        <w:spacing w:after="0" w:line="30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February 27, 2023</w:t>
      </w:r>
    </w:p>
    <w:p>
      <w:pPr>
        <w:spacing w:after="0" w:line="200" w:lineRule="exact"/>
        <w:rPr>
          <w:sz w:val="20"/>
          <w:szCs w:val="20"/>
          <w:color w:val="auto"/>
        </w:rPr>
      </w:pPr>
    </w:p>
    <w:p>
      <w:pPr>
        <w:spacing w:after="0" w:line="30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February 27, 2023</w:t>
      </w:r>
    </w:p>
    <w:p>
      <w:pPr>
        <w:spacing w:after="0" w:line="200" w:lineRule="exact"/>
        <w:rPr>
          <w:sz w:val="20"/>
          <w:szCs w:val="20"/>
          <w:color w:val="auto"/>
        </w:rPr>
      </w:pPr>
    </w:p>
    <w:p>
      <w:pPr>
        <w:spacing w:after="0" w:line="30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February 27, 2023</w:t>
      </w:r>
    </w:p>
    <w:p>
      <w:pPr>
        <w:spacing w:after="0" w:line="200" w:lineRule="exact"/>
        <w:rPr>
          <w:sz w:val="20"/>
          <w:szCs w:val="20"/>
          <w:color w:val="auto"/>
        </w:rPr>
      </w:pPr>
    </w:p>
    <w:p>
      <w:pPr>
        <w:spacing w:after="0" w:line="30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February 27, 2023</w:t>
      </w:r>
    </w:p>
    <w:p>
      <w:pPr>
        <w:spacing w:after="0" w:line="200" w:lineRule="exact"/>
        <w:rPr>
          <w:sz w:val="20"/>
          <w:szCs w:val="20"/>
          <w:color w:val="auto"/>
        </w:rPr>
      </w:pPr>
    </w:p>
    <w:p>
      <w:pPr>
        <w:spacing w:after="0" w:line="30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February 27, 2023</w:t>
      </w:r>
    </w:p>
    <w:p>
      <w:pPr>
        <w:spacing w:after="0" w:line="30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February 27, 2023</w:t>
      </w:r>
    </w:p>
    <w:p>
      <w:pPr>
        <w:spacing w:after="0" w:line="442" w:lineRule="exact"/>
        <w:rPr>
          <w:sz w:val="20"/>
          <w:szCs w:val="20"/>
          <w:color w:val="auto"/>
        </w:rPr>
      </w:pPr>
    </w:p>
    <w:p>
      <w:pPr>
        <w:sectPr>
          <w:pgSz w:w="11900" w:h="16838" w:orient="portrait"/>
          <w:cols w:equalWidth="0" w:num="2">
            <w:col w:w="8120" w:space="720"/>
            <w:col w:w="2300"/>
          </w:cols>
          <w:pgMar w:left="320" w:top="333" w:right="439" w:bottom="1440" w:gutter="0" w:footer="0" w:header="0"/>
          <w:type w:val="continuous"/>
        </w:sectPr>
      </w:pPr>
    </w:p>
    <w:p>
      <w:pPr>
        <w:spacing w:after="0" w:line="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type w:val="continuous"/>
        </w:sectPr>
      </w:pPr>
    </w:p>
    <w:bookmarkStart w:id="75" w:name="page76"/>
    <w:bookmarkEnd w:id="75"/>
    <w:tbl>
      <w:tblPr>
        <w:tblLayout w:type="fixed"/>
        <w:tblInd w:w="1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60" w:type="dxa"/>
            <w:vAlign w:val="bottom"/>
            <w:gridSpan w:val="5"/>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20" w:type="dxa"/>
            <w:vAlign w:val="bottom"/>
          </w:tcPr>
          <w:p>
            <w:pPr>
              <w:spacing w:after="0"/>
              <w:rPr>
                <w:sz w:val="20"/>
                <w:szCs w:val="20"/>
                <w:color w:val="auto"/>
              </w:rPr>
            </w:pPr>
          </w:p>
        </w:tc>
      </w:tr>
      <w:tr>
        <w:trPr>
          <w:trHeight w:val="432"/>
        </w:trPr>
        <w:tc>
          <w:tcPr>
            <w:tcW w:w="42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180" w:type="dxa"/>
            <w:vAlign w:val="bottom"/>
            <w:gridSpan w:val="2"/>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9"/>
        </w:trPr>
        <w:tc>
          <w:tcPr>
            <w:tcW w:w="94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0"/>
        </w:trPr>
        <w:tc>
          <w:tcPr>
            <w:tcW w:w="28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18"/>
                <w:szCs w:val="18"/>
                <w:color w:val="auto"/>
              </w:rPr>
            </w:pPr>
          </w:p>
        </w:tc>
        <w:tc>
          <w:tcPr>
            <w:tcW w:w="6560" w:type="dxa"/>
            <w:vAlign w:val="bottom"/>
            <w:gridSpan w:val="8"/>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09"/>
        </w:trPr>
        <w:tc>
          <w:tcPr>
            <w:tcW w:w="35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20" w:type="dxa"/>
            <w:vAlign w:val="bottom"/>
            <w:tcBorders>
              <w:bottom w:val="single" w:sz="8" w:color="0000EE"/>
            </w:tcBorders>
          </w:tcPr>
          <w:p>
            <w:pPr>
              <w:spacing w:after="0"/>
              <w:rPr>
                <w:sz w:val="18"/>
                <w:szCs w:val="18"/>
                <w:color w:val="auto"/>
              </w:rPr>
            </w:pPr>
          </w:p>
        </w:tc>
        <w:tc>
          <w:tcPr>
            <w:tcW w:w="5840" w:type="dxa"/>
            <w:vAlign w:val="bottom"/>
            <w:gridSpan w:val="3"/>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10"/>
        </w:trPr>
        <w:tc>
          <w:tcPr>
            <w:tcW w:w="538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Changes in Members' Equity and Total Equity</w:t>
            </w:r>
          </w:p>
        </w:tc>
        <w:tc>
          <w:tcPr>
            <w:tcW w:w="40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09"/>
        </w:trPr>
        <w:tc>
          <w:tcPr>
            <w:tcW w:w="29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0" w:type="dxa"/>
            <w:vAlign w:val="bottom"/>
            <w:tcBorders>
              <w:bottom w:val="single" w:sz="8" w:color="0000EE"/>
            </w:tcBorders>
          </w:tcPr>
          <w:p>
            <w:pPr>
              <w:spacing w:after="0"/>
              <w:rPr>
                <w:sz w:val="18"/>
                <w:szCs w:val="18"/>
                <w:color w:val="auto"/>
              </w:rPr>
            </w:pPr>
          </w:p>
        </w:tc>
        <w:tc>
          <w:tcPr>
            <w:tcW w:w="6480" w:type="dxa"/>
            <w:vAlign w:val="bottom"/>
            <w:gridSpan w:val="6"/>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209"/>
        </w:trPr>
        <w:tc>
          <w:tcPr>
            <w:tcW w:w="94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F-13</w:t>
            </w:r>
          </w:p>
        </w:tc>
      </w:tr>
      <w:tr>
        <w:trPr>
          <w:trHeight w:val="682"/>
        </w:trPr>
        <w:tc>
          <w:tcPr>
            <w:tcW w:w="2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40" w:type="dxa"/>
            <w:vAlign w:val="bottom"/>
          </w:tcPr>
          <w:p>
            <w:pPr>
              <w:jc w:val="center"/>
              <w:ind w:right="3470"/>
              <w:spacing w:after="0"/>
              <w:rPr>
                <w:sz w:val="20"/>
                <w:szCs w:val="20"/>
                <w:color w:val="auto"/>
              </w:rPr>
            </w:pPr>
            <w:r>
              <w:rPr>
                <w:rFonts w:ascii="Times New Roman" w:cs="Times New Roman" w:eastAsia="Times New Roman" w:hAnsi="Times New Roman"/>
                <w:sz w:val="18"/>
                <w:szCs w:val="18"/>
                <w:color w:val="auto"/>
                <w:w w:val="95"/>
              </w:rPr>
              <w:t>F-1</w:t>
            </w:r>
          </w:p>
        </w:tc>
        <w:tc>
          <w:tcPr>
            <w:tcW w:w="1820" w:type="dxa"/>
            <w:vAlign w:val="bottom"/>
          </w:tcPr>
          <w:p>
            <w:pPr>
              <w:spacing w:after="0"/>
              <w:rPr>
                <w:sz w:val="24"/>
                <w:szCs w:val="24"/>
                <w:color w:val="auto"/>
              </w:rPr>
            </w:pPr>
          </w:p>
        </w:tc>
      </w:tr>
      <w:tr>
        <w:trPr>
          <w:trHeight w:val="115"/>
        </w:trPr>
        <w:tc>
          <w:tcPr>
            <w:tcW w:w="2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Definitive Healthcare Corp.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Definitive Healthcare Corp. and subsidiaries (the “Company”) as of December 31, 2022 and 2021, the related consolidated statements of operations, comprehensive loss, changes in members’ equity and total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2023, expressed an unqualified opinion on the Company's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87" w:lineRule="exact"/>
        <w:rPr>
          <w:sz w:val="20"/>
          <w:szCs w:val="20"/>
          <w:color w:val="auto"/>
        </w:rPr>
      </w:pPr>
    </w:p>
    <w:p>
      <w:pPr>
        <w:ind w:right="5500"/>
        <w:spacing w:after="0" w:line="378" w:lineRule="auto"/>
        <w:rPr>
          <w:sz w:val="20"/>
          <w:szCs w:val="20"/>
          <w:color w:val="auto"/>
        </w:rPr>
      </w:pPr>
      <w:r>
        <w:rPr>
          <w:rFonts w:ascii="Times New Roman" w:cs="Times New Roman" w:eastAsia="Times New Roman" w:hAnsi="Times New Roman"/>
          <w:sz w:val="18"/>
          <w:szCs w:val="18"/>
          <w:b w:val="1"/>
          <w:bCs w:val="1"/>
          <w:color w:val="auto"/>
        </w:rPr>
        <w:t>Goodwill Impairment — Refer to Notes 2 and 9 to the financial statements Critical Audit Matter Description</w:t>
      </w:r>
    </w:p>
    <w:p>
      <w:pPr>
        <w:spacing w:after="0" w:line="253"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its one reporting unit to its carrying value. The Company determines the fair value of its reporting unit using income and market approaches. The determination of the fair value using an income approach involved the use of a projected discounted cash flow model that requires management to make significant estimates and assumptions, including the discount rate and forecasts of future revenues and cash flows, among others. The determination of the fair value using the market approach required management to make a significant assumption to determine the estimated control premium. The goodwill balance for Definitive Healthcare Corp. was $1,323 million as of December 31, 2022, and as the fair value of Definitive Healthcare Corp.’s one reporting unit exceeded its carrying value as of December 31, 2022, no impairment was recognized.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7" w:name="page78"/>
    <w:bookmarkEnd w:id="77"/>
    <w:p>
      <w:pPr>
        <w:ind w:right="40"/>
        <w:spacing w:after="0" w:line="261" w:lineRule="auto"/>
        <w:rPr>
          <w:sz w:val="20"/>
          <w:szCs w:val="20"/>
          <w:color w:val="auto"/>
        </w:rPr>
      </w:pPr>
      <w:r>
        <w:rPr>
          <w:rFonts w:ascii="Times New Roman" w:cs="Times New Roman" w:eastAsia="Times New Roman" w:hAnsi="Times New Roman"/>
          <w:sz w:val="18"/>
          <w:szCs w:val="18"/>
          <w:color w:val="auto"/>
        </w:rPr>
        <w:t>We identified the valuation of goodwill for the Company’s reporting unit as a critical audit matter because of the significant judgments made by management to estimate the fair value of the reporting unit. This required a high degree of auditor judgment and an increased extent of effort, including the need to involve our fair value specialists, when performing audit procedures to evaluate the reasonableness of management’s estimates and assumptions related to the discount rate, forecasts of future revenues and cash flows and the estimated control premium.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estimates and assumptions used in its income and market approach models included the following, among others:</w:t>
      </w:r>
    </w:p>
    <w:p>
      <w:pPr>
        <w:spacing w:after="0" w:line="54"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controls related to management’s selection of the discount rate, forecasts of future revenues and cash flows and the estimated control premium.</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future revenues and cash flows by comparing management’s estimates to (1) historical results, (2) internal communications to management and the Board of Directors, and (3) forecasted information included in Company press releases, analyst and industry reports of the Company and companies in its peer group.</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discount rate, including testing the underlying source information and the mathematical accuracy of the calculations, and developing a range of independent estimates and comparing those to the discount rate selected by management.</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Company’s control premium by comparing it to data from publicly available premium studies for public company transactions.</w:t>
      </w:r>
    </w:p>
    <w:p>
      <w:pPr>
        <w:spacing w:after="0" w:line="266" w:lineRule="exact"/>
        <w:rPr>
          <w:sz w:val="20"/>
          <w:szCs w:val="20"/>
          <w:color w:val="auto"/>
        </w:rPr>
      </w:pPr>
    </w:p>
    <w:p>
      <w:pPr>
        <w:ind w:right="5480"/>
        <w:spacing w:after="0" w:line="377" w:lineRule="auto"/>
        <w:rPr>
          <w:sz w:val="20"/>
          <w:szCs w:val="20"/>
          <w:color w:val="auto"/>
        </w:rPr>
      </w:pPr>
      <w:r>
        <w:rPr>
          <w:rFonts w:ascii="Times New Roman" w:cs="Times New Roman" w:eastAsia="Times New Roman" w:hAnsi="Times New Roman"/>
          <w:sz w:val="18"/>
          <w:szCs w:val="18"/>
          <w:b w:val="1"/>
          <w:bCs w:val="1"/>
          <w:color w:val="auto"/>
        </w:rPr>
        <w:t>Income Tax Structure — Refer to Note 2 and 19 to the financial statements Critical Audit Matter Description</w:t>
      </w:r>
    </w:p>
    <w:p>
      <w:pPr>
        <w:spacing w:after="0" w:line="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September 17, 2021, the Company completed its initial public offering in a series of transaction steps, which resulted in Definitive Healthcare Corp owning a majority of AIDH TopCo, LLC. Definitive Healthcare Corp is a C-corporation holding company owning a partnership interest in AIDH TopCo, LLC, commonly referred to as an Up-C structure. In connection with the initial public offering, the Company entered into a Tax Receivable Agreement ("TRA") and recorded a liability under the TRA. The balance of the TRA liability at December 31, 2022 was $156.3 million. Under the TRA, the Company generally will be required to pay certain pre-IPO owners 85% of the amount of cash savings, if any, in U.S. federal, state, or local tax that the Company actually realizes. The payments related to the initial and subsequent exchanges are treated as additional consideration paid, which in turn increases the tax basis of the Company’s investment in the Partnership. Most of this tax basis is amortizable under requisite sections of the Internal Revenue Code.</w:t>
      </w:r>
    </w:p>
    <w:p>
      <w:pPr>
        <w:spacing w:after="0" w:line="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amounts payable, as well as the timing of such payments, under the TRA are dependent upon significant future events and assumptions, including among others: (i) the amount and timing of exchanges, (ii) the characterization of the tax basis step-up, (iii) the depreciation and amortization periods that apply to the increase in tax basis (iv), the amount and timing of taxable income the Company generates in the future and (v) the U.S. federal income tax rate then applicable.</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Given the complexity of the calculation and high volume of inputs used to estimate the TRA liability, performing audit procedures to evaluate the accuracy of the calculation and appropriateness of the inputs required a high degree of auditor judgment and an increased extent of effort, including the need to involve our income tax specialists who possess significant tax regulation and TRA calculation expertise.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TRA liability included the following, among others:</w:t>
      </w:r>
    </w:p>
    <w:p>
      <w:pPr>
        <w:spacing w:after="0" w:line="117" w:lineRule="exact"/>
        <w:rPr>
          <w:sz w:val="20"/>
          <w:szCs w:val="20"/>
          <w:color w:val="auto"/>
        </w:rPr>
      </w:pPr>
    </w:p>
    <w:p>
      <w:pPr>
        <w:ind w:left="1020" w:right="6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determination of the TRA liability, including controls over significant tax judgments and estimates.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our audit procedures related to the TRA liability included evaluating and assessing the following, among others:</w:t>
      </w:r>
    </w:p>
    <w:p>
      <w:pPr>
        <w:spacing w:after="0" w:line="53" w:lineRule="exact"/>
        <w:rPr>
          <w:rFonts w:ascii="Times New Roman" w:cs="Times New Roman" w:eastAsia="Times New Roman" w:hAnsi="Times New Roman"/>
          <w:sz w:val="18"/>
          <w:szCs w:val="18"/>
          <w:color w:val="auto"/>
        </w:rPr>
      </w:pPr>
    </w:p>
    <w:p>
      <w:pPr>
        <w:ind w:left="1540" w:right="1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evaluated the appropriateness of management’s application of the accounting for the TRA liability, and the reasonableness of the methods, inputs, and assumptions used by management to determine the TRA liability.</w:t>
      </w:r>
    </w:p>
    <w:p>
      <w:pPr>
        <w:spacing w:after="0" w:line="53" w:lineRule="exact"/>
        <w:rPr>
          <w:rFonts w:ascii="Times New Roman" w:cs="Times New Roman" w:eastAsia="Times New Roman" w:hAnsi="Times New Roman"/>
          <w:sz w:val="18"/>
          <w:szCs w:val="18"/>
          <w:color w:val="auto"/>
        </w:rPr>
      </w:pPr>
    </w:p>
    <w:p>
      <w:pPr>
        <w:ind w:left="1540" w:right="3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evaluated the impact of partnership exchange transactions on the computation of the TRA liability by performing testing, on a sample basis, of exchanges, tax basis amounts and calculations related to the step-up in basis.</w:t>
      </w:r>
    </w:p>
    <w:p>
      <w:pPr>
        <w:spacing w:after="0" w:line="53"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tested the appropriateness of the tax rates and tax amortization utilized in the determination of the TRA liability, by agreeing to the terms in the TRA and applicable federal and state tax laws.</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We tested the mathematical accuracy of the TRA liability calculation by recomputing the liability.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9" w:name="page80"/>
    <w:bookmarkEnd w:id="7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and par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146,934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deferred contract costs</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413,745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 net of current portion</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1,323,102</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1,261,444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2,120,993</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2,115,988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99,692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132,503</w:t>
            </w: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255,765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receivable agreements liability</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156,311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633,772</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Common Stock, par value $0.001, 600,000,000 shares authorized, 105,138,273 and</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97,030,095 shares issued and outstanding at December 31, 2022 and 2021, respectively</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 par value $0.00001, 65,000,000 shares authorized, 50,433,101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48,923,952 shares issued and outstanding, respectively, at December 31, 2022, and 58,244,627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55,488,221 shares issued and outstanding, respectively, at December 31, 2021</w:t>
            </w:r>
          </w:p>
        </w:tc>
        <w:tc>
          <w:tcPr>
            <w:tcW w:w="160" w:type="dxa"/>
            <w:vAlign w:val="bottom"/>
          </w:tcPr>
          <w:p>
            <w:pPr>
              <w:spacing w:after="0"/>
              <w:rPr>
                <w:sz w:val="20"/>
                <w:szCs w:val="20"/>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972,077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890,724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(23,714 )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(17,677 )</w:t>
            </w:r>
          </w:p>
        </w:tc>
        <w:tc>
          <w:tcPr>
            <w:tcW w:w="0" w:type="dxa"/>
            <w:vAlign w:val="bottom"/>
          </w:tcPr>
          <w:p>
            <w:pPr>
              <w:spacing w:after="0"/>
              <w:rPr>
                <w:sz w:val="1"/>
                <w:szCs w:val="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535,085</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1,487,221</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1,503,262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2,120,993</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2,115,988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F-5</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7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-6282690</wp:posOffset>
            </wp:positionV>
            <wp:extent cx="6858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-6282690</wp:posOffset>
            </wp:positionV>
            <wp:extent cx="6858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-5039995</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-5039995</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-3771265</wp:posOffset>
            </wp:positionV>
            <wp:extent cx="6858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-2527935</wp:posOffset>
            </wp:positionV>
            <wp:extent cx="6858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-548005</wp:posOffset>
            </wp:positionV>
            <wp:extent cx="6858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(amounts in thousands, except share amounts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166,154</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exclusive of amortization</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180,028</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125,465</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87,849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56,387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48,781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150,446</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3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(8,413 )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(25,871 )</w:t>
            </w: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(36,490 )</w:t>
            </w:r>
          </w:p>
        </w:tc>
        <w:tc>
          <w:tcPr>
            <w:tcW w:w="0" w:type="dxa"/>
            <w:vAlign w:val="bottom"/>
          </w:tcPr>
          <w:p>
            <w:pPr>
              <w:spacing w:after="0"/>
              <w:rPr>
                <w:sz w:val="1"/>
                <w:szCs w:val="1"/>
                <w:color w:val="auto"/>
              </w:rPr>
            </w:pPr>
          </w:p>
        </w:tc>
      </w:tr>
      <w:tr>
        <w:trPr>
          <w:trHeight w:val="243"/>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(9,873 )</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(35,601 )</w:t>
            </w: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(36,712 )</w:t>
            </w:r>
          </w:p>
        </w:tc>
        <w:tc>
          <w:tcPr>
            <w:tcW w:w="0" w:type="dxa"/>
            <w:vAlign w:val="bottom"/>
          </w:tcPr>
          <w:p>
            <w:pPr>
              <w:spacing w:after="0"/>
              <w:rPr>
                <w:sz w:val="1"/>
                <w:szCs w:val="1"/>
                <w:color w:val="auto"/>
              </w:rPr>
            </w:pPr>
          </w:p>
        </w:tc>
      </w:tr>
      <w:tr>
        <w:trPr>
          <w:trHeight w:val="241"/>
        </w:trPr>
        <w:tc>
          <w:tcPr>
            <w:tcW w:w="62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(60,582</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(675 )</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(61,257</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1"/>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Definitive OpCo prior to the Reorganization</w:t>
            </w:r>
          </w:p>
        </w:tc>
        <w:tc>
          <w:tcPr>
            <w:tcW w:w="32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(33,343 )</w:t>
            </w:r>
          </w:p>
        </w:tc>
        <w:tc>
          <w:tcPr>
            <w:tcW w:w="340" w:type="dxa"/>
            <w:vAlign w:val="bottom"/>
          </w:tcPr>
          <w:p>
            <w:pPr>
              <w:spacing w:after="0"/>
              <w:rPr>
                <w:sz w:val="18"/>
                <w:szCs w:val="18"/>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(51,157 )</w:t>
            </w:r>
          </w:p>
        </w:tc>
        <w:tc>
          <w:tcPr>
            <w:tcW w:w="0" w:type="dxa"/>
            <w:vAlign w:val="bottom"/>
          </w:tcPr>
          <w:p>
            <w:pPr>
              <w:spacing w:after="0"/>
              <w:rPr>
                <w:sz w:val="1"/>
                <w:szCs w:val="1"/>
                <w:color w:val="auto"/>
              </w:rPr>
            </w:pPr>
          </w:p>
        </w:tc>
      </w:tr>
      <w:tr>
        <w:trPr>
          <w:trHeight w:val="126"/>
        </w:trPr>
        <w:tc>
          <w:tcPr>
            <w:tcW w:w="6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Transactions</w:t>
            </w:r>
          </w:p>
        </w:tc>
        <w:tc>
          <w:tcPr>
            <w:tcW w:w="3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2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(16,218 )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(10,237 )</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(6,037 )</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(17,677 )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Common Stock:</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(0.19 )</w:t>
            </w:r>
          </w:p>
        </w:tc>
        <w:tc>
          <w:tcPr>
            <w:tcW w:w="340" w:type="dxa"/>
            <w:vAlign w:val="bottom"/>
          </w:tcPr>
          <w:p>
            <w:pPr>
              <w:spacing w:after="0"/>
              <w:rPr>
                <w:sz w:val="21"/>
                <w:szCs w:val="21"/>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outstanding:</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Basic and diluted </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101,114,105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91,916,151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-3805555</wp:posOffset>
            </wp:positionV>
            <wp:extent cx="76835"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-3805555</wp:posOffset>
            </wp:positionV>
            <wp:extent cx="6858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-2870835</wp:posOffset>
            </wp:positionV>
            <wp:extent cx="7683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-2870835</wp:posOffset>
            </wp:positionV>
            <wp:extent cx="685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-1927860</wp:posOffset>
            </wp:positionV>
            <wp:extent cx="7683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-1927860</wp:posOffset>
            </wp:positionV>
            <wp:extent cx="685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-839470</wp:posOffset>
            </wp:positionV>
            <wp:extent cx="7683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-839470</wp:posOffset>
            </wp:positionV>
            <wp:extent cx="6858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ind w:right="40" w:firstLine="517"/>
        <w:spacing w:after="0" w:line="241" w:lineRule="auto"/>
        <w:tabs>
          <w:tab w:leader="none" w:pos="71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loss per share of Class A Common Stock is applicable only for the year ended December 31, 2022 and for the period from September 15, 2021 through December 31, 2021, which is the period following the IPO and related Reorganization Transactions. See Note 20 for the number of shares used in the computation of net loss per share of Class A Common Stock and the basis for the computation of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-301625</wp:posOffset>
            </wp:positionV>
            <wp:extent cx="20231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(22,255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(61,257</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39"/>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8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interest rate hedging instruments</w:t>
            </w:r>
          </w:p>
        </w:tc>
        <w:tc>
          <w:tcPr>
            <w:tcW w:w="8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8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(16,761 )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(61,064 )</w:t>
            </w: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(51,288 )</w:t>
            </w:r>
          </w:p>
        </w:tc>
      </w:tr>
      <w:tr>
        <w:trPr>
          <w:trHeight w:val="215"/>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Comprehensive loss attributable to Definitive OpCo prior to the</w:t>
            </w: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Reorganization Transactions</w:t>
            </w:r>
          </w:p>
        </w:tc>
        <w:tc>
          <w:tcPr>
            <w:tcW w:w="8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(33,201 )</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(51,288 )</w:t>
            </w:r>
          </w:p>
        </w:tc>
      </w:tr>
      <w:tr>
        <w:trPr>
          <w:trHeight w:val="239"/>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8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(14,330 )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(10,237 )</w:t>
            </w:r>
          </w:p>
        </w:tc>
        <w:tc>
          <w:tcPr>
            <w:tcW w:w="34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6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loss attributable to Definitive Healthcare Corp.</w:t>
            </w: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-796290</wp:posOffset>
            </wp:positionV>
            <wp:extent cx="6858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-796290</wp:posOffset>
            </wp:positionV>
            <wp:extent cx="6858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 AND TOTAL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(amounts in thousands, except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   Comprehensi</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15"/>
                <w:szCs w:val="15"/>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5"/>
                <w:szCs w:val="15"/>
                <w:color w:val="auto"/>
              </w:rPr>
            </w:pP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d</w:t>
            </w:r>
          </w:p>
        </w:tc>
        <w:tc>
          <w:tcPr>
            <w:tcW w:w="7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0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6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9"/>
        </w:trPr>
        <w:tc>
          <w:tcPr>
            <w:tcW w:w="248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880" w:type="dxa"/>
            <w:vAlign w:val="bottom"/>
            <w:gridSpan w:val="3"/>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70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97,030,095</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58,244,627</w:t>
            </w: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890,724</w:t>
            </w: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630,056</w:t>
            </w: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1,503,262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(6,037 )</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(16,218 )</w:t>
            </w:r>
          </w:p>
        </w:tc>
        <w:tc>
          <w:tcPr>
            <w:tcW w:w="1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(22,255 )</w:t>
            </w:r>
          </w:p>
        </w:tc>
        <w:tc>
          <w:tcPr>
            <w:tcW w:w="0" w:type="dxa"/>
            <w:vAlign w:val="bottom"/>
          </w:tcPr>
          <w:p>
            <w:pPr>
              <w:spacing w:after="0"/>
              <w:rPr>
                <w:sz w:val="1"/>
                <w:szCs w:val="1"/>
                <w:color w:val="auto"/>
              </w:rPr>
            </w:pPr>
          </w:p>
        </w:tc>
      </w:tr>
      <w:tr>
        <w:trPr>
          <w:trHeight w:val="176"/>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incentive units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(7,955 )</w:t>
            </w:r>
          </w:p>
        </w:tc>
        <w:tc>
          <w:tcPr>
            <w:tcW w:w="140" w:type="dxa"/>
            <w:vAlign w:val="bottom"/>
          </w:tcPr>
          <w:p>
            <w:pPr>
              <w:spacing w:after="0"/>
              <w:rPr>
                <w:sz w:val="15"/>
                <w:szCs w:val="15"/>
                <w:color w:val="auto"/>
              </w:rPr>
            </w:pPr>
          </w:p>
        </w:tc>
        <w:tc>
          <w:tcPr>
            <w:tcW w:w="8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4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Class A Common Stock upon</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716,776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3"/>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(1,717 )</w:t>
            </w: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gridSpan w:val="3"/>
            <w:vMerge w:val="continue"/>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(233,252 )</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(4,116 )</w:t>
            </w:r>
          </w:p>
        </w:tc>
        <w:tc>
          <w:tcPr>
            <w:tcW w:w="140" w:type="dxa"/>
            <w:vAlign w:val="bottom"/>
          </w:tcPr>
          <w:p>
            <w:pPr>
              <w:spacing w:after="0"/>
              <w:rPr>
                <w:sz w:val="12"/>
                <w:szCs w:val="12"/>
                <w:color w:val="auto"/>
              </w:rPr>
            </w:pPr>
          </w:p>
        </w:tc>
        <w:tc>
          <w:tcPr>
            <w:tcW w:w="88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(4,116 )</w:t>
            </w:r>
          </w:p>
        </w:tc>
        <w:tc>
          <w:tcPr>
            <w:tcW w:w="0" w:type="dxa"/>
            <w:vAlign w:val="bottom"/>
          </w:tcPr>
          <w:p>
            <w:pPr>
              <w:spacing w:after="0"/>
              <w:rPr>
                <w:sz w:val="1"/>
                <w:szCs w:val="1"/>
                <w:color w:val="auto"/>
              </w:rPr>
            </w:pPr>
          </w:p>
        </w:tc>
      </w:tr>
      <w:tr>
        <w:trPr>
          <w:trHeight w:val="18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LLC unit exchanges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7,624,654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(7,624,654 )</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63,481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(82,216 )</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(18,727 )</w:t>
            </w: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 unvested incentive units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(186,872 )</w:t>
            </w:r>
          </w:p>
        </w:tc>
        <w:tc>
          <w:tcPr>
            <w:tcW w:w="140" w:type="dxa"/>
            <w:vAlign w:val="bottom"/>
          </w:tcPr>
          <w:p>
            <w:pPr>
              <w:spacing w:after="0"/>
              <w:rPr>
                <w:sz w:val="15"/>
                <w:szCs w:val="15"/>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24,172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12,262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(16,925 )</w:t>
            </w:r>
          </w:p>
        </w:tc>
        <w:tc>
          <w:tcPr>
            <w:tcW w:w="1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(12,871 )</w:t>
            </w:r>
          </w:p>
        </w:tc>
        <w:tc>
          <w:tcPr>
            <w:tcW w:w="0" w:type="dxa"/>
            <w:vAlign w:val="bottom"/>
          </w:tcPr>
          <w:p>
            <w:pPr>
              <w:spacing w:after="0"/>
              <w:rPr>
                <w:sz w:val="1"/>
                <w:szCs w:val="1"/>
                <w:color w:val="auto"/>
              </w:rPr>
            </w:pPr>
          </w:p>
        </w:tc>
      </w:tr>
      <w:tr>
        <w:trPr>
          <w:trHeight w:val="209"/>
        </w:trPr>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105,138,273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50,433,101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972,077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(23,714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535,085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1,487,221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-25400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-8255</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-25400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-8255</wp:posOffset>
            </wp:positionV>
            <wp:extent cx="768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-25400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 AND TOTAL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unit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00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AIDH TopCo,</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LLC</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(Prior to</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000" w:type="dxa"/>
            <w:vAlign w:val="bottom"/>
            <w:tcBorders>
              <w:right w:val="single" w:sz="8" w:color="auto"/>
            </w:tcBorders>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Reorganizatio</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n</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Transactions)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Definitive Healthcare Corp.</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3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Accumulat</w:t>
            </w: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w:t>
            </w: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Comprehe</w:t>
            </w:r>
          </w:p>
        </w:tc>
        <w:tc>
          <w:tcPr>
            <w:tcW w:w="10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Members'</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0"/>
              </w:rPr>
              <w:t>Paid-In</w:t>
            </w:r>
          </w:p>
        </w:tc>
        <w:tc>
          <w:tcPr>
            <w:tcW w:w="100" w:type="dxa"/>
            <w:vAlign w:val="bottom"/>
          </w:tcPr>
          <w:p>
            <w:pPr>
              <w:spacing w:after="0"/>
              <w:rPr>
                <w:sz w:val="14"/>
                <w:szCs w:val="14"/>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ted</w:t>
            </w:r>
          </w:p>
        </w:tc>
        <w:tc>
          <w:tcPr>
            <w:tcW w:w="100" w:type="dxa"/>
            <w:vAlign w:val="bottom"/>
          </w:tcPr>
          <w:p>
            <w:pPr>
              <w:spacing w:after="0"/>
              <w:rPr>
                <w:sz w:val="14"/>
                <w:szCs w:val="14"/>
                <w:color w:val="auto"/>
              </w:rPr>
            </w:pPr>
          </w:p>
        </w:tc>
        <w:tc>
          <w:tcPr>
            <w:tcW w:w="56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2"/>
              </w:rPr>
              <w:t>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ling</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00" w:type="dxa"/>
            <w:vAlign w:val="bottom"/>
          </w:tcPr>
          <w:p>
            <w:pPr>
              <w:spacing w:after="0"/>
              <w:rPr>
                <w:sz w:val="14"/>
                <w:szCs w:val="14"/>
                <w:color w:val="auto"/>
              </w:rPr>
            </w:pPr>
          </w:p>
        </w:tc>
        <w:tc>
          <w:tcPr>
            <w:tcW w:w="56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1,195,694</w:t>
            </w:r>
          </w:p>
        </w:tc>
        <w:tc>
          <w:tcPr>
            <w:tcW w:w="180" w:type="dxa"/>
            <w:vAlign w:val="bottom"/>
            <w:tcBorders>
              <w:right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$ 1,195,563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prior to Reorganization Transactions</w:t>
            </w:r>
          </w:p>
        </w:tc>
        <w:tc>
          <w:tcPr>
            <w:tcW w:w="12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(33,343 )</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(33,343 )</w:t>
            </w:r>
          </w:p>
        </w:tc>
        <w:tc>
          <w:tcPr>
            <w:tcW w:w="0" w:type="dxa"/>
            <w:vAlign w:val="bottom"/>
          </w:tcPr>
          <w:p>
            <w:pPr>
              <w:spacing w:after="0"/>
              <w:rPr>
                <w:sz w:val="1"/>
                <w:szCs w:val="1"/>
                <w:color w:val="auto"/>
              </w:rPr>
            </w:pPr>
          </w:p>
        </w:tc>
      </w:tr>
      <w:tr>
        <w:trPr>
          <w:trHeight w:val="139"/>
        </w:trPr>
        <w:tc>
          <w:tcPr>
            <w:tcW w:w="35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 income prior to Reorganization</w:t>
            </w:r>
          </w:p>
        </w:tc>
        <w:tc>
          <w:tcPr>
            <w:tcW w:w="12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20" w:type="dxa"/>
            <w:vAlign w:val="bottom"/>
            <w:shd w:val="clear" w:color="auto" w:fill="CFF0FC"/>
          </w:tcPr>
          <w:p>
            <w:pPr>
              <w:spacing w:after="0"/>
              <w:rPr>
                <w:sz w:val="16"/>
                <w:szCs w:val="16"/>
                <w:color w:val="auto"/>
              </w:rPr>
            </w:pPr>
          </w:p>
        </w:tc>
        <w:tc>
          <w:tcPr>
            <w:tcW w:w="880" w:type="dxa"/>
            <w:vAlign w:val="bottom"/>
            <w:tcBorders>
              <w:right w:val="single" w:sz="8" w:color="auto"/>
            </w:tcBorders>
            <w:gridSpan w:val="2"/>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Equity-based compensation prior to Reorganization</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80" w:type="dxa"/>
            <w:vAlign w:val="bottom"/>
            <w:tcBorders>
              <w:right w:val="single" w:sz="8" w:color="auto"/>
            </w:tcBorders>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Members' contributions prior to Reorganization Transactions</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80" w:type="dxa"/>
            <w:vAlign w:val="bottom"/>
            <w:tcBorders>
              <w:right w:val="single" w:sz="8" w:color="auto"/>
            </w:tcBorders>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to members prior to Reorganization</w:t>
            </w:r>
          </w:p>
        </w:tc>
        <w:tc>
          <w:tcPr>
            <w:tcW w:w="120" w:type="dxa"/>
            <w:vAlign w:val="bottom"/>
          </w:tcPr>
          <w:p>
            <w:pPr>
              <w:spacing w:after="0"/>
              <w:rPr>
                <w:sz w:val="12"/>
                <w:szCs w:val="12"/>
                <w:color w:val="auto"/>
              </w:rPr>
            </w:pPr>
          </w:p>
        </w:tc>
        <w:tc>
          <w:tcPr>
            <w:tcW w:w="88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(7,139 )</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(7,139 )</w:t>
            </w:r>
          </w:p>
        </w:tc>
        <w:tc>
          <w:tcPr>
            <w:tcW w:w="0" w:type="dxa"/>
            <w:vAlign w:val="bottom"/>
          </w:tcPr>
          <w:p>
            <w:pPr>
              <w:spacing w:after="0"/>
              <w:rPr>
                <w:sz w:val="1"/>
                <w:szCs w:val="1"/>
                <w:color w:val="auto"/>
              </w:rPr>
            </w:pPr>
          </w:p>
        </w:tc>
      </w:tr>
      <w:tr>
        <w:trPr>
          <w:trHeight w:val="18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2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4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Impacts of Reorganization Transactions and Initial</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Public Offering IPO</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tcBorders>
              <w:right w:val="single" w:sz="8" w:color="auto"/>
            </w:tcBorders>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Initial effect of the Reorganization Transactions and IPO on</w:t>
            </w:r>
          </w:p>
        </w:tc>
        <w:tc>
          <w:tcPr>
            <w:tcW w:w="120" w:type="dxa"/>
            <w:vAlign w:val="bottom"/>
          </w:tcPr>
          <w:p>
            <w:pPr>
              <w:spacing w:after="0"/>
              <w:rPr>
                <w:sz w:val="12"/>
                <w:szCs w:val="12"/>
                <w:color w:val="auto"/>
              </w:rPr>
            </w:pPr>
          </w:p>
        </w:tc>
        <w:tc>
          <w:tcPr>
            <w:tcW w:w="88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(1,162,455 )</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72,871,73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61,262,05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351,074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593,861</w:t>
            </w:r>
          </w:p>
        </w:tc>
        <w:tc>
          <w:tcPr>
            <w:tcW w:w="120" w:type="dxa"/>
            <w:vAlign w:val="bottom"/>
          </w:tcPr>
          <w:p>
            <w:pPr>
              <w:spacing w:after="0"/>
              <w:rPr>
                <w:sz w:val="12"/>
                <w:szCs w:val="12"/>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(217,447 )</w:t>
            </w:r>
          </w:p>
        </w:tc>
        <w:tc>
          <w:tcPr>
            <w:tcW w:w="0" w:type="dxa"/>
            <w:vAlign w:val="bottom"/>
          </w:tcPr>
          <w:p>
            <w:pPr>
              <w:spacing w:after="0"/>
              <w:rPr>
                <w:sz w:val="1"/>
                <w:szCs w:val="1"/>
                <w:color w:val="auto"/>
              </w:rPr>
            </w:pPr>
          </w:p>
        </w:tc>
      </w:tr>
      <w:tr>
        <w:trPr>
          <w:trHeight w:val="18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Class A Common Stock in IPO, net of costs of</w:t>
            </w:r>
          </w:p>
        </w:tc>
        <w:tc>
          <w:tcPr>
            <w:tcW w:w="12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17,888,88</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441,400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441,418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$11,394</w:t>
            </w:r>
          </w:p>
        </w:tc>
        <w:tc>
          <w:tcPr>
            <w:tcW w:w="120" w:type="dxa"/>
            <w:vAlign w:val="bottom"/>
            <w:shd w:val="clear" w:color="auto" w:fill="CFF0FC"/>
          </w:tcPr>
          <w:p>
            <w:pPr>
              <w:spacing w:after="0"/>
              <w:rPr>
                <w:sz w:val="16"/>
                <w:szCs w:val="16"/>
                <w:color w:val="auto"/>
              </w:rPr>
            </w:pPr>
          </w:p>
        </w:tc>
        <w:tc>
          <w:tcPr>
            <w:tcW w:w="880" w:type="dxa"/>
            <w:vAlign w:val="bottom"/>
            <w:tcBorders>
              <w:right w:val="single" w:sz="8" w:color="auto"/>
            </w:tcBorders>
            <w:gridSpan w:val="2"/>
            <w:vMerge w:val="continue"/>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Repurchase of Definitive Healthcare Corp. shares in</w:t>
            </w:r>
          </w:p>
        </w:tc>
        <w:tc>
          <w:tcPr>
            <w:tcW w:w="120" w:type="dxa"/>
            <w:vAlign w:val="bottom"/>
          </w:tcPr>
          <w:p>
            <w:pPr>
              <w:spacing w:after="0"/>
              <w:rPr>
                <w:sz w:val="12"/>
                <w:szCs w:val="12"/>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(2,497,288 )</w:t>
            </w:r>
          </w:p>
        </w:tc>
        <w:tc>
          <w:tcPr>
            <w:tcW w:w="200" w:type="dxa"/>
            <w:vAlign w:val="bottom"/>
          </w:tcPr>
          <w:p>
            <w:pPr>
              <w:spacing w:after="0"/>
              <w:rPr>
                <w:sz w:val="12"/>
                <w:szCs w:val="12"/>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(3 )</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(63,209 )</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(63,212 )</w:t>
            </w:r>
          </w:p>
        </w:tc>
        <w:tc>
          <w:tcPr>
            <w:tcW w:w="0" w:type="dxa"/>
            <w:vAlign w:val="bottom"/>
          </w:tcPr>
          <w:p>
            <w:pPr>
              <w:spacing w:after="0"/>
              <w:rPr>
                <w:sz w:val="1"/>
                <w:szCs w:val="1"/>
                <w:color w:val="auto"/>
              </w:rPr>
            </w:pPr>
          </w:p>
        </w:tc>
      </w:tr>
      <w:tr>
        <w:trPr>
          <w:trHeight w:val="18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connection with the IPO</w:t>
            </w:r>
          </w:p>
        </w:tc>
        <w:tc>
          <w:tcPr>
            <w:tcW w:w="12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Repurchase of Definitive OpCo units in connection with</w:t>
            </w:r>
          </w:p>
        </w:tc>
        <w:tc>
          <w:tcPr>
            <w:tcW w:w="12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(1,169,378 )</w:t>
            </w:r>
          </w:p>
        </w:tc>
        <w:tc>
          <w:tcPr>
            <w:tcW w:w="14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(29,600 )</w:t>
            </w:r>
          </w:p>
        </w:tc>
        <w:tc>
          <w:tcPr>
            <w:tcW w:w="10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(29,600 )</w:t>
            </w: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IPO</w:t>
            </w:r>
          </w:p>
        </w:tc>
        <w:tc>
          <w:tcPr>
            <w:tcW w:w="120" w:type="dxa"/>
            <w:vAlign w:val="bottom"/>
            <w:shd w:val="clear" w:color="auto" w:fill="CFF0FC"/>
          </w:tcPr>
          <w:p>
            <w:pPr>
              <w:spacing w:after="0"/>
              <w:rPr>
                <w:sz w:val="16"/>
                <w:szCs w:val="16"/>
                <w:color w:val="auto"/>
              </w:rPr>
            </w:pPr>
          </w:p>
        </w:tc>
        <w:tc>
          <w:tcPr>
            <w:tcW w:w="880" w:type="dxa"/>
            <w:vAlign w:val="bottom"/>
            <w:tcBorders>
              <w:right w:val="single" w:sz="8" w:color="auto"/>
            </w:tcBorders>
            <w:gridSpan w:val="2"/>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Post-IPO Activity</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subsequent to Reorganization Transactions</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(17,677 )</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(10,237 )</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(27,914 )</w:t>
            </w:r>
          </w:p>
        </w:tc>
        <w:tc>
          <w:tcPr>
            <w:tcW w:w="0" w:type="dxa"/>
            <w:vAlign w:val="bottom"/>
          </w:tcPr>
          <w:p>
            <w:pPr>
              <w:spacing w:after="0"/>
              <w:rPr>
                <w:sz w:val="1"/>
                <w:szCs w:val="1"/>
                <w:color w:val="auto"/>
              </w:rPr>
            </w:pPr>
          </w:p>
        </w:tc>
      </w:tr>
      <w:tr>
        <w:trPr>
          <w:trHeight w:val="139"/>
        </w:trPr>
        <w:tc>
          <w:tcPr>
            <w:tcW w:w="3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 income subsequent to Reorganization</w:t>
            </w:r>
          </w:p>
        </w:tc>
        <w:tc>
          <w:tcPr>
            <w:tcW w:w="120" w:type="dxa"/>
            <w:vAlign w:val="bottom"/>
          </w:tcPr>
          <w:p>
            <w:pPr>
              <w:spacing w:after="0"/>
              <w:rPr>
                <w:sz w:val="12"/>
                <w:szCs w:val="12"/>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Transactions and IPO</w:t>
            </w:r>
          </w:p>
        </w:tc>
        <w:tc>
          <w:tcPr>
            <w:tcW w:w="12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Equity-based compensation subsequent to Reorganization</w:t>
            </w:r>
          </w:p>
        </w:tc>
        <w:tc>
          <w:tcPr>
            <w:tcW w:w="12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20" w:type="dxa"/>
            <w:vAlign w:val="bottom"/>
            <w:shd w:val="clear" w:color="auto" w:fill="CFF0FC"/>
          </w:tcPr>
          <w:p>
            <w:pPr>
              <w:spacing w:after="0"/>
              <w:rPr>
                <w:sz w:val="16"/>
                <w:szCs w:val="16"/>
                <w:color w:val="auto"/>
              </w:rPr>
            </w:pPr>
          </w:p>
        </w:tc>
        <w:tc>
          <w:tcPr>
            <w:tcW w:w="880" w:type="dxa"/>
            <w:vAlign w:val="bottom"/>
            <w:tcBorders>
              <w:right w:val="single" w:sz="8" w:color="auto"/>
            </w:tcBorders>
            <w:gridSpan w:val="2"/>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 unvested incentive units</w:t>
            </w:r>
          </w:p>
        </w:tc>
        <w:tc>
          <w:tcPr>
            <w:tcW w:w="12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(81,285 )</w:t>
            </w:r>
          </w:p>
        </w:tc>
        <w:tc>
          <w:tcPr>
            <w:tcW w:w="140" w:type="dxa"/>
            <w:vAlign w:val="bottom"/>
          </w:tcPr>
          <w:p>
            <w:pPr>
              <w:spacing w:after="0"/>
              <w:rPr>
                <w:sz w:val="15"/>
                <w:szCs w:val="15"/>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5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Allocation of vested incentive units to noncontrolling</w:t>
            </w:r>
          </w:p>
        </w:tc>
        <w:tc>
          <w:tcPr>
            <w:tcW w:w="12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(694 )</w:t>
            </w:r>
          </w:p>
        </w:tc>
        <w:tc>
          <w:tcPr>
            <w:tcW w:w="10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shd w:val="clear" w:color="auto" w:fill="CFF0FC"/>
          </w:tcPr>
          <w:p>
            <w:pPr>
              <w:spacing w:after="0"/>
              <w:rPr>
                <w:sz w:val="16"/>
                <w:szCs w:val="16"/>
                <w:color w:val="auto"/>
              </w:rPr>
            </w:pPr>
          </w:p>
        </w:tc>
        <w:tc>
          <w:tcPr>
            <w:tcW w:w="880" w:type="dxa"/>
            <w:vAlign w:val="bottom"/>
            <w:tcBorders>
              <w:right w:val="single" w:sz="8" w:color="auto"/>
            </w:tcBorders>
            <w:gridSpan w:val="2"/>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Class A Common Stock in follow-on offering,</w:t>
            </w:r>
          </w:p>
        </w:tc>
        <w:tc>
          <w:tcPr>
            <w:tcW w:w="120" w:type="dxa"/>
            <w:vAlign w:val="bottom"/>
          </w:tcPr>
          <w:p>
            <w:pPr>
              <w:spacing w:after="0"/>
              <w:rPr>
                <w:sz w:val="12"/>
                <w:szCs w:val="12"/>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11,000,00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380,515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380,526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of costs of $1,614</w:t>
            </w:r>
          </w:p>
        </w:tc>
        <w:tc>
          <w:tcPr>
            <w:tcW w:w="12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Repurchase of Definitive Healthcare Corp. shares in</w:t>
            </w:r>
          </w:p>
        </w:tc>
        <w:tc>
          <w:tcPr>
            <w:tcW w:w="12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(2,233,238 )</w:t>
            </w:r>
          </w:p>
        </w:tc>
        <w:tc>
          <w:tcPr>
            <w:tcW w:w="2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(2 )</w:t>
            </w: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(77,582 )</w:t>
            </w:r>
          </w:p>
        </w:tc>
        <w:tc>
          <w:tcPr>
            <w:tcW w:w="10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(77,584 )</w:t>
            </w: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connection with the follow-on offering</w:t>
            </w:r>
          </w:p>
        </w:tc>
        <w:tc>
          <w:tcPr>
            <w:tcW w:w="120" w:type="dxa"/>
            <w:vAlign w:val="bottom"/>
            <w:shd w:val="clear" w:color="auto" w:fill="CFF0FC"/>
          </w:tcPr>
          <w:p>
            <w:pPr>
              <w:spacing w:after="0"/>
              <w:rPr>
                <w:sz w:val="16"/>
                <w:szCs w:val="16"/>
                <w:color w:val="auto"/>
              </w:rPr>
            </w:pPr>
          </w:p>
        </w:tc>
        <w:tc>
          <w:tcPr>
            <w:tcW w:w="880" w:type="dxa"/>
            <w:vAlign w:val="bottom"/>
            <w:tcBorders>
              <w:right w:val="single" w:sz="8" w:color="auto"/>
            </w:tcBorders>
            <w:gridSpan w:val="2"/>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Repurchase of Definitive OpCo units in connection with</w:t>
            </w:r>
          </w:p>
        </w:tc>
        <w:tc>
          <w:tcPr>
            <w:tcW w:w="120" w:type="dxa"/>
            <w:vAlign w:val="bottom"/>
          </w:tcPr>
          <w:p>
            <w:pPr>
              <w:spacing w:after="0"/>
              <w:rPr>
                <w:sz w:val="12"/>
                <w:szCs w:val="12"/>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(1,766,762 )</w:t>
            </w:r>
          </w:p>
        </w:tc>
        <w:tc>
          <w:tcPr>
            <w:tcW w:w="140" w:type="dxa"/>
            <w:vAlign w:val="bottom"/>
          </w:tcPr>
          <w:p>
            <w:pPr>
              <w:spacing w:after="0"/>
              <w:rPr>
                <w:sz w:val="12"/>
                <w:szCs w:val="12"/>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(61,376 )</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(61,376 )</w:t>
            </w:r>
          </w:p>
        </w:tc>
        <w:tc>
          <w:tcPr>
            <w:tcW w:w="0" w:type="dxa"/>
            <w:vAlign w:val="bottom"/>
          </w:tcPr>
          <w:p>
            <w:pPr>
              <w:spacing w:after="0"/>
              <w:rPr>
                <w:sz w:val="1"/>
                <w:szCs w:val="1"/>
                <w:color w:val="auto"/>
              </w:rPr>
            </w:pPr>
          </w:p>
        </w:tc>
      </w:tr>
      <w:tr>
        <w:trPr>
          <w:trHeight w:val="18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follow-on offering</w:t>
            </w:r>
          </w:p>
        </w:tc>
        <w:tc>
          <w:tcPr>
            <w:tcW w:w="12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Effect of follow-on offering on tax receivable agreements</w:t>
            </w:r>
          </w:p>
        </w:tc>
        <w:tc>
          <w:tcPr>
            <w:tcW w:w="12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(11,291 )</w:t>
            </w:r>
          </w:p>
        </w:tc>
        <w:tc>
          <w:tcPr>
            <w:tcW w:w="10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(11,291 )</w:t>
            </w: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120" w:type="dxa"/>
            <w:vAlign w:val="bottom"/>
            <w:shd w:val="clear" w:color="auto" w:fill="CFF0FC"/>
          </w:tcPr>
          <w:p>
            <w:pPr>
              <w:spacing w:after="0"/>
              <w:rPr>
                <w:sz w:val="16"/>
                <w:szCs w:val="16"/>
                <w:color w:val="auto"/>
              </w:rPr>
            </w:pPr>
          </w:p>
        </w:tc>
        <w:tc>
          <w:tcPr>
            <w:tcW w:w="880" w:type="dxa"/>
            <w:vAlign w:val="bottom"/>
            <w:tcBorders>
              <w:right w:val="single" w:sz="8" w:color="auto"/>
            </w:tcBorders>
            <w:gridSpan w:val="2"/>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Effect of follow-on offering and repurchase on</w:t>
            </w:r>
          </w:p>
        </w:tc>
        <w:tc>
          <w:tcPr>
            <w:tcW w:w="120" w:type="dxa"/>
            <w:vAlign w:val="bottom"/>
          </w:tcPr>
          <w:p>
            <w:pPr>
              <w:spacing w:after="0"/>
              <w:rPr>
                <w:sz w:val="12"/>
                <w:szCs w:val="12"/>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(43,576 )</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43,576</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(989 )</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(989 )</w:t>
            </w:r>
          </w:p>
        </w:tc>
        <w:tc>
          <w:tcPr>
            <w:tcW w:w="0" w:type="dxa"/>
            <w:vAlign w:val="bottom"/>
          </w:tcPr>
          <w:p>
            <w:pPr>
              <w:spacing w:after="0"/>
              <w:rPr>
                <w:sz w:val="1"/>
                <w:szCs w:val="1"/>
                <w:color w:val="auto"/>
              </w:rPr>
            </w:pPr>
          </w:p>
        </w:tc>
      </w:tr>
      <w:tr>
        <w:trPr>
          <w:trHeight w:val="133"/>
        </w:trPr>
        <w:tc>
          <w:tcPr>
            <w:tcW w:w="354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FF0FC"/>
              <w:right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97,030,09</w:t>
            </w:r>
          </w:p>
        </w:tc>
        <w:tc>
          <w:tcPr>
            <w:tcW w:w="1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58,244,62</w:t>
            </w: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540" w:type="dxa"/>
            <w:vAlign w:val="bottom"/>
            <w:vMerge w:val="continue"/>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890,724</w:t>
            </w:r>
          </w:p>
        </w:tc>
        <w:tc>
          <w:tcPr>
            <w:tcW w:w="12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(17,677 )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630,056</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$ 1,503,262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35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80" w:type="dxa"/>
            <w:vAlign w:val="bottom"/>
            <w:tcBorders>
              <w:right w:val="single" w:sz="8" w:color="auto"/>
            </w:tcBorders>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-239395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-239395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-239395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-239395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-239395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-239395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-239395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-239395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-239395</wp:posOffset>
            </wp:positionV>
            <wp:extent cx="76835" cy="2400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76835" cy="24003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 AND TOTAL EQUITY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(amounts in thousands, except unit amounts)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36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center"/>
              <w:ind w:right="34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820" w:type="dxa"/>
            <w:vAlign w:val="bottom"/>
          </w:tcPr>
          <w:p>
            <w:pPr>
              <w:spacing w:after="0"/>
              <w:rPr>
                <w:sz w:val="19"/>
                <w:szCs w:val="19"/>
                <w:color w:val="auto"/>
              </w:rPr>
            </w:pPr>
          </w:p>
        </w:tc>
        <w:tc>
          <w:tcPr>
            <w:tcW w:w="134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360" w:type="dxa"/>
            <w:vAlign w:val="bottom"/>
            <w:gridSpan w:val="3"/>
          </w:tcPr>
          <w:p>
            <w:pPr>
              <w:jc w:val="center"/>
              <w:ind w:right="348"/>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16"/>
        </w:trPr>
        <w:tc>
          <w:tcPr>
            <w:tcW w:w="2820" w:type="dxa"/>
            <w:vAlign w:val="bottom"/>
          </w:tcPr>
          <w:p>
            <w:pPr>
              <w:spacing w:after="0"/>
              <w:rPr>
                <w:sz w:val="18"/>
                <w:szCs w:val="18"/>
                <w:color w:val="auto"/>
              </w:rPr>
            </w:pPr>
          </w:p>
        </w:tc>
        <w:tc>
          <w:tcPr>
            <w:tcW w:w="1340" w:type="dxa"/>
            <w:vAlign w:val="bottom"/>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8"/>
                <w:szCs w:val="18"/>
                <w:color w:val="auto"/>
              </w:rPr>
            </w:pP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360" w:type="dxa"/>
            <w:vAlign w:val="bottom"/>
            <w:gridSpan w:val="3"/>
          </w:tcPr>
          <w:p>
            <w:pPr>
              <w:jc w:val="center"/>
              <w:ind w:right="348"/>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6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January 1, 2020</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127,125,435</w:t>
            </w: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1,271,254</w:t>
            </w:r>
          </w:p>
        </w:tc>
        <w:tc>
          <w:tcPr>
            <w:tcW w:w="12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(55,758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1,216,240</w:t>
            </w:r>
          </w:p>
        </w:tc>
        <w:tc>
          <w:tcPr>
            <w:tcW w:w="100" w:type="dxa"/>
            <w:vAlign w:val="bottom"/>
            <w:shd w:val="clear" w:color="auto" w:fill="CFF0FC"/>
          </w:tcPr>
          <w:p>
            <w:pPr>
              <w:spacing w:after="0"/>
              <w:rPr>
                <w:sz w:val="14"/>
                <w:szCs w:val="14"/>
                <w:color w:val="auto"/>
              </w:rPr>
            </w:pPr>
          </w:p>
        </w:tc>
      </w:tr>
      <w:tr>
        <w:trPr>
          <w:trHeight w:val="17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(51,157 )</w:t>
            </w:r>
          </w:p>
        </w:tc>
        <w:tc>
          <w:tcPr>
            <w:tcW w:w="100" w:type="dxa"/>
            <w:vAlign w:val="bottom"/>
          </w:tcPr>
          <w:p>
            <w:pPr>
              <w:spacing w:after="0"/>
              <w:rPr>
                <w:sz w:val="15"/>
                <w:szCs w:val="15"/>
                <w:color w:val="auto"/>
              </w:rPr>
            </w:pPr>
          </w:p>
        </w:tc>
        <w:tc>
          <w:tcPr>
            <w:tcW w:w="136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(51,157 )</w:t>
            </w:r>
          </w:p>
        </w:tc>
      </w:tr>
      <w:tr>
        <w:trPr>
          <w:trHeight w:val="17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 to members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(2,940 )</w:t>
            </w:r>
          </w:p>
        </w:tc>
        <w:tc>
          <w:tcPr>
            <w:tcW w:w="100" w:type="dxa"/>
            <w:vAlign w:val="bottom"/>
            <w:shd w:val="clear" w:color="auto" w:fill="CFF0FC"/>
          </w:tcPr>
          <w:p>
            <w:pPr>
              <w:spacing w:after="0"/>
              <w:rPr>
                <w:sz w:val="15"/>
                <w:szCs w:val="15"/>
                <w:color w:val="auto"/>
              </w:rPr>
            </w:pPr>
          </w:p>
        </w:tc>
        <w:tc>
          <w:tcPr>
            <w:tcW w:w="1360" w:type="dxa"/>
            <w:vAlign w:val="bottom"/>
            <w:gridSpan w:val="3"/>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(2,940 )</w:t>
            </w:r>
          </w:p>
        </w:tc>
      </w:tr>
      <w:tr>
        <w:trPr>
          <w:trHeight w:val="17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contributions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3,120,555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31,804</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31,804</w:t>
            </w:r>
          </w:p>
        </w:tc>
        <w:tc>
          <w:tcPr>
            <w:tcW w:w="100" w:type="dxa"/>
            <w:vAlign w:val="bottom"/>
          </w:tcPr>
          <w:p>
            <w:pPr>
              <w:spacing w:after="0"/>
              <w:rPr>
                <w:sz w:val="15"/>
                <w:szCs w:val="15"/>
                <w:color w:val="auto"/>
              </w:rPr>
            </w:pPr>
          </w:p>
        </w:tc>
      </w:tr>
      <w:tr>
        <w:trPr>
          <w:trHeight w:val="17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474,920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100" w:type="dxa"/>
            <w:vAlign w:val="bottom"/>
            <w:shd w:val="clear" w:color="auto" w:fill="CFF0FC"/>
          </w:tcPr>
          <w:p>
            <w:pPr>
              <w:spacing w:after="0"/>
              <w:rPr>
                <w:sz w:val="15"/>
                <w:szCs w:val="15"/>
                <w:color w:val="auto"/>
              </w:rPr>
            </w:pPr>
          </w:p>
        </w:tc>
      </w:tr>
      <w:tr>
        <w:trPr>
          <w:trHeight w:val="17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2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(131 )</w:t>
            </w:r>
          </w:p>
        </w:tc>
      </w:tr>
      <w:tr>
        <w:trPr>
          <w:trHeight w:val="209"/>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130,245,990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1,303,058</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474,920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(109,855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1,195,563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-25400</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-7620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-25400</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-25400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8"/>
                <w:szCs w:val="18"/>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operating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(22,255 )</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(61,257 )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(51,157 )</w:t>
            </w:r>
          </w:p>
        </w:tc>
      </w:tr>
      <w:tr>
        <w:trPr>
          <w:trHeight w:val="23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54,711</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58,196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58,429</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of deferred contract costs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36,434</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paid in-kind interest expense</w:t>
            </w:r>
          </w:p>
        </w:tc>
        <w:tc>
          <w:tcPr>
            <w:tcW w:w="320" w:type="dxa"/>
            <w:vAlign w:val="bottom"/>
          </w:tcPr>
          <w:p>
            <w:pPr>
              <w:spacing w:after="0"/>
              <w:rPr>
                <w:sz w:val="19"/>
                <w:szCs w:val="19"/>
                <w:color w:val="auto"/>
              </w:rPr>
            </w:pPr>
          </w:p>
        </w:tc>
        <w:tc>
          <w:tcPr>
            <w:tcW w:w="11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Provision for doubtful accounts receivable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9,843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restructuring charges related to office leases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6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Tax receivable agreement remeasurement</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(9,374 )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Changes in fair value of contingent consideration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(17,293 )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(13,222 )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(10,726 )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(8,294 )</w:t>
            </w:r>
          </w:p>
        </w:tc>
      </w:tr>
      <w:tr>
        <w:trPr>
          <w:trHeight w:val="220"/>
        </w:trPr>
        <w:tc>
          <w:tcPr>
            <w:tcW w:w="6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(3,729 )</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(709 )</w:t>
            </w:r>
          </w:p>
        </w:tc>
      </w:tr>
      <w:tr>
        <w:trPr>
          <w:trHeight w:val="239"/>
        </w:trPr>
        <w:tc>
          <w:tcPr>
            <w:tcW w:w="66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Deferred contract costs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(15,252 )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(14,441 )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(7,685 )</w:t>
            </w:r>
          </w:p>
        </w:tc>
      </w:tr>
      <w:tr>
        <w:trPr>
          <w:trHeight w:val="220"/>
        </w:trPr>
        <w:tc>
          <w:tcPr>
            <w:tcW w:w="6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(6,400 )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6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shd w:val="clear" w:color="auto" w:fill="CFF0FC"/>
          </w:tcPr>
          <w:p>
            <w:pPr>
              <w:spacing w:after="0"/>
              <w:rPr>
                <w:sz w:val="20"/>
                <w:szCs w:val="20"/>
                <w:color w:val="auto"/>
              </w:rPr>
            </w:pP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12,104</w:t>
            </w:r>
          </w:p>
        </w:tc>
        <w:tc>
          <w:tcPr>
            <w:tcW w:w="100" w:type="dxa"/>
            <w:vAlign w:val="bottom"/>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35,579</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25,212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provided by investing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Purchases of property, equipment, and other assets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(8,326 )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(6,731 )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(1,395 )</w:t>
            </w: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(337,961 )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153,680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acquisitions and investments, net of cash acquired</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(56,296 )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(40,000 )</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(22,467 )</w:t>
            </w:r>
          </w:p>
        </w:tc>
      </w:tr>
      <w:tr>
        <w:trPr>
          <w:trHeight w:val="223"/>
        </w:trPr>
        <w:tc>
          <w:tcPr>
            <w:tcW w:w="66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(248,903</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(46,731</w:t>
            </w:r>
          </w:p>
        </w:tc>
        <w:tc>
          <w:tcPr>
            <w:tcW w:w="26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(23,862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provided by financing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term loan</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delayed draw term loan</w:t>
            </w:r>
          </w:p>
        </w:tc>
        <w:tc>
          <w:tcPr>
            <w:tcW w:w="320" w:type="dxa"/>
            <w:vAlign w:val="bottom"/>
          </w:tcPr>
          <w:p>
            <w:pPr>
              <w:spacing w:after="0"/>
              <w:rPr>
                <w:sz w:val="19"/>
                <w:szCs w:val="19"/>
                <w:color w:val="auto"/>
              </w:rPr>
            </w:pPr>
          </w:p>
        </w:tc>
        <w:tc>
          <w:tcPr>
            <w:tcW w:w="11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term loans and delayed draw term loan</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(6,875 )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(474,460 )</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(4,545 )</w:t>
            </w: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(4,116 )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revolving credit facility</w:t>
            </w:r>
          </w:p>
        </w:tc>
        <w:tc>
          <w:tcPr>
            <w:tcW w:w="320" w:type="dxa"/>
            <w:vAlign w:val="bottom"/>
          </w:tcPr>
          <w:p>
            <w:pPr>
              <w:spacing w:after="0"/>
              <w:rPr>
                <w:sz w:val="19"/>
                <w:szCs w:val="19"/>
                <w:color w:val="auto"/>
              </w:rPr>
            </w:pPr>
          </w:p>
        </w:tc>
        <w:tc>
          <w:tcPr>
            <w:tcW w:w="11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(25,000 )</w:t>
            </w: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(1,500 )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20" w:type="dxa"/>
            <w:vAlign w:val="bottom"/>
          </w:tcPr>
          <w:p>
            <w:pPr>
              <w:spacing w:after="0"/>
              <w:rPr>
                <w:sz w:val="19"/>
                <w:szCs w:val="19"/>
                <w:color w:val="auto"/>
              </w:rPr>
            </w:pPr>
          </w:p>
        </w:tc>
        <w:tc>
          <w:tcPr>
            <w:tcW w:w="11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(3,511 )</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(225 )</w:t>
            </w: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equity offering, net of underwriting discounts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834,952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outstanding equity / Definitive OpCo units</w:t>
            </w:r>
          </w:p>
        </w:tc>
        <w:tc>
          <w:tcPr>
            <w:tcW w:w="320" w:type="dxa"/>
            <w:vAlign w:val="bottom"/>
          </w:tcPr>
          <w:p>
            <w:pPr>
              <w:spacing w:after="0"/>
              <w:rPr>
                <w:sz w:val="19"/>
                <w:szCs w:val="19"/>
                <w:color w:val="auto"/>
              </w:rPr>
            </w:pPr>
          </w:p>
        </w:tc>
        <w:tc>
          <w:tcPr>
            <w:tcW w:w="11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(231,772 )</w:t>
            </w:r>
          </w:p>
        </w:tc>
        <w:tc>
          <w:tcPr>
            <w:tcW w:w="300" w:type="dxa"/>
            <w:vAlign w:val="bottom"/>
          </w:tcPr>
          <w:p>
            <w:pPr>
              <w:spacing w:after="0"/>
              <w:rPr>
                <w:sz w:val="19"/>
                <w:szCs w:val="19"/>
                <w:color w:val="auto"/>
              </w:rPr>
            </w:pP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Payments of equity offering issuance costs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(1,734 )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(11,709 )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Member contributions</w:t>
            </w:r>
          </w:p>
        </w:tc>
        <w:tc>
          <w:tcPr>
            <w:tcW w:w="320" w:type="dxa"/>
            <w:vAlign w:val="bottom"/>
          </w:tcPr>
          <w:p>
            <w:pPr>
              <w:spacing w:after="0"/>
              <w:rPr>
                <w:sz w:val="19"/>
                <w:szCs w:val="19"/>
                <w:color w:val="auto"/>
              </w:rPr>
            </w:pPr>
          </w:p>
        </w:tc>
        <w:tc>
          <w:tcPr>
            <w:tcW w:w="11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Member distributions</w:t>
            </w: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(12,871 )</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(8,128 )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(2,940 )</w:t>
            </w:r>
          </w:p>
        </w:tc>
      </w:tr>
      <w:tr>
        <w:trPr>
          <w:trHeight w:val="23"/>
        </w:trPr>
        <w:tc>
          <w:tcPr>
            <w:tcW w:w="664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(26,696 )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384,372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(240,020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362,853</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16,010</w:t>
            </w: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(544 )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(129 )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9"/>
                <w:szCs w:val="19"/>
                <w:color w:val="auto"/>
              </w:rPr>
            </w:pPr>
          </w:p>
        </w:tc>
      </w:tr>
      <w:tr>
        <w:trPr>
          <w:trHeight w:val="233"/>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387,498</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24,774</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146,934</w:t>
            </w:r>
          </w:p>
        </w:tc>
        <w:tc>
          <w:tcPr>
            <w:tcW w:w="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387,498</w:t>
            </w:r>
          </w:p>
        </w:tc>
        <w:tc>
          <w:tcPr>
            <w:tcW w:w="2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24,774</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-3719830</wp:posOffset>
            </wp:positionV>
            <wp:extent cx="7683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-3719830</wp:posOffset>
            </wp:positionV>
            <wp:extent cx="6858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-2995295</wp:posOffset>
            </wp:positionV>
            <wp:extent cx="7145020" cy="3213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7145020" cy="32131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-779145</wp:posOffset>
            </wp:positionV>
            <wp:extent cx="76835"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-779145</wp:posOffset>
            </wp:positionV>
            <wp:extent cx="68580"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-179705</wp:posOffset>
            </wp:positionV>
            <wp:extent cx="76835" cy="180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-179705</wp:posOffset>
            </wp:positionV>
            <wp:extent cx="68580" cy="180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25,958</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Pr>
          <w:p>
            <w:pPr>
              <w:spacing w:after="0"/>
              <w:rPr>
                <w:sz w:val="19"/>
                <w:szCs w:val="19"/>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assets acquired, net of cash acquired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97,296</w:t>
            </w:r>
          </w:p>
        </w:tc>
        <w:tc>
          <w:tcPr>
            <w:tcW w:w="28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43,571</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Initial cash investment in prior year</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(40,000 )</w:t>
            </w: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Capital contribution</w:t>
            </w:r>
          </w:p>
        </w:tc>
        <w:tc>
          <w:tcPr>
            <w:tcW w:w="300" w:type="dxa"/>
            <w:vAlign w:val="bottom"/>
          </w:tcPr>
          <w:p>
            <w:pPr>
              <w:spacing w:after="0"/>
              <w:rPr>
                <w:sz w:val="19"/>
                <w:szCs w:val="19"/>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(25,439 )</w:t>
            </w:r>
          </w:p>
        </w:tc>
      </w:tr>
      <w:tr>
        <w:trPr>
          <w:trHeight w:val="239"/>
        </w:trPr>
        <w:tc>
          <w:tcPr>
            <w:tcW w:w="6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(1,000 )</w:t>
            </w: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(2,600 )</w:t>
            </w:r>
          </w:p>
        </w:tc>
      </w:tr>
      <w:tr>
        <w:trPr>
          <w:trHeight w:val="223"/>
        </w:trPr>
        <w:tc>
          <w:tcPr>
            <w:tcW w:w="66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Consideration paid to former members included in accrued expenses</w:t>
            </w:r>
          </w:p>
        </w:tc>
        <w:tc>
          <w:tcPr>
            <w:tcW w:w="300" w:type="dxa"/>
            <w:vAlign w:val="bottom"/>
          </w:tcPr>
          <w:p>
            <w:pPr>
              <w:spacing w:after="0"/>
              <w:rPr>
                <w:sz w:val="19"/>
                <w:szCs w:val="19"/>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6,935</w:t>
            </w:r>
          </w:p>
        </w:tc>
        <w:tc>
          <w:tcPr>
            <w:tcW w:w="100" w:type="dxa"/>
            <w:vAlign w:val="bottom"/>
          </w:tcPr>
          <w:p>
            <w:pPr>
              <w:spacing w:after="0"/>
              <w:rPr>
                <w:sz w:val="19"/>
                <w:szCs w:val="19"/>
                <w:color w:val="auto"/>
              </w:rPr>
            </w:pPr>
          </w:p>
        </w:tc>
      </w:tr>
      <w:tr>
        <w:trPr>
          <w:trHeight w:val="223"/>
        </w:trPr>
        <w:tc>
          <w:tcPr>
            <w:tcW w:w="66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paid for acquisitions</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56,296</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4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Capital expenditures included in accounts payable and accrued expenses and other current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liabilities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Unpaid equity offering costs included in accrued expenses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-864870</wp:posOffset>
            </wp:positionV>
            <wp:extent cx="77470" cy="300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-864870</wp:posOffset>
            </wp:positionV>
            <wp:extent cx="68580" cy="300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3003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1"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Definitive Healthcare Corp. (together with its subsidiaries, “Definitive Healthcare” or the “Company”), through its operating subsidiary, Definitive OpCo, provides comprehensive and up-to-date hospital and healthcare-related information and insight across the entire healthcare continuum via a multi-tenant database platform which combines proprietary and public sources to deliver insights. Unless otherwise stated or the context otherwise indicates, references to “we”, “us”, “our”, “Definitive Healthcare”, and the “Company” refer (1) prior to the consummation of the Reorganization Transactions, to Definitive OpCo and its consolidated subsidiaries, and (2) after consummation of the Reorganization Transactions, to Definitive Healthcare Corp. and its consolidated subsidiaries.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LLC, a subsidiary of Definitive Healthcare Holdings, LLC (“Definitive Holdco”), was founded in 2011 for the purpose of providing healthcare commercial intelligence that enables all companies that compete within or sell into the healthcare ecosystem to be more successful. AIDH TopCo, LLC (“Definitive OpCo”) is a Delaware limited liability company that was formed by investment funds affiliated with Advent International for the purposes of acquiring Definitive HoldCo. In July 2019, Definitive OpCo acquired a majority of the issued and outstanding units of Definitive HoldCo.</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May 2021, Definitive Healthcare Corp. was formed as a Delaware corporation for the purposes of facilitating an IPO and other related transactions in order to carry on the business of Definitive OpCo. Following consummation of the Reorganization Transactions, Definitive OpCo became a subsidiary of Definitive Healthcare Corp.</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headquartered in Framingham, Massachusetts.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September 17, 2021, Definitive Healthcare completed its initial public offering (“IPO”), in which it sold 17,888,888 shares of Class A Common Stock (including shares issued pursuant to the exercise in full of the underwriters’ option to purchase additional shares) at a public offering price of $27.00 per share for net proceeds of $452.8 million, after deducting underwriters’ discounts and commissions (but excluding other offering expenses and reimbursements).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Corp. used net proceeds from the IPO to (i) acquire 14,222,222 newly issued LLC Units from Definitive OpCo; (ii) purchase 1,169,378 LLC Units from certain holders of LLC Units; and (iii) repurchase 2,497,288 shares of Class A Common Stock received by the former shareholders of certain Blocker Companies (as defined below). Definitive OpCo used proceeds from the IPO to pay fees and expenses of approximately $11.4 million incurred in connection with the IPO and the Reorganization Transactions and to repay $199.6 million, inclusive of accrued interest expense, of the outstanding borrowings under our 2019 Credit Agreement, with the remaining proceeds intended to be used for general corporate purposes.</w:t>
      </w: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Transactions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LLC Units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consolidated financial statements.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Reorganization Transactions and the IPO, Definitive Healthcare Corp entered into a tax receivable agreement. See Note 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November 22, 2021, Definitive Healthcare Corp. completed a follow-on offering, in which it sold 11,000,000 shares of Class A Common Stock at a public offering price of $36.00 per share for net proceeds of $382.1 million, after deducting underwriters’ discounts and commissions (but excluding other offering expenses and reimbursements).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Definitive Healthcare Corp. used net proceeds from the follow-on offering to (i) acquire 7,000,000 newly issued LLC Units from Definitive OpCo;</w:t>
      </w:r>
    </w:p>
    <w:p>
      <w:pPr>
        <w:spacing w:after="0" w:line="27" w:lineRule="exact"/>
        <w:rPr>
          <w:sz w:val="20"/>
          <w:szCs w:val="20"/>
          <w:color w:val="auto"/>
        </w:rPr>
      </w:pPr>
    </w:p>
    <w:p>
      <w:pPr>
        <w:ind w:right="320" w:firstLine="8"/>
        <w:spacing w:after="0" w:line="253"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1,766,762 LLC Units from certain holders of LLC Units; and (iii) repurchase 2,233,238 shares of Class A Common Stock received by the former shareholders of certain Blocker Companies. Definitive OpCo used net proceeds from the follow-on offering to pay fees and expenses of approximately $1.6 million incurred in connection with the follow-on offering, with the remaining proceeds intended to be used for general corporate purposes.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89" w:name="page90"/>
    <w:bookmarkEnd w:id="89"/>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consolidated subsidiaries. All significant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derives revenue primarily from subscription license fees charged for access to the Company’s database platform, and professional services. The customer arrangements include a promise to allow customers to access a subscription license to the database platform which is hosted by the Company over the contract period, without allowing the customer to take possession of the subscription license or transfer hosting to a third party.</w:t>
      </w:r>
    </w:p>
    <w:p>
      <w:pPr>
        <w:spacing w:after="0" w:line="174" w:lineRule="exact"/>
        <w:rPr>
          <w:sz w:val="20"/>
          <w:szCs w:val="20"/>
          <w:color w:val="auto"/>
        </w:rPr>
      </w:pPr>
    </w:p>
    <w:p>
      <w:pPr>
        <w:ind w:right="260" w:firstLine="509"/>
        <w:spacing w:after="0" w:line="267" w:lineRule="auto"/>
        <w:rPr>
          <w:sz w:val="20"/>
          <w:szCs w:val="20"/>
          <w:color w:val="auto"/>
        </w:rPr>
      </w:pPr>
      <w:r>
        <w:rPr>
          <w:rFonts w:ascii="Times New Roman" w:cs="Times New Roman" w:eastAsia="Times New Roman" w:hAnsi="Times New Roman"/>
          <w:sz w:val="18"/>
          <w:szCs w:val="18"/>
          <w:color w:val="auto"/>
        </w:rPr>
        <w:t>The Company recognizes revenue in accordance with ASC 606–</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0"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90" w:name="page91"/>
    <w:bookmarkEnd w:id="90"/>
    <w:p>
      <w:pPr>
        <w:ind w:right="360"/>
        <w:spacing w:after="0" w:line="282" w:lineRule="auto"/>
        <w:rPr>
          <w:sz w:val="20"/>
          <w:szCs w:val="20"/>
          <w:color w:val="auto"/>
        </w:rPr>
      </w:pPr>
      <w:r>
        <w:rPr>
          <w:rFonts w:ascii="Times New Roman" w:cs="Times New Roman" w:eastAsia="Times New Roman" w:hAnsi="Times New Roman"/>
          <w:sz w:val="18"/>
          <w:szCs w:val="18"/>
          <w:color w:val="auto"/>
        </w:rPr>
        <w:t>invoiced amounts are typically 30 days. The Company does not offer rights of return for its products and services in the normal course of business, and contracts generally do not include customer acceptance clauses.</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64" w:lineRule="exact"/>
        <w:rPr>
          <w:sz w:val="20"/>
          <w:szCs w:val="20"/>
          <w:color w:val="auto"/>
        </w:rPr>
      </w:pPr>
    </w:p>
    <w:p>
      <w:pPr>
        <w:ind w:left="520" w:right="2500"/>
        <w:spacing w:after="0" w:line="261" w:lineRule="auto"/>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 Level 2 - Other inputs that are directly or indirectly observable in the marketplace</w:t>
      </w:r>
    </w:p>
    <w:p>
      <w:pPr>
        <w:ind w:left="520"/>
        <w:spacing w:after="0"/>
        <w:rPr>
          <w:sz w:val="20"/>
          <w:szCs w:val="20"/>
          <w:color w:val="auto"/>
        </w:rPr>
      </w:pPr>
      <w:r>
        <w:rPr>
          <w:rFonts w:ascii="Times New Roman" w:cs="Times New Roman" w:eastAsia="Times New Roman" w:hAnsi="Times New Roman"/>
          <w:sz w:val="17"/>
          <w:szCs w:val="17"/>
          <w:color w:val="auto"/>
        </w:rPr>
        <w:t>Level 3 - Unobservable inputs that are supported by little or no market activity, including the Company’s own assumptions in determining fair value.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short-term, highly liquid investments with an original maturity of three months or less to be cash and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firstLine="554"/>
        <w:spacing w:after="0" w:line="261" w:lineRule="auto"/>
        <w:rPr>
          <w:sz w:val="20"/>
          <w:szCs w:val="20"/>
          <w:color w:val="auto"/>
        </w:rPr>
      </w:pPr>
      <w:r>
        <w:rPr>
          <w:rFonts w:ascii="Times New Roman" w:cs="Times New Roman" w:eastAsia="Times New Roman" w:hAnsi="Times New Roman"/>
          <w:sz w:val="18"/>
          <w:szCs w:val="18"/>
          <w:color w:val="auto"/>
        </w:rPr>
        <w:t>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8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Concentrations of credit risk with respect to trade account receivables are limited due to the large number of customers comprising the Company’s customer base. No single customer accounted for more than 10% of total net sales or receivables in 2022, 2021 or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Contract Assets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2022 and 2021, the allowance for doubtful accounts was $1.9 million and $1.4 million, respectively.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straight-line basis over two years, which reflects the average renewal period. Renewal contracts with a term of one year or less are expensed.</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 There were no impairments of these costs in the years ended December 31, 2022, 2021 or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1240"/>
          </w:cols>
          <w:pgMar w:left="320" w:top="553" w:right="339" w:bottom="1440" w:gutter="0" w:footer="0" w:header="0"/>
        </w:sectPr>
      </w:pPr>
    </w:p>
    <w:p>
      <w:pPr>
        <w:spacing w:after="0" w:line="20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Furniture and equipment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36" w:lineRule="exact"/>
        <w:rPr>
          <w:sz w:val="20"/>
          <w:szCs w:val="20"/>
          <w:color w:val="auto"/>
        </w:rPr>
      </w:pPr>
    </w:p>
    <w:p>
      <w:pPr>
        <w:sectPr>
          <w:pgSz w:w="11900" w:h="16838" w:orient="portrait"/>
          <w:cols w:equalWidth="0" w:num="2">
            <w:col w:w="4760" w:space="720"/>
            <w:col w:w="5760"/>
          </w:cols>
          <w:pgMar w:left="320" w:top="553" w:right="3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7"/>
          <w:szCs w:val="17"/>
          <w:color w:val="auto"/>
        </w:rPr>
        <w:t>Computers and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36" w:lineRule="exact"/>
        <w:rPr>
          <w:sz w:val="20"/>
          <w:szCs w:val="20"/>
          <w:color w:val="auto"/>
        </w:rPr>
      </w:pPr>
    </w:p>
    <w:p>
      <w:pPr>
        <w:sectPr>
          <w:pgSz w:w="11900" w:h="16838" w:orient="portrait"/>
          <w:cols w:equalWidth="0" w:num="2">
            <w:col w:w="4760" w:space="720"/>
            <w:col w:w="5760"/>
          </w:cols>
          <w:pgMar w:left="320" w:top="553" w:right="3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Lesser of the asset life or lease term</w:t>
      </w:r>
    </w:p>
    <w:p>
      <w:pPr>
        <w:spacing w:after="0" w:line="200" w:lineRule="exact"/>
        <w:rPr>
          <w:sz w:val="20"/>
          <w:szCs w:val="20"/>
          <w:color w:val="auto"/>
        </w:rPr>
      </w:pPr>
    </w:p>
    <w:p>
      <w:pPr>
        <w:sectPr>
          <w:pgSz w:w="11900" w:h="16838" w:orient="portrait"/>
          <w:cols w:equalWidth="0" w:num="2">
            <w:col w:w="4760" w:space="720"/>
            <w:col w:w="5760"/>
          </w:cols>
          <w:pgMar w:left="320" w:top="553" w:right="339" w:bottom="1440" w:gutter="0" w:footer="0" w:header="0"/>
          <w:type w:val="continuous"/>
        </w:sectPr>
      </w:pPr>
    </w:p>
    <w:p>
      <w:pPr>
        <w:spacing w:after="0" w:line="5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Some of the Company's leases contain rent escalations over the lease term. The Company recognizes expense for operating leases on a straight-line basis over the lease term. The Company’s lease agreements contain variable lease payments for common area maintenance, utility, and taxes.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measures the credit risk of its derivative financial instruments that are subject to master netting agreements on a net basis by counterparty portfolio.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19"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color w:val="auto"/>
        </w:rPr>
        <w:t>The Company expenses advertising costs as incurred in accordance with ASC 720—</w:t>
      </w:r>
      <w:r>
        <w:rPr>
          <w:rFonts w:ascii="Times New Roman" w:cs="Times New Roman" w:eastAsia="Times New Roman" w:hAnsi="Times New Roman"/>
          <w:sz w:val="18"/>
          <w:szCs w:val="18"/>
          <w:i w:val="1"/>
          <w:iCs w:val="1"/>
          <w:color w:val="auto"/>
        </w:rPr>
        <w:t>Other Expenses – Advertising Cost</w:t>
      </w:r>
      <w:r>
        <w:rPr>
          <w:rFonts w:ascii="Times New Roman" w:cs="Times New Roman" w:eastAsia="Times New Roman" w:hAnsi="Times New Roman"/>
          <w:sz w:val="18"/>
          <w:szCs w:val="18"/>
          <w:color w:val="auto"/>
        </w:rPr>
        <w:t>. Advertising expenses of $1.6 million, $0.9 million and $0.6 million for the years ended December 31, 2022, 2021 and 2020, respectively, are included in sales and marketing expenses on the consolidated statements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its software development costs in accordance with the guidance set forth in ASC 350-40—</w:t>
      </w:r>
      <w:r>
        <w:rPr>
          <w:rFonts w:ascii="Times New Roman" w:cs="Times New Roman" w:eastAsia="Times New Roman" w:hAnsi="Times New Roman"/>
          <w:sz w:val="18"/>
          <w:szCs w:val="18"/>
          <w:i w:val="1"/>
          <w:iCs w:val="1"/>
          <w:color w:val="auto"/>
        </w:rPr>
        <w:t>Intangibles –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 Internal Use Software. </w:t>
      </w:r>
      <w:r>
        <w:rPr>
          <w:rFonts w:ascii="Times New Roman" w:cs="Times New Roman" w:eastAsia="Times New Roman" w:hAnsi="Times New Roman"/>
          <w:sz w:val="18"/>
          <w:szCs w:val="18"/>
          <w:color w:val="auto"/>
        </w:rPr>
        <w:t>The Company capitalizes costs to develop software for internal use incurred during the application development stage.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related to preliminary project activities and post implementation activities are expensed as incurred. Capitalized costs of $1.0 million, $0.6 million and $0.1 million for the years ended December 31, 2022, 2021 and 2020, respectively, are included in property and equipment, net.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72"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For any given acquisition, the Company may identify certain pre-acquisition contingencies. The Company estimates the fair value of such contingencies, which are included as part of the assets acquired or liabilities assumed, as appropriate.</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Differences from these estimates are recorded in the consolidated statement of operations in the period in which they are identified.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combination of an income and market approach. The income approach utilizes a projected discounted cash flow model that includes significant assumptions and estimates, including the discount rate, growth rate, and future financial performance. The market approach utilizes the Company's market capitalization plus an appropriate control premium. Market capitalization is determined by multiplying the number of shares of Class A Common Stock outstanding by the market price of its Class A Common Stock. The control premium is determined by utilizing data from publicly available premium studies for similarly situated public company transactions.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20"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w w:val="99"/>
              </w:rPr>
              <w:t>14 – 20 years</w:t>
            </w: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 years</w:t>
            </w: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Tradenames / trademark</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19 years</w:t>
            </w: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Data</w:t>
            </w:r>
          </w:p>
        </w:tc>
        <w:tc>
          <w:tcPr>
            <w:tcW w:w="26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21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In the fourth quarter of 2022, the Company experienced a decline in its stock price resulting in the total market value of its shares of stock outstanding, its market capitalization, being less than the carrying value of its one reporting unit. Therefore, as of October 1, 2022, the Company elected to bypass the qualitative assessment and determined it appropriate to perform quantitative assessments of the Company’s one reporting unit at both October 1, 2022 and December 31, 2022. The Company elected to conduct its quantitative assessments using a combination of an income and a market approach. Based on the Company’s quantitative assessments performed as of October 1, 2022 and December 31, 2022, the fair value of the reporting unit exceeded its related carrying value. Therefore, the Company concluded no impairment of goodwill during the fourth quarter of 2022. The Company performed the annual assessment and concluded there was no impairment in the years ended December 31, 2021 and 2020.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long term liabilities as deferred revenue on the consolidated balance sheets.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2022 and 2021, the Company had $2.0 million and $2.6 million, respectively, of unamortized deferred financing costs related to its non-revolving credit facilities.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Tax</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Definitive OpCo is taxed as a partnership. For federal and state income tax purposes, income, losses, and other tax attributes not generated by the HSE, Monocl, or AW subsidiaries generally pass through to the Definitive OpCo members’ individual income tax returns. Additionally, Definitive OpCo may be subject to certain taxes on behalf of its members in certain states.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HSE, AW, and the Monocl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Deferred taxes for the HSE, AW, and Monocl subsidiaries are determined using enacted federal, state, or foreign income tax rates in effect in the year in which the differences are expected to reverse.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Tax Receivable Agreement, which the Company expects to be significant. The Company anticipates that it will account for the income tax effects and corresponding Tax Receivable Agreement’s effects resulting from future redemptions or exchanges of LLC Units by recognizing an increase in Definitive Healthcare Corp.'s deferred tax assets, based on enacted tax rates at the date of the purchase or exchange.</w:t>
      </w:r>
    </w:p>
    <w:p>
      <w:pPr>
        <w:spacing w:after="0" w:line="73"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Further, the Company accounts for amounts payable under the Tax Receivable Agreement in accordance with ASC 450—</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The amounts to be recorded for both the deferred tax assets and the liability for the Company's obligations under the Tax Receivable Agreement will be estimated at the time of any purchase or exchange as a reduction to shareholders’ equity, and the effects of changes in any of the Company's estimates after this date will be included in net income or loss. Similarly, the effect of subsequent changes in the enacted tax rates will be included in net income or loss.</w:t>
      </w:r>
    </w:p>
    <w:p>
      <w:pPr>
        <w:spacing w:after="0" w:line="58"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In assessing the realizability of deferred tax assets of Definitive OpCo and its subsidiaries, management considers the weight of available evidence and whether it is more likely than not that some or all of the deferred tax assets will be realized; when necessary, a valuation allowance is established.</w:t>
      </w:r>
    </w:p>
    <w:p>
      <w:pPr>
        <w:spacing w:after="0" w:line="3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Under the provisions of ASC 740—</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2022, 2021 and 2020, the Company did not have any uncertain tax positions.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income or loss per share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Basic net income or loss per share is computed by dividing the net income or loss by the weighted-average number of common shares of the Company outstanding during the period. Diluted net income or loss per share is computed by giving effect to all potential shares, including exchangeable Definitive OpCo LLC Units and restricted stock units, to the extent dilutive. The Company uses the treasury stock method to calculate potentially dilutive shares, as if they were converted into Common Stock at the beginning of the period. Basic and diluted net income or loss per share was the same for the period presented as the inclusion of all potential shares outstanding would have been anti-dilutive. See Note 20. </w:t>
      </w:r>
      <w:r>
        <w:rPr>
          <w:rFonts w:ascii="Times New Roman" w:cs="Times New Roman" w:eastAsia="Times New Roman" w:hAnsi="Times New Roman"/>
          <w:sz w:val="18"/>
          <w:szCs w:val="18"/>
          <w:i w:val="1"/>
          <w:iCs w:val="1"/>
          <w:color w:val="auto"/>
        </w:rPr>
        <w:t>Loss Per Share</w:t>
      </w:r>
      <w:r>
        <w:rPr>
          <w:rFonts w:ascii="Times New Roman" w:cs="Times New Roman" w:eastAsia="Times New Roman" w:hAnsi="Times New Roman"/>
          <w:sz w:val="18"/>
          <w:szCs w:val="18"/>
          <w:color w:val="auto"/>
        </w:rPr>
        <w:t xml:space="preserve"> for additional information on dilutive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Equity instruments issued in exchange for services performed by officers, employees, consultants, and directors of the Company are accounted for using a fair-value based method, and the fair value of such equity instruments are recognized as expense in the consolidated statements of operations. The Company has issued restricted stock units (“RSUs”), the fair values of which are determined by the closing stock price on the date of grant, and prior to the IPO, issued profit interest units (“PIUs”) to certain employees and officers with a return threshold that was set based on the fair value of the Company.</w:t>
      </w:r>
    </w:p>
    <w:p>
      <w:pPr>
        <w:spacing w:after="0" w:line="7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For PIUs, fair value was determined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required the Company to make estimates and assumptions, such as expected volatility, expected term and expected risk-free interest rate.</w:t>
      </w:r>
    </w:p>
    <w:p>
      <w:pPr>
        <w:spacing w:after="0" w:line="79"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Equity-based compensation expense is measured at the grant date fair value of the stock-based awards and is recognized as expense on a straight-line basis over the requisite service periods, which is generally the vesting period of the respective award. The Company estimates the fair value of each stock-based award on its measurement date using either the current market price of the stock or the Monte Carlo Simulation valuation model. The Monte Carlo Simulation valuation models incorporate assumptions as to stock price volatility, the expected life of options or awards, a risk-free interest rate and dividend yield.</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Expense for performance restricted stock units with market-based vesting criteria is recognized based upon the fair value of the awards on the date of grant and the number of shares expected to vest based on the terms of the underlying award agreement and the requisite service periods.</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For units and shares which had a performance conditions not tied to market-based criteria, we recognized compensation expense based on the Company’s assessment of the probability that the performance condition(s) would be achieved. Any related compensation expense was recognized when the probability of the event was likely and performance criteria were met. Forfeitures are recognized as they occur.</w:t>
      </w:r>
    </w:p>
    <w:p>
      <w:pPr>
        <w:spacing w:after="0" w:line="6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equity-based compensation expense in its consolidated statements of operations in the same manner in which the award recipient’s salary and related costs are classified.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Recently Issued Financial Accounting Standards</w:t>
      </w:r>
    </w:p>
    <w:p>
      <w:pPr>
        <w:spacing w:after="0" w:line="11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2021-08—Business Combinations (Topic 805) </w:t>
      </w:r>
      <w:r>
        <w:rPr>
          <w:rFonts w:ascii="Times New Roman" w:cs="Times New Roman" w:eastAsia="Times New Roman" w:hAnsi="Times New Roman"/>
          <w:sz w:val="18"/>
          <w:szCs w:val="18"/>
          <w:i w:val="1"/>
          <w:iCs w:val="1"/>
          <w:color w:val="auto"/>
        </w:rPr>
        <w:t>– Accounting for Contract Assets and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Contracts with Customers</w:t>
      </w:r>
      <w:r>
        <w:rPr>
          <w:rFonts w:ascii="Times New Roman" w:cs="Times New Roman" w:eastAsia="Times New Roman" w:hAnsi="Times New Roman"/>
          <w:sz w:val="18"/>
          <w:szCs w:val="18"/>
          <w:color w:val="auto"/>
        </w:rPr>
        <w:t>. This new accounting standard requires contract assets and contract liabilities (i.e., deferred revenue) acquired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business combination to be recognized and measured by the acquirer on the acquisition date in accordance with ASC 606—Revenue from Contracts with Customers. The standard requires the acquirer to recognize contract assets and contract liabilities at the same amounts recorded by the acquiree. The new accounting guidance is effective for fiscal years beginning after December 15, 2022, with early adoption permitted. The Company adopted this new accounting guidance effective January 1, 2022. In connection with the acquisition of Analytical Wizards completed in the first</w:t>
      </w:r>
    </w:p>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 xml:space="preserve">quarter of 2022, the Company recorded contract liabilities of $3.4 million. Refer to Note 3. </w:t>
      </w:r>
      <w:r>
        <w:rPr>
          <w:rFonts w:ascii="Times New Roman" w:cs="Times New Roman" w:eastAsia="Times New Roman" w:hAnsi="Times New Roman"/>
          <w:sz w:val="18"/>
          <w:szCs w:val="18"/>
          <w:i w:val="1"/>
          <w:iCs w:val="1"/>
          <w:color w:val="auto"/>
        </w:rPr>
        <w:t>Acquisitions and Investments</w:t>
      </w:r>
      <w:r>
        <w:rPr>
          <w:rFonts w:ascii="Times New Roman" w:cs="Times New Roman" w:eastAsia="Times New Roman" w:hAnsi="Times New Roman"/>
          <w:sz w:val="18"/>
          <w:szCs w:val="18"/>
          <w:color w:val="auto"/>
        </w:rPr>
        <w:t xml:space="preserve"> for further details.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2020-04—Reference Rate Reform (Topic 848) </w:t>
      </w:r>
      <w:r>
        <w:rPr>
          <w:rFonts w:ascii="Times New Roman" w:cs="Times New Roman" w:eastAsia="Times New Roman" w:hAnsi="Times New Roman"/>
          <w:sz w:val="18"/>
          <w:szCs w:val="18"/>
          <w:i w:val="1"/>
          <w:iCs w:val="1"/>
          <w:color w:val="auto"/>
        </w:rPr>
        <w:t>–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The amendments of ASU No. 2020-04 are effective for companies as of March 12, 2020 through December 31, 2022. An entity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adopted the update effective October 1, 2022, and the adoption did not have a material impact on the Company’s consolidated financial statements.</w:t>
      </w:r>
    </w:p>
    <w:p>
      <w:pPr>
        <w:spacing w:after="0" w:line="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2019-12—Income Taxes (Topic 740) </w:t>
      </w:r>
      <w:r>
        <w:rPr>
          <w:rFonts w:ascii="Times New Roman" w:cs="Times New Roman" w:eastAsia="Times New Roman" w:hAnsi="Times New Roman"/>
          <w:sz w:val="18"/>
          <w:szCs w:val="18"/>
          <w:i w:val="1"/>
          <w:iCs w:val="1"/>
          <w:color w:val="auto"/>
        </w:rPr>
        <w:t>– Simplifying the Accounting for Income Taxes</w:t>
      </w:r>
      <w:r>
        <w:rPr>
          <w:rFonts w:ascii="Times New Roman" w:cs="Times New Roman" w:eastAsia="Times New Roman" w:hAnsi="Times New Roman"/>
          <w:sz w:val="18"/>
          <w:szCs w:val="18"/>
          <w:color w:val="auto"/>
        </w:rPr>
        <w:t>. This standard removes certain exceptions for investments, intra-period allocations and interim tax calculations and adds guidance to reduce complexity in accounting for income taxes. The amendment is effective for fiscal years beginning after December 15, 2021. The Company adopted this new accounting guidance effective January 1, 2022, but the adoption did not have a material impact on the Company’s consolidated financial statements.</w:t>
      </w:r>
    </w:p>
    <w:p>
      <w:pPr>
        <w:spacing w:after="0" w:line="72"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In February 2016, the FASB issued ASU No. 2016-02—</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FASB subsequently issued supplemental and/or clarifying ASUs inclusive of ASU 2020-05, which updated the effective date for certain non-public companies to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As it was previously an Emerging Growth Company prior to 2023 as defined by the JOBS Act of 2012, the Company elected to take the extended transition period and adopt the standard following guidance for non-public entities.</w:t>
      </w:r>
    </w:p>
    <w:p>
      <w:pPr>
        <w:spacing w:after="0" w:line="6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adopted ASU No. 2016-02—</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effective January 1, 2022 using the modified retrospective transition method. Prior period results will continue to be presented under ASC 840 as it was the accounting standard in effect for such periods. The Company elected to apply the package of practical expedients that allows entities to forgo reassessing at the transition date: (1) whether any expired or existing contracts are or contain leases; (2) lease classification for any expired or existing leases; and (3) whether unamortized initial direct costs for existing leases meet the definition of initial direct costs under the new guidance. The Company did not elect the hindsight practical expedient. The Company elected to use the practical expedient that allows the combination of lease and non-lease contract components in all of its underlying asset categories. Finally, the Company also elected a policy of not recording leases on its consolidated balance sheets when the leases have a term of 12 months or less and the Company is not reasonably certain to elect an option to renew the leased asset. Due to the adoption of this guidance, the Company recognized operating right-of-use assets of $12.7 million and operating lease liabilities of $14.0 million as of the date of adoption. The difference between the right-of-use assets and lease liabilities on the accompanying consolidated balance sheet is primarily due to the accrual for lease payments as a result of straight-line lease expense and unamortized tenant incentive liability balances. The Company did not have any impact to opening retained earnings as a result of the adoption of the guidance. The adoption of this new guidance did not have a material impact on the Company’s results of operations, comprehensive loss, cash flows, liquidity or the Company’s covenant compliance under its existing credit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In June 2016, the FASB issued ASU No. 2016-13</w:t>
      </w:r>
      <w:r>
        <w:rPr>
          <w:rFonts w:ascii="Times New Roman" w:cs="Times New Roman" w:eastAsia="Times New Roman" w:hAnsi="Times New Roman"/>
          <w:sz w:val="17"/>
          <w:szCs w:val="17"/>
          <w:i w:val="1"/>
          <w:iCs w:val="1"/>
          <w:color w:val="auto"/>
        </w:rPr>
        <w:t>—Financial Instruments – Credit Losses (Topic 326) – Measurement of Credit Losses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Instruments. </w:t>
      </w:r>
      <w:r>
        <w:rPr>
          <w:rFonts w:ascii="Times New Roman" w:cs="Times New Roman" w:eastAsia="Times New Roman" w:hAnsi="Times New Roman"/>
          <w:sz w:val="17"/>
          <w:szCs w:val="17"/>
          <w:color w:val="auto"/>
        </w:rPr>
        <w:t>This standard is intended to improve financial reporting by requiring earlier recognition of credit losses on financing receivables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assets in scope, such as trade receivables. The amendment is effective for fiscal years beginning after December 15, 2022. The Company adopted the update effective January 1, 2023 and the adoption of the standard did not have a material impact on the Company's consolidated financial statements.</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97" w:name="page98"/>
    <w:bookmarkEnd w:id="97"/>
    <w:p>
      <w:pPr>
        <w:ind w:left="520" w:hanging="512"/>
        <w:spacing w:after="0"/>
        <w:tabs>
          <w:tab w:leader="none" w:pos="5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Investments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December 22, 2021, Definitive Healthcare, LLC (“DH, LLC”), an indirect wholly owned subsidiary of Definitive Healthcare Corp. made a $40.0 million investment in Analytical Wizards Inc. (“AW” or “Analytical Wizards”), a privately held company. Analytical Wizards automates complex analytic models using tools that expedite efficient big data mining through artificial intelligence (“A.I.”) and machine learning (“M.L.”) to uncover deep insights. In the transaction the Company purchased Series B Convertible Preferred Stock of AW (“Series B Preferred Stock”), representing 35% ownership of AW, and an option to acquire the remaining 65% ownership (the "Purchase Option") for $65.0 million. As of December 31, 2021, the Company determined it did not have a controlling financial interest in AW at transaction close as the Company did not have the right to control the governing body of AW or have control through other contractual rights. At December 31, 2021, because the Series B Preferred Stock and the Purchase Option did not have readily determinable fair values, the Company elected to apply the measurement alternative and adjust the carrying value of the investments in AW for impairments and observable prices in identical or similar equity securities of AW. The Company paid $40.0 million for the Series B Preferred Stock and Purchase Option, which was allocated on a relative fair value basis such that the Series B Preferred Stock and Purchase Option had carrying values of $32.7 million and $7.3 million at the time of the transaction, respectively. The Series B Preferred Stock was recorded in Investments in equity securities and the Purchase Option was recorded in Other assets in the accompanying consolidated balance sheet as of December 31, 2021.</w:t>
      </w:r>
    </w:p>
    <w:p>
      <w:pPr>
        <w:spacing w:after="0" w:line="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February 18, 2022, the Company purchased the remaining 65% of AW’s equity for $65.0 million, net of cash acquired and an estimated working capital adjustment and other customary purchase price adjustments (the “AW acquisition”). The Company’s previously held investment and Purchase Option were remeasured at fair value as of the date the Purchase Option was exercised. The remeasurement had an immaterial impact on the consolidated statements of operations for the three months ended March 31, 2022. The Company has included the financial results of Analytical Wizards in the consolidated financial statements from February 18, 2022, the date of acquisition.</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Upon the consummation of the acquisition, AW became an indirect wholly owned subsidiary of Definitive Healthcare Corp. The total consideration for the initial investment and subsequent exercise of the Purchase Option was $99.4 million, consisting of $40.0 million for the initial investment paid in December 2021, approximately $58.6 million of cash paid at closing, $0.2 million reimbursement from sellers for working capital adjustments, and up to $5.0 million of contingent consideration, initially valued at $1.0 million. The contingent consideration, which relates to earn-out payments that may be paid out, subject to meeting certain expense control metrics during the two-year period following the closing of the AW acquisition, has an estimated fair value of $1.0 million as of the acquisition date. Pursuant to the Stock Purchase Agreement governing the AW acquisition, $10.0 million of the consideration was deposited into an escrow account to secure certain indemnification claims of DH, LLC. The assets acquired and liabilities assumed were recorded at their estimated preliminary fair values and the results of operations were included in the Company’s consolidated results as of the acquisition date.</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consideration transferred for the transaction is summarized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Initial cash investment in December 2021</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FF0FC"/>
          </w:tcPr>
          <w:p>
            <w:pPr>
              <w:spacing w:after="0"/>
              <w:rPr>
                <w:sz w:val="21"/>
                <w:szCs w:val="21"/>
                <w:color w:val="auto"/>
              </w:rPr>
            </w:pPr>
          </w:p>
        </w:tc>
      </w:tr>
      <w:tr>
        <w:trPr>
          <w:trHeight w:val="23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paid at closing</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58,645</w:t>
            </w:r>
          </w:p>
        </w:tc>
        <w:tc>
          <w:tcPr>
            <w:tcW w:w="100" w:type="dxa"/>
            <w:vAlign w:val="bottom"/>
          </w:tcPr>
          <w:p>
            <w:pPr>
              <w:spacing w:after="0"/>
              <w:rPr>
                <w:sz w:val="20"/>
                <w:szCs w:val="20"/>
                <w:color w:val="auto"/>
              </w:rPr>
            </w:pPr>
          </w:p>
        </w:tc>
      </w:tr>
      <w:tr>
        <w:trPr>
          <w:trHeight w:val="247"/>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6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(202 )</w:t>
            </w:r>
          </w:p>
        </w:tc>
      </w:tr>
      <w:tr>
        <w:trPr>
          <w:trHeight w:val="23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r>
      <w:tr>
        <w:trPr>
          <w:trHeight w:val="281"/>
        </w:trPr>
        <w:tc>
          <w:tcPr>
            <w:tcW w:w="84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Purchase price</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contingent consideration is based on the achievement of certain expense control metrics during the two-year period following the acquisition date, with potential earn-out payouts ranging from $0 to $5.0 million. The Company estimated the fair value of the contingent consideration to be $1.0 million as of February 18, 2022, based on the estimated achievement of the expense control metrics and time to payment. The Company estimated the fair value of the contingent consideration to be $2.3 million at December 31, 2022. The contingent consideration was recorded in Other long-term liabilities in the accompanying consolidated balance sheet as of December 31, 2022. Refer to Note 12.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8" w:name="page99"/>
    <w:bookmarkEnd w:id="98"/>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purchase price allocations for the AW acquisition are provisional and are based on the information that was available as of the acquisition date to estimate the fair values of assets acquired and liabilities assumed. The purchase price allocations for this acquisition, reported as of December 31, 2022, represent the Company’s best estimates of the fair values and were based upon the information available to us. The provisional measurements of fair value for income taxes payable and deferred taxes set forth below may be subject to change as additional information is received and certain tax returns are finalized. The Company will finalize the purchase price allocations during the first quarter of 2023. Acquisition-date fair values of assets and liabilities pertaining to this business combination have been allocated as follows:</w:t>
      </w:r>
    </w:p>
    <w:p>
      <w:pPr>
        <w:spacing w:after="0" w:line="19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3"/>
                <w:szCs w:val="13"/>
                <w:color w:val="auto"/>
              </w:rPr>
            </w:pP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Preliminary, as</w:t>
            </w:r>
          </w:p>
        </w:tc>
        <w:tc>
          <w:tcPr>
            <w:tcW w:w="17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240" w:type="dxa"/>
            <w:vAlign w:val="bottom"/>
          </w:tcPr>
          <w:p>
            <w:pPr>
              <w:spacing w:after="0"/>
              <w:rPr>
                <w:sz w:val="13"/>
                <w:szCs w:val="13"/>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76"/>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20" w:type="dxa"/>
            <w:vAlign w:val="bottom"/>
          </w:tcPr>
          <w:p>
            <w:pPr>
              <w:spacing w:after="0"/>
              <w:rPr>
                <w:sz w:val="15"/>
                <w:szCs w:val="15"/>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previously reported</w:t>
            </w:r>
          </w:p>
        </w:tc>
        <w:tc>
          <w:tcPr>
            <w:tcW w:w="240" w:type="dxa"/>
            <w:vAlign w:val="bottom"/>
          </w:tcPr>
          <w:p>
            <w:pPr>
              <w:spacing w:after="0"/>
              <w:rPr>
                <w:sz w:val="15"/>
                <w:szCs w:val="15"/>
                <w:color w:val="auto"/>
              </w:rPr>
            </w:pPr>
          </w:p>
        </w:tc>
        <w:tc>
          <w:tcPr>
            <w:tcW w:w="150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operating leases</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(485 )</w:t>
            </w:r>
          </w:p>
        </w:tc>
        <w:tc>
          <w:tcPr>
            <w:tcW w:w="240" w:type="dxa"/>
            <w:vAlign w:val="bottom"/>
          </w:tcPr>
          <w:p>
            <w:pPr>
              <w:spacing w:after="0"/>
              <w:rPr>
                <w:sz w:val="20"/>
                <w:szCs w:val="20"/>
                <w:color w:val="auto"/>
              </w:rPr>
            </w:pP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(502 )</w:t>
            </w: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(987 )</w:t>
            </w: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(3,691 )</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(3,365 )</w:t>
            </w: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liability, operating leases</w:t>
            </w:r>
          </w:p>
        </w:tc>
        <w:tc>
          <w:tcPr>
            <w:tcW w:w="12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(832 )</w:t>
            </w:r>
          </w:p>
        </w:tc>
        <w:tc>
          <w:tcPr>
            <w:tcW w:w="240" w:type="dxa"/>
            <w:vAlign w:val="bottom"/>
          </w:tcPr>
          <w:p>
            <w:pPr>
              <w:spacing w:after="0"/>
              <w:rPr>
                <w:sz w:val="20"/>
                <w:szCs w:val="20"/>
                <w:color w:val="auto"/>
              </w:rPr>
            </w:pPr>
          </w:p>
        </w:tc>
        <w:tc>
          <w:tcPr>
            <w:tcW w:w="1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(832 )</w:t>
            </w: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(10,345 )</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(10,278 )</w:t>
            </w: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(267 )</w:t>
            </w:r>
          </w:p>
        </w:tc>
        <w:tc>
          <w:tcPr>
            <w:tcW w:w="240" w:type="dxa"/>
            <w:vAlign w:val="bottom"/>
          </w:tcPr>
          <w:p>
            <w:pPr>
              <w:spacing w:after="0"/>
              <w:rPr>
                <w:sz w:val="20"/>
                <w:szCs w:val="20"/>
                <w:color w:val="auto"/>
              </w:rPr>
            </w:pP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(633 )</w:t>
            </w: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(900 )</w:t>
            </w:r>
          </w:p>
        </w:tc>
        <w:tc>
          <w:tcPr>
            <w:tcW w:w="0" w:type="dxa"/>
            <w:vAlign w:val="bottom"/>
          </w:tcPr>
          <w:p>
            <w:pPr>
              <w:spacing w:after="0"/>
              <w:rPr>
                <w:sz w:val="1"/>
                <w:szCs w:val="1"/>
                <w:color w:val="auto"/>
              </w:rPr>
            </w:pPr>
          </w:p>
        </w:tc>
      </w:tr>
      <w:tr>
        <w:trPr>
          <w:trHeight w:val="241"/>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12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37,573</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(413 )</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1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Purchase price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99,645</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99,443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-25400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AW acquisition, the Company recorded goodwill, customer relationships, developed software, and tradename of $61.7 million, $39.4 million, $6.1 million, and $0.5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 million and is amortized using the annual pattern of cash flows (economic value method) over the estimated 20-year life of this asset.</w:t>
      </w:r>
    </w:p>
    <w:p>
      <w:pPr>
        <w:spacing w:after="0" w:line="183"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The developed software represents AW’s two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 million and is amortized using the straight-line method over the estimated remaining useful life of 6 years.</w:t>
      </w:r>
    </w:p>
    <w:p>
      <w:pPr>
        <w:spacing w:after="0" w:line="187"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 million and is amortized using the straight-line method over the estimated remaining useful life of 5 years.</w:t>
      </w:r>
    </w:p>
    <w:p>
      <w:pPr>
        <w:spacing w:after="0" w:line="15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amortization periods for the customer relationships, developed software, and tradenames are 20 years, 6 years, and 5 years, respectively. See Note 9 for the estimated total intangible amortization expense during the next five years.</w:t>
      </w:r>
    </w:p>
    <w:p>
      <w:pPr>
        <w:spacing w:after="0" w:line="16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the Company recognized acquisition related costs of $1.3 million which were recorded within transaction expenses in the accompanying consolidated statements of operations for the year ended December 31,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2022 and 2021, AW’s post-acquisition revenue and net loss on a standalone basis were not material.</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Unaudited Pro Forma Supplementary Data as if the transaction had occurred on January 1, 2021:</w:t>
      </w:r>
    </w:p>
    <w:p>
      <w:pPr>
        <w:spacing w:after="0" w:line="246"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224,130</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176,169</w:t>
            </w:r>
          </w:p>
        </w:tc>
        <w:tc>
          <w:tcPr>
            <w:tcW w:w="80" w:type="dxa"/>
            <w:vAlign w:val="bottom"/>
            <w:shd w:val="clear" w:color="auto" w:fill="CFF0FC"/>
          </w:tcPr>
          <w:p>
            <w:pPr>
              <w:spacing w:after="0"/>
              <w:rPr>
                <w:sz w:val="20"/>
                <w:szCs w:val="20"/>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(22,595 )</w:t>
            </w: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(61,125 )</w:t>
            </w:r>
          </w:p>
        </w:tc>
      </w:tr>
    </w:tbl>
    <w:p>
      <w:pPr>
        <w:spacing w:after="0" w:line="20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These pro forma results have been prepared for comparative purposes only and do not purport to be indicative of the operating results of the Company that would have been achieved had the acquisition actually taken place on January 1, 2021.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Acquisition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October 27, 2020, the Company completed the purchase of all of the outstanding shares of Monocl Holding Company (“Monocl”), a cloud-based platform with millions of expert profiles, for a total estimated consideration of $46.3 million and up to $60.0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consideration transferred for the transaction is summarized as follows:</w:t>
      </w:r>
    </w:p>
    <w:p>
      <w:pPr>
        <w:spacing w:after="0" w:line="325"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18,307</w:t>
            </w:r>
          </w:p>
        </w:tc>
        <w:tc>
          <w:tcPr>
            <w:tcW w:w="100" w:type="dxa"/>
            <w:vAlign w:val="bottom"/>
            <w:shd w:val="clear" w:color="auto" w:fill="CFF0FC"/>
          </w:tcPr>
          <w:p>
            <w:pPr>
              <w:spacing w:after="0"/>
              <w:rPr>
                <w:sz w:val="21"/>
                <w:szCs w:val="21"/>
                <w:color w:val="auto"/>
              </w:rPr>
            </w:pP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issuance</w:t>
            </w:r>
          </w:p>
        </w:tc>
        <w:tc>
          <w:tcPr>
            <w:tcW w:w="7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25,439</w:t>
            </w:r>
          </w:p>
        </w:tc>
        <w:tc>
          <w:tcPr>
            <w:tcW w:w="100" w:type="dxa"/>
            <w:vAlign w:val="bottom"/>
          </w:tcPr>
          <w:p>
            <w:pPr>
              <w:spacing w:after="0"/>
              <w:rPr>
                <w:sz w:val="20"/>
                <w:szCs w:val="20"/>
                <w:color w:val="auto"/>
              </w:rPr>
            </w:pPr>
          </w:p>
        </w:tc>
      </w:tr>
      <w:tr>
        <w:trPr>
          <w:trHeight w:val="243"/>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7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price</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100" w:type="dxa"/>
            <w:vAlign w:val="bottom"/>
          </w:tcPr>
          <w:p>
            <w:pPr>
              <w:spacing w:after="0"/>
              <w:rPr>
                <w:sz w:val="20"/>
                <w:szCs w:val="20"/>
                <w:color w:val="auto"/>
              </w:rPr>
            </w:pPr>
          </w:p>
        </w:tc>
      </w:tr>
      <w:tr>
        <w:trPr>
          <w:trHeight w:val="20"/>
        </w:trPr>
        <w:tc>
          <w:tcPr>
            <w:tcW w:w="8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-187960</wp:posOffset>
            </wp:positionV>
            <wp:extent cx="60325"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consideration for the acquisition was primarily provided through borrowings under the Company’s credit facility.</w:t>
      </w:r>
    </w:p>
    <w:p>
      <w:pPr>
        <w:spacing w:after="0" w:line="117"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performance targets for the contingent consideration are based on ARR for each of the twelve-month periods ended December 31, 2020 and December 31, 2021. Potential payouts range from $0 to $5.0 million and $0 to $10 million based on ARR of below $8.5 million to over $9.5 million and below $12.0 million to over $16.0 million for each of the twelve month periods ended December 31, 2020 and 2021, respectively.</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Based on the achievement of certain ARR targets, the fair value of the contingent consideration was $7.5 million as of December 31, 2021. The Company estimated the fair value of the contingent consideration to be $5.2 million at December 31, 2020 based on the achievement of Annual 2020 ARR targets and the probability of achieving the 2021 targets. Refer to note 9.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more detail.</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purchase accounting for the Monocl acquisition was finalized as of December 31, 2020. The final allocation of the acquisition-date fair values of assets and liabilities pertaining to this business combination as of December 31, 2020,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0" w:type="dxa"/>
            <w:vAlign w:val="bottom"/>
          </w:tcPr>
          <w:p>
            <w:pPr>
              <w:spacing w:after="0"/>
              <w:rPr>
                <w:sz w:val="16"/>
                <w:szCs w:val="16"/>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October 27, 2020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9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FF0FC"/>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 w:type="dxa"/>
            <w:vAlign w:val="bottom"/>
          </w:tcPr>
          <w:p>
            <w:pPr>
              <w:spacing w:after="0"/>
              <w:rPr>
                <w:sz w:val="21"/>
                <w:szCs w:val="21"/>
                <w:color w:val="auto"/>
              </w:rPr>
            </w:pPr>
          </w:p>
        </w:tc>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FF0FC"/>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 w:type="dxa"/>
            <w:vAlign w:val="bottom"/>
          </w:tcPr>
          <w:p>
            <w:pPr>
              <w:spacing w:after="0"/>
              <w:rPr>
                <w:sz w:val="21"/>
                <w:szCs w:val="21"/>
                <w:color w:val="auto"/>
              </w:rPr>
            </w:pPr>
          </w:p>
        </w:tc>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100" w:type="dxa"/>
            <w:vAlign w:val="bottom"/>
            <w:shd w:val="clear" w:color="auto" w:fill="CFF0FC"/>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(2,137 )</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(2,884 )</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4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39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00" w:type="dxa"/>
            <w:vAlign w:val="bottom"/>
            <w:tcBorders>
              <w:top w:val="single" w:sz="8" w:color="CFF0FC"/>
            </w:tcBorders>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9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28,271</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20" w:type="dxa"/>
            <w:vAlign w:val="bottom"/>
          </w:tcPr>
          <w:p>
            <w:pPr>
              <w:spacing w:after="0"/>
              <w:rPr>
                <w:sz w:val="20"/>
                <w:szCs w:val="20"/>
                <w:color w:val="auto"/>
              </w:rPr>
            </w:pPr>
          </w:p>
        </w:tc>
        <w:tc>
          <w:tcPr>
            <w:tcW w:w="4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 price</w:t>
            </w:r>
          </w:p>
        </w:tc>
        <w:tc>
          <w:tcPr>
            <w:tcW w:w="396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40" w:type="dxa"/>
            <w:vAlign w:val="bottom"/>
            <w:gridSpan w:val="2"/>
          </w:tcPr>
          <w:p>
            <w:pPr>
              <w:jc w:val="right"/>
              <w:ind w:right="2990"/>
              <w:spacing w:after="0"/>
              <w:rPr>
                <w:sz w:val="20"/>
                <w:szCs w:val="20"/>
                <w:color w:val="auto"/>
              </w:rPr>
            </w:pPr>
            <w:r>
              <w:rPr>
                <w:rFonts w:ascii="Times New Roman" w:cs="Times New Roman" w:eastAsia="Times New Roman" w:hAnsi="Times New Roman"/>
                <w:sz w:val="18"/>
                <w:szCs w:val="18"/>
                <w:color w:val="auto"/>
              </w:rPr>
              <w:t>F-25</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2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-925195</wp:posOffset>
            </wp:positionV>
            <wp:extent cx="60325" cy="162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-607695</wp:posOffset>
            </wp:positionV>
            <wp:extent cx="60325" cy="188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0" w:name="page101"/>
    <w:bookmarkEnd w:id="100"/>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12.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more detail on determination of fair value.</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7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amortization period for the customer relationships, tradenames, technology, and data is 15 years, 17 years, 8 years and 3 years, respectively. See Note 9 for the estimated total intangible amortization expense during the next five years.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the Company recognized acquisition related costs of $0.4 million which were recorded within transaction expenses in the accompanying consolidated statements of operations.</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net loss of Monocl is included in the Company’s consolidated results since the date of acquisition. The revenue and net loss of Monocl reflected in the consolidated statements operations for the year ended December 31, 2020 were $1.2 million and $1.6 million,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Unaudited Pro Forma Supplementary Data</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7"/>
        </w:trPr>
        <w:tc>
          <w:tcPr>
            <w:tcW w:w="8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122,333</w:t>
            </w:r>
          </w:p>
        </w:tc>
        <w:tc>
          <w:tcPr>
            <w:tcW w:w="100" w:type="dxa"/>
            <w:vAlign w:val="bottom"/>
            <w:shd w:val="clear" w:color="auto" w:fill="CFF0FC"/>
          </w:tcPr>
          <w:p>
            <w:pPr>
              <w:spacing w:after="0"/>
              <w:rPr>
                <w:sz w:val="20"/>
                <w:szCs w:val="20"/>
                <w:color w:val="auto"/>
              </w:rPr>
            </w:pPr>
          </w:p>
        </w:tc>
      </w:tr>
      <w:tr>
        <w:trPr>
          <w:trHeight w:val="23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(58,350 )</w:t>
            </w:r>
          </w:p>
        </w:tc>
      </w:tr>
    </w:tbl>
    <w:p>
      <w:pPr>
        <w:spacing w:after="0" w:line="20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unaudited pro forma supplementary data presented in the table above shows the effect of the Monocl acquisition, as if the transactions had occurred at the beginning of fiscal year 2020. The pro forma net loss includes adjustments to amortization expense for the valuation of other intangible assets of $0.8 million and interest expense related to incremental borrowings used to finance the transaction of $1.0 million for the year ended December 31, 2020. Acquisition expenses of $0.4 million were excluded from the pro forma net loss for the year ended December 31, 2020.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arrangements with customers for the years ended December 31, 2022,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Subscription services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217,024</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164,564</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117,080</w:t>
            </w:r>
          </w:p>
        </w:tc>
        <w:tc>
          <w:tcPr>
            <w:tcW w:w="100" w:type="dxa"/>
            <w:vAlign w:val="bottom"/>
            <w:shd w:val="clear" w:color="auto" w:fill="CFF0FC"/>
          </w:tcPr>
          <w:p>
            <w:pPr>
              <w:spacing w:after="0"/>
              <w:rPr>
                <w:sz w:val="20"/>
                <w:szCs w:val="20"/>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20"/>
                <w:szCs w:val="20"/>
                <w:color w:val="auto"/>
              </w:rPr>
            </w:pPr>
          </w:p>
        </w:tc>
      </w:tr>
      <w:tr>
        <w:trPr>
          <w:trHeight w:val="281"/>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166,154</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603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-25400</wp:posOffset>
            </wp:positionV>
            <wp:extent cx="59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opening and closing balances of the Company’s receivables, deferred contract costs and contract liabilities from contracts with customers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100" w:type="dxa"/>
            <w:vAlign w:val="bottom"/>
            <w:shd w:val="clear" w:color="auto" w:fill="CFF0FC"/>
          </w:tcPr>
          <w:p>
            <w:pPr>
              <w:spacing w:after="0"/>
              <w:rPr>
                <w:sz w:val="20"/>
                <w:szCs w:val="20"/>
                <w:color w:val="auto"/>
              </w:rPr>
            </w:pP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20"/>
                <w:szCs w:val="20"/>
                <w:color w:val="auto"/>
              </w:rPr>
            </w:pPr>
          </w:p>
        </w:tc>
      </w:tr>
      <w:tr>
        <w:trPr>
          <w:trHeight w:val="247"/>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shd w:val="clear" w:color="auto" w:fill="CFF0FC"/>
          </w:tcPr>
          <w:p>
            <w:pPr>
              <w:spacing w:after="0"/>
              <w:rPr>
                <w:sz w:val="21"/>
                <w:szCs w:val="21"/>
                <w:color w:val="auto"/>
              </w:rPr>
            </w:pP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84,023</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activity impacting the deferred contract costs during the years ended December 31, 2022 and 2021 is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r>
      <w:tr>
        <w:trPr>
          <w:trHeight w:val="187"/>
        </w:trPr>
        <w:tc>
          <w:tcPr>
            <w:tcW w:w="460" w:type="dxa"/>
            <w:vAlign w:val="bottom"/>
          </w:tcPr>
          <w:p>
            <w:pPr>
              <w:spacing w:after="0"/>
              <w:rPr>
                <w:sz w:val="16"/>
                <w:szCs w:val="16"/>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7"/>
        </w:trPr>
        <w:tc>
          <w:tcPr>
            <w:tcW w:w="460" w:type="dxa"/>
            <w:vAlign w:val="bottom"/>
          </w:tcPr>
          <w:p>
            <w:pPr>
              <w:spacing w:after="0"/>
              <w:rPr>
                <w:sz w:val="20"/>
                <w:szCs w:val="20"/>
                <w:color w:val="auto"/>
              </w:rPr>
            </w:pPr>
          </w:p>
        </w:tc>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3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shd w:val="clear" w:color="auto" w:fill="CFF0FC"/>
          </w:tcPr>
          <w:p>
            <w:pPr>
              <w:spacing w:after="0"/>
              <w:rPr>
                <w:sz w:val="20"/>
                <w:szCs w:val="20"/>
                <w:color w:val="auto"/>
              </w:rPr>
            </w:pPr>
          </w:p>
        </w:tc>
        <w:tc>
          <w:tcPr>
            <w:tcW w:w="440" w:type="dxa"/>
            <w:vAlign w:val="bottom"/>
          </w:tcPr>
          <w:p>
            <w:pPr>
              <w:spacing w:after="0"/>
              <w:rPr>
                <w:sz w:val="20"/>
                <w:szCs w:val="20"/>
                <w:color w:val="auto"/>
              </w:rPr>
            </w:pPr>
          </w:p>
        </w:tc>
      </w:tr>
      <w:tr>
        <w:trPr>
          <w:trHeight w:val="239"/>
        </w:trPr>
        <w:tc>
          <w:tcPr>
            <w:tcW w:w="460" w:type="dxa"/>
            <w:vAlign w:val="bottom"/>
          </w:tcPr>
          <w:p>
            <w:pPr>
              <w:spacing w:after="0"/>
              <w:rPr>
                <w:sz w:val="20"/>
                <w:szCs w:val="20"/>
                <w:color w:val="auto"/>
              </w:rPr>
            </w:pPr>
          </w:p>
        </w:tc>
        <w:tc>
          <w:tcPr>
            <w:tcW w:w="4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Costs amortized</w:t>
            </w: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(8,816 )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(4,792 )</w:t>
            </w:r>
          </w:p>
        </w:tc>
        <w:tc>
          <w:tcPr>
            <w:tcW w:w="440" w:type="dxa"/>
            <w:vAlign w:val="bottom"/>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4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237"/>
        </w:trPr>
        <w:tc>
          <w:tcPr>
            <w:tcW w:w="4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1"/>
        </w:trPr>
        <w:tc>
          <w:tcPr>
            <w:tcW w:w="460" w:type="dxa"/>
            <w:vAlign w:val="bottom"/>
          </w:tcPr>
          <w:p>
            <w:pPr>
              <w:spacing w:after="0"/>
              <w:rPr>
                <w:sz w:val="20"/>
                <w:szCs w:val="20"/>
                <w:color w:val="auto"/>
              </w:rPr>
            </w:pPr>
          </w:p>
        </w:tc>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2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tcPr>
          <w:p>
            <w:pPr>
              <w:spacing w:after="0"/>
              <w:rPr>
                <w:sz w:val="20"/>
                <w:szCs w:val="20"/>
                <w:color w:val="auto"/>
              </w:rPr>
            </w:pPr>
          </w:p>
        </w:tc>
      </w:tr>
      <w:tr>
        <w:trPr>
          <w:trHeight w:val="239"/>
        </w:trPr>
        <w:tc>
          <w:tcPr>
            <w:tcW w:w="460" w:type="dxa"/>
            <w:vAlign w:val="bottom"/>
          </w:tcPr>
          <w:p>
            <w:pPr>
              <w:spacing w:after="0"/>
              <w:rPr>
                <w:sz w:val="20"/>
                <w:szCs w:val="20"/>
                <w:color w:val="auto"/>
              </w:rPr>
            </w:pPr>
          </w:p>
        </w:tc>
        <w:tc>
          <w:tcPr>
            <w:tcW w:w="4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4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Non-current</w:t>
            </w:r>
          </w:p>
        </w:tc>
        <w:tc>
          <w:tcPr>
            <w:tcW w:w="2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241"/>
        </w:trPr>
        <w:tc>
          <w:tcPr>
            <w:tcW w:w="4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contract costs (deferred commissions)</w:t>
            </w:r>
          </w:p>
        </w:tc>
        <w:tc>
          <w:tcPr>
            <w:tcW w:w="23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2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F-27</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02"/>
        </w:trPr>
        <w:tc>
          <w:tcPr>
            <w:tcW w:w="460" w:type="dxa"/>
            <w:vAlign w:val="bottom"/>
            <w:tcBorders>
              <w:bottom w:val="single" w:sz="8" w:color="9A9A9A"/>
            </w:tcBorders>
          </w:tcPr>
          <w:p>
            <w:pPr>
              <w:spacing w:after="0"/>
              <w:rPr>
                <w:sz w:val="8"/>
                <w:szCs w:val="8"/>
                <w:color w:val="auto"/>
              </w:rPr>
            </w:pPr>
          </w:p>
        </w:tc>
        <w:tc>
          <w:tcPr>
            <w:tcW w:w="440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-1242695</wp:posOffset>
            </wp:positionV>
            <wp:extent cx="6858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-1242695</wp:posOffset>
            </wp:positionV>
            <wp:extent cx="5969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-608330</wp:posOffset>
            </wp:positionV>
            <wp:extent cx="68580" cy="1885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-608330</wp:posOffset>
            </wp:positionV>
            <wp:extent cx="59690"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ind w:left="520" w:right="2300"/>
        <w:spacing w:after="0" w:line="282" w:lineRule="auto"/>
        <w:rPr>
          <w:sz w:val="20"/>
          <w:szCs w:val="20"/>
          <w:color w:val="auto"/>
        </w:rPr>
      </w:pPr>
      <w:r>
        <w:rPr>
          <w:rFonts w:ascii="Times New Roman" w:cs="Times New Roman" w:eastAsia="Times New Roman" w:hAnsi="Times New Roman"/>
          <w:sz w:val="18"/>
          <w:szCs w:val="18"/>
          <w:color w:val="auto"/>
        </w:rPr>
        <w:t>A summary of the activity impacting deferred revenue balances during the years ended December 31, 2022 and 2021 is presented below:</w:t>
      </w:r>
    </w:p>
    <w:p>
      <w:pPr>
        <w:spacing w:after="0" w:line="15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84,023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61,200</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(222,653 )</w:t>
            </w:r>
          </w:p>
        </w:tc>
        <w:tc>
          <w:tcPr>
            <w:tcW w:w="24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(166,154 )</w:t>
            </w:r>
          </w:p>
        </w:tc>
      </w:tr>
      <w:tr>
        <w:trPr>
          <w:trHeight w:val="243"/>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238,558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99,928</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84,023</w:t>
            </w:r>
          </w:p>
        </w:tc>
        <w:tc>
          <w:tcPr>
            <w:tcW w:w="10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-187960</wp:posOffset>
            </wp:positionV>
            <wp:extent cx="6858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7"/>
        </w:trPr>
        <w:tc>
          <w:tcPr>
            <w:tcW w:w="5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7"/>
        </w:trPr>
        <w:tc>
          <w:tcPr>
            <w:tcW w:w="52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37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183,527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155,134</w:t>
            </w:r>
          </w:p>
        </w:tc>
        <w:tc>
          <w:tcPr>
            <w:tcW w:w="100" w:type="dxa"/>
            <w:vAlign w:val="bottom"/>
            <w:shd w:val="clear" w:color="auto" w:fill="CFF0FC"/>
          </w:tcPr>
          <w:p>
            <w:pPr>
              <w:spacing w:after="0"/>
              <w:rPr>
                <w:sz w:val="20"/>
                <w:szCs w:val="20"/>
                <w:color w:val="auto"/>
              </w:rPr>
            </w:pPr>
          </w:p>
        </w:tc>
        <w:tc>
          <w:tcPr>
            <w:tcW w:w="500" w:type="dxa"/>
            <w:vAlign w:val="bottom"/>
          </w:tcPr>
          <w:p>
            <w:pPr>
              <w:spacing w:after="0"/>
              <w:rPr>
                <w:sz w:val="20"/>
                <w:szCs w:val="20"/>
                <w:color w:val="auto"/>
              </w:rPr>
            </w:pPr>
          </w:p>
        </w:tc>
      </w:tr>
      <w:tr>
        <w:trPr>
          <w:trHeight w:val="239"/>
        </w:trPr>
        <w:tc>
          <w:tcPr>
            <w:tcW w:w="5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81"/>
        </w:trPr>
        <w:tc>
          <w:tcPr>
            <w:tcW w:w="520" w:type="dxa"/>
            <w:vAlign w:val="bottom"/>
          </w:tcPr>
          <w:p>
            <w:pPr>
              <w:spacing w:after="0"/>
              <w:rPr>
                <w:sz w:val="24"/>
                <w:szCs w:val="24"/>
                <w:color w:val="auto"/>
              </w:rPr>
            </w:pPr>
          </w:p>
        </w:tc>
        <w:tc>
          <w:tcPr>
            <w:tcW w:w="29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7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276,991</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250,488</w:t>
            </w:r>
          </w:p>
        </w:tc>
        <w:tc>
          <w:tcPr>
            <w:tcW w:w="100" w:type="dxa"/>
            <w:vAlign w:val="bottom"/>
            <w:tcBorders>
              <w:bottom w:val="single" w:sz="8" w:color="CFF0FC"/>
            </w:tcBorders>
            <w:shd w:val="clear" w:color="auto" w:fill="CFF0FC"/>
          </w:tcPr>
          <w:p>
            <w:pPr>
              <w:spacing w:after="0"/>
              <w:rPr>
                <w:sz w:val="24"/>
                <w:szCs w:val="24"/>
                <w:color w:val="auto"/>
              </w:rPr>
            </w:pPr>
          </w:p>
        </w:tc>
        <w:tc>
          <w:tcPr>
            <w:tcW w:w="500" w:type="dxa"/>
            <w:vAlign w:val="bottom"/>
          </w:tcPr>
          <w:p>
            <w:pPr>
              <w:spacing w:after="0"/>
              <w:rPr>
                <w:sz w:val="24"/>
                <w:szCs w:val="24"/>
                <w:color w:val="auto"/>
              </w:rPr>
            </w:pPr>
          </w:p>
        </w:tc>
      </w:tr>
      <w:tr>
        <w:trPr>
          <w:trHeight w:val="736"/>
        </w:trPr>
        <w:tc>
          <w:tcPr>
            <w:tcW w:w="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980" w:type="dxa"/>
            <w:vAlign w:val="bottom"/>
            <w:gridSpan w:val="2"/>
          </w:tcPr>
          <w:p>
            <w:pPr>
              <w:jc w:val="right"/>
              <w:ind w:right="1530"/>
              <w:spacing w:after="0"/>
              <w:rPr>
                <w:sz w:val="20"/>
                <w:szCs w:val="20"/>
                <w:color w:val="auto"/>
              </w:rPr>
            </w:pPr>
            <w:r>
              <w:rPr>
                <w:rFonts w:ascii="Times New Roman" w:cs="Times New Roman" w:eastAsia="Times New Roman" w:hAnsi="Times New Roman"/>
                <w:sz w:val="18"/>
                <w:szCs w:val="18"/>
                <w:color w:val="auto"/>
              </w:rPr>
              <w:t>F-28</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-590550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-573405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-590550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-573405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3" w:name="page104"/>
    <w:bookmarkEnd w:id="103"/>
    <w:p>
      <w:pPr>
        <w:ind w:left="560" w:hanging="552"/>
        <w:spacing w:after="0"/>
        <w:tabs>
          <w:tab w:leader="none" w:pos="5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leases real estate in the form of office space facilities. Generally, the term for real estate leases ranges from 1 to 9 years at inception of the contract. Some real estate leases include options to renew that can extend the original term by 5 to 10 years.</w:t>
      </w:r>
    </w:p>
    <w:p>
      <w:pPr>
        <w:spacing w:after="0" w:line="54" w:lineRule="exact"/>
        <w:rPr>
          <w:sz w:val="20"/>
          <w:szCs w:val="20"/>
          <w:color w:val="auto"/>
        </w:rPr>
      </w:pPr>
    </w:p>
    <w:p>
      <w:pPr>
        <w:jc w:val="both"/>
        <w:ind w:right="860" w:firstLine="509"/>
        <w:spacing w:after="0" w:line="282" w:lineRule="auto"/>
        <w:rPr>
          <w:sz w:val="20"/>
          <w:szCs w:val="20"/>
          <w:color w:val="auto"/>
        </w:rPr>
      </w:pPr>
      <w:r>
        <w:rPr>
          <w:rFonts w:ascii="Times New Roman" w:cs="Times New Roman" w:eastAsia="Times New Roman" w:hAnsi="Times New Roman"/>
          <w:sz w:val="18"/>
          <w:szCs w:val="18"/>
          <w:color w:val="auto"/>
        </w:rPr>
        <w:t>Operating lease costs are allocated according to headcount to cost of revenue, sales and marketing, product development and general and administrative expenses in the consolidated statements of operations. As of December 31, 2022, the Company does not have any finance leases.</w:t>
      </w:r>
    </w:p>
    <w:p>
      <w:pPr>
        <w:spacing w:after="0" w:line="5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During the first quarter of 2022, the Company gave notice of its intent to extend one of its office lease facilities for an additional five-year period and the extension was accounted for as a lease modification under ASC 842. Accordingly, the Company recorded a right-of-use asset and corresponding operating lease liability of $6.0 million, which represented the present value of the expected future minimum lease payments. During the quarter ended June 30, 2022, the Company’s executive leadership team approved a program to exit the office lease facility and signed an agreement with the landlord to withdraw the Company’s exercise of the option to extend. As a result, the lease terminated on December 31, 2022. This was accounted for as a lease modification under ASC 842 and the Company reduced the right-of-use asset by $6.0 million in the second quarter of 2022. The Company ceased use of the office facility during the same quarter and accordingly recorded an impairment charge of $0.7 million, which represented the remaining carrying value of the right-of-use asset as of June 30, 2022.</w:t>
      </w:r>
    </w:p>
    <w:p>
      <w:pPr>
        <w:spacing w:after="0" w:line="84"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Also during the second quarter of 2022, the Company executed a plan to exit one of its other office facilities by exercising an early termination clause, which was accounted for as a lease modification under ASC 842. The Company ceased use of the office facility during the second quarter and accordingly recorded a $0.2 million impairment charge, which represented the remaining carrying value of the right-of-use asset as of June 30, 2022.</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the following lease costs for the year ended December 31, 2022:</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7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Lease Cost</w:t>
            </w:r>
          </w:p>
        </w:tc>
        <w:tc>
          <w:tcPr>
            <w:tcW w:w="7860" w:type="dxa"/>
            <w:vAlign w:val="bottom"/>
            <w:tcBorders>
              <w:bottom w:val="single" w:sz="8" w:color="CFF0FC"/>
            </w:tcBorders>
            <w:gridSpan w:val="2"/>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Capitalized operating lease cost</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86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6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3480" w:type="dxa"/>
            <w:vAlign w:val="bottom"/>
            <w:tcBorders>
              <w:bottom w:val="single" w:sz="8" w:color="auto"/>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w w:val="99"/>
              </w:rPr>
              <w:t>Supplemental Cash Flow and Other Information</w:t>
            </w:r>
          </w:p>
        </w:tc>
        <w:tc>
          <w:tcPr>
            <w:tcW w:w="5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 and capitalized operating leases: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86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w:t>
            </w:r>
          </w:p>
        </w:tc>
        <w:tc>
          <w:tcPr>
            <w:tcW w:w="42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86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-1356995</wp:posOffset>
            </wp:positionV>
            <wp:extent cx="59690"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and discount rate consisted of the following at December 31,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3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340" w:type="dxa"/>
            <w:vAlign w:val="bottom"/>
          </w:tcPr>
          <w:p>
            <w:pPr>
              <w:spacing w:after="0"/>
              <w:rPr>
                <w:sz w:val="20"/>
                <w:szCs w:val="20"/>
                <w:color w:val="auto"/>
              </w:rPr>
            </w:pPr>
          </w:p>
        </w:tc>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140" w:type="dxa"/>
            <w:vAlign w:val="bottom"/>
            <w:shd w:val="clear" w:color="auto" w:fill="CFF0FC"/>
          </w:tcPr>
          <w:p>
            <w:pPr>
              <w:spacing w:after="0"/>
              <w:rPr>
                <w:sz w:val="20"/>
                <w:szCs w:val="20"/>
                <w:color w:val="auto"/>
              </w:rPr>
            </w:pPr>
          </w:p>
        </w:tc>
        <w:tc>
          <w:tcPr>
            <w:tcW w:w="1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tcPr>
          <w:p>
            <w:pPr>
              <w:spacing w:after="0"/>
              <w:rPr>
                <w:sz w:val="20"/>
                <w:szCs w:val="20"/>
                <w:color w:val="auto"/>
              </w:rPr>
            </w:pPr>
          </w:p>
        </w:tc>
      </w:tr>
      <w:tr>
        <w:trPr>
          <w:trHeight w:val="239"/>
        </w:trPr>
        <w:tc>
          <w:tcPr>
            <w:tcW w:w="340" w:type="dxa"/>
            <w:vAlign w:val="bottom"/>
          </w:tcPr>
          <w:p>
            <w:pPr>
              <w:spacing w:after="0"/>
              <w:rPr>
                <w:sz w:val="20"/>
                <w:szCs w:val="20"/>
                <w:color w:val="auto"/>
              </w:rPr>
            </w:pPr>
          </w:p>
        </w:tc>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4380" w:type="dxa"/>
            <w:vAlign w:val="bottom"/>
            <w:shd w:val="clear" w:color="auto" w:fill="CFF0FC"/>
          </w:tcPr>
          <w:p>
            <w:pPr>
              <w:spacing w:after="0"/>
              <w:rPr>
                <w:sz w:val="21"/>
                <w:szCs w:val="21"/>
                <w:color w:val="auto"/>
              </w:rPr>
            </w:pPr>
          </w:p>
        </w:tc>
        <w:tc>
          <w:tcPr>
            <w:tcW w:w="414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234"/>
        </w:trPr>
        <w:tc>
          <w:tcPr>
            <w:tcW w:w="34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8"/>
        </w:trPr>
        <w:tc>
          <w:tcPr>
            <w:tcW w:w="340" w:type="dxa"/>
            <w:vAlign w:val="bottom"/>
          </w:tcPr>
          <w:p>
            <w:pPr>
              <w:spacing w:after="0"/>
              <w:rPr>
                <w:sz w:val="20"/>
                <w:szCs w:val="20"/>
                <w:color w:val="auto"/>
              </w:rPr>
            </w:pPr>
          </w:p>
        </w:tc>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65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4.2 %</w:t>
            </w:r>
          </w:p>
        </w:tc>
      </w:tr>
      <w:tr>
        <w:trPr>
          <w:trHeight w:val="554"/>
        </w:trPr>
        <w:tc>
          <w:tcPr>
            <w:tcW w:w="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520" w:type="dxa"/>
            <w:vAlign w:val="bottom"/>
            <w:gridSpan w:val="4"/>
          </w:tcPr>
          <w:p>
            <w:pPr>
              <w:jc w:val="right"/>
              <w:ind w:right="5440"/>
              <w:spacing w:after="0"/>
              <w:rPr>
                <w:sz w:val="20"/>
                <w:szCs w:val="20"/>
                <w:color w:val="auto"/>
              </w:rPr>
            </w:pPr>
            <w:r>
              <w:rPr>
                <w:rFonts w:ascii="Times New Roman" w:cs="Times New Roman" w:eastAsia="Times New Roman" w:hAnsi="Times New Roman"/>
                <w:sz w:val="18"/>
                <w:szCs w:val="18"/>
                <w:color w:val="auto"/>
              </w:rPr>
              <w:t>F-29</w:t>
            </w:r>
          </w:p>
        </w:tc>
      </w:tr>
      <w:tr>
        <w:trPr>
          <w:trHeight w:val="101"/>
        </w:trPr>
        <w:tc>
          <w:tcPr>
            <w:tcW w:w="34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414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-574040</wp:posOffset>
            </wp:positionV>
            <wp:extent cx="6703695"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67036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4" w:name="page105"/>
    <w:bookmarkEnd w:id="104"/>
    <w:p>
      <w:pPr>
        <w:ind w:firstLine="509"/>
        <w:spacing w:after="0" w:line="266"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(displayed by year and in the aggregate) under noncancelable operating leases with terms of more than one year to the total operating lease liabilities recognized on the consolidated balance sheets as of December 31, 2022.</w:t>
      </w:r>
    </w:p>
    <w:p>
      <w:pPr>
        <w:spacing w:after="0" w:line="75"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Capitalized Operating Lease</w:t>
            </w:r>
          </w:p>
        </w:tc>
        <w:tc>
          <w:tcPr>
            <w:tcW w:w="100" w:type="dxa"/>
            <w:vAlign w:val="bottom"/>
          </w:tcPr>
          <w:p>
            <w:pPr>
              <w:spacing w:after="0"/>
              <w:rPr>
                <w:sz w:val="16"/>
                <w:szCs w:val="16"/>
                <w:color w:val="auto"/>
              </w:rPr>
            </w:pPr>
          </w:p>
        </w:tc>
      </w:tr>
      <w:tr>
        <w:trPr>
          <w:trHeight w:val="23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shd w:val="clear" w:color="auto" w:fill="CFF0FC"/>
          </w:tcPr>
          <w:p>
            <w:pPr>
              <w:spacing w:after="0"/>
              <w:rPr>
                <w:sz w:val="20"/>
                <w:szCs w:val="20"/>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20"/>
                <w:szCs w:val="20"/>
                <w:color w:val="auto"/>
              </w:rPr>
            </w:pPr>
          </w:p>
        </w:tc>
      </w:tr>
      <w:tr>
        <w:trPr>
          <w:trHeight w:val="276"/>
        </w:trPr>
        <w:tc>
          <w:tcPr>
            <w:tcW w:w="85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8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7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balance at December 31, 2022</w:t>
            </w:r>
          </w:p>
        </w:tc>
        <w:tc>
          <w:tcPr>
            <w:tcW w:w="7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0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-521970</wp:posOffset>
            </wp:positionV>
            <wp:extent cx="59690"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Future aggregate minimum annual lease payments as of December 31, 2021 under the previous lease accounting standard were as follows: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00" w:type="dxa"/>
            <w:vAlign w:val="bottom"/>
          </w:tcPr>
          <w:p>
            <w:pPr>
              <w:spacing w:after="0"/>
              <w:rPr>
                <w:sz w:val="16"/>
                <w:szCs w:val="16"/>
                <w:color w:val="auto"/>
              </w:rPr>
            </w:pPr>
          </w:p>
        </w:tc>
      </w:tr>
      <w:tr>
        <w:trPr>
          <w:trHeight w:val="23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shd w:val="clear" w:color="auto" w:fill="CFF0FC"/>
          </w:tcPr>
          <w:p>
            <w:pPr>
              <w:spacing w:after="0"/>
              <w:rPr>
                <w:sz w:val="20"/>
                <w:szCs w:val="20"/>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tcPr>
          <w:p>
            <w:pPr>
              <w:spacing w:after="0"/>
              <w:rPr>
                <w:sz w:val="20"/>
                <w:szCs w:val="20"/>
                <w:color w:val="auto"/>
              </w:rPr>
            </w:pPr>
          </w:p>
        </w:tc>
      </w:tr>
      <w:tr>
        <w:trPr>
          <w:trHeight w:val="277"/>
        </w:trPr>
        <w:tc>
          <w:tcPr>
            <w:tcW w:w="85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Total rent expense, which was allocated according to headcount to cost of revenue, sales and marketing, product development and general and administrative expenses in the consolidated statements of operations, was $2.4 million, $2.8 million, and $1.8 million for the years ended December 31, 2022, 2021, and 2020, respectively.</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has entered into one lease agreement for an office facility in Sweden for a term of four years that has not yet commenced. This lease will require lease payments over the term of approximately $1.8 million.</w:t>
      </w: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5" w:right="519" w:bottom="1440" w:gutter="0" w:footer="0" w:header="0"/>
        </w:sectPr>
      </w:pPr>
    </w:p>
    <w:bookmarkStart w:id="105" w:name="page106"/>
    <w:bookmarkEnd w:id="105"/>
    <w:p>
      <w:pPr>
        <w:ind w:left="560" w:hanging="552"/>
        <w:spacing w:after="0"/>
        <w:tabs>
          <w:tab w:leader="none" w:pos="5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Short-term investments classified as available-for-sale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60" w:type="dxa"/>
            <w:vAlign w:val="bottom"/>
          </w:tcPr>
          <w:p>
            <w:pPr>
              <w:spacing w:after="0"/>
              <w:rPr>
                <w:sz w:val="14"/>
                <w:szCs w:val="14"/>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4"/>
                <w:szCs w:val="14"/>
                <w:color w:val="auto"/>
              </w:rPr>
            </w:pP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8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4"/>
                <w:szCs w:val="14"/>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37"/>
        </w:trPr>
        <w:tc>
          <w:tcPr>
            <w:tcW w:w="460" w:type="dxa"/>
            <w:vAlign w:val="bottom"/>
          </w:tcPr>
          <w:p>
            <w:pPr>
              <w:spacing w:after="0"/>
              <w:rPr>
                <w:sz w:val="20"/>
                <w:szCs w:val="20"/>
                <w:color w:val="auto"/>
              </w:rPr>
            </w:pPr>
          </w:p>
        </w:tc>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tcPr>
          <w:p>
            <w:pPr>
              <w:spacing w:after="0"/>
              <w:rPr>
                <w:sz w:val="20"/>
                <w:szCs w:val="20"/>
                <w:color w:val="auto"/>
              </w:rPr>
            </w:pPr>
          </w:p>
        </w:tc>
      </w:tr>
      <w:tr>
        <w:trPr>
          <w:trHeight w:val="239"/>
        </w:trPr>
        <w:tc>
          <w:tcPr>
            <w:tcW w:w="46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59,849</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7"/>
        </w:trPr>
        <w:tc>
          <w:tcPr>
            <w:tcW w:w="460" w:type="dxa"/>
            <w:vAlign w:val="bottom"/>
          </w:tcPr>
          <w:p>
            <w:pPr>
              <w:spacing w:after="0"/>
              <w:rPr>
                <w:sz w:val="21"/>
                <w:szCs w:val="21"/>
                <w:color w:val="auto"/>
              </w:rPr>
            </w:pPr>
          </w:p>
        </w:tc>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Agency bonds</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239"/>
        </w:trPr>
        <w:tc>
          <w:tcPr>
            <w:tcW w:w="46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95,831</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(123 )</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23,034</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(24 )</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100" w:type="dxa"/>
            <w:vAlign w:val="bottom"/>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460" w:type="dxa"/>
            <w:vAlign w:val="bottom"/>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1"/>
        </w:trPr>
        <w:tc>
          <w:tcPr>
            <w:tcW w:w="46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185,164</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(278 </w:t>
            </w:r>
            <w:r>
              <w:rPr>
                <w:rFonts w:ascii="Times New Roman" w:cs="Times New Roman" w:eastAsia="Times New Roman" w:hAnsi="Times New Roman"/>
                <w:sz w:val="18"/>
                <w:szCs w:val="18"/>
                <w:color w:val="auto"/>
                <w:highlight w:val="white"/>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737"/>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F-31</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-753745</wp:posOffset>
            </wp:positionV>
            <wp:extent cx="68580"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-753745</wp:posOffset>
            </wp:positionV>
            <wp:extent cx="6858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-753745</wp:posOffset>
            </wp:positionV>
            <wp:extent cx="5969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6" w:name="page107"/>
    <w:bookmarkEnd w:id="106"/>
    <w:p>
      <w:pPr>
        <w:ind w:left="520" w:hanging="512"/>
        <w:spacing w:after="0"/>
        <w:tabs>
          <w:tab w:leader="none" w:pos="5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5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w:t>
            </w:r>
          </w:p>
        </w:tc>
        <w:tc>
          <w:tcPr>
            <w:tcW w:w="2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4000" w:type="dxa"/>
            <w:vAlign w:val="bottom"/>
            <w:shd w:val="clear" w:color="auto" w:fill="CFF0FC"/>
          </w:tcPr>
          <w:p>
            <w:pPr>
              <w:spacing w:after="0"/>
              <w:rPr>
                <w:sz w:val="20"/>
                <w:szCs w:val="20"/>
                <w:color w:val="auto"/>
              </w:rPr>
            </w:pPr>
          </w:p>
        </w:tc>
        <w:tc>
          <w:tcPr>
            <w:tcW w:w="2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60,661</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(1,862 )</w:t>
            </w:r>
          </w:p>
        </w:tc>
        <w:tc>
          <w:tcPr>
            <w:tcW w:w="2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(1,397 )</w:t>
            </w:r>
          </w:p>
        </w:tc>
        <w:tc>
          <w:tcPr>
            <w:tcW w:w="560" w:type="dxa"/>
            <w:vAlign w:val="bottom"/>
          </w:tcPr>
          <w:p>
            <w:pPr>
              <w:spacing w:after="0"/>
              <w:rPr>
                <w:sz w:val="20"/>
                <w:szCs w:val="20"/>
                <w:color w:val="auto"/>
              </w:rPr>
            </w:pPr>
          </w:p>
        </w:tc>
      </w:tr>
      <w:tr>
        <w:trPr>
          <w:trHeight w:val="281"/>
        </w:trPr>
        <w:tc>
          <w:tcPr>
            <w:tcW w:w="580" w:type="dxa"/>
            <w:vAlign w:val="bottom"/>
          </w:tcPr>
          <w:p>
            <w:pPr>
              <w:spacing w:after="0"/>
              <w:rPr>
                <w:sz w:val="24"/>
                <w:szCs w:val="24"/>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5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737"/>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78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F-32</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-590550</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-573405</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-590550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-573405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7" w:name="page108"/>
    <w:bookmarkEnd w:id="107"/>
    <w:p>
      <w:pPr>
        <w:ind w:left="520" w:hanging="512"/>
        <w:spacing w:after="0"/>
        <w:tabs>
          <w:tab w:leader="none" w:pos="5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3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shd w:val="clear" w:color="auto" w:fill="CFF0FC"/>
          </w:tcPr>
          <w:p>
            <w:pPr>
              <w:spacing w:after="0"/>
              <w:rPr>
                <w:sz w:val="21"/>
                <w:szCs w:val="21"/>
                <w:color w:val="auto"/>
              </w:rPr>
            </w:pPr>
          </w:p>
        </w:tc>
      </w:tr>
      <w:tr>
        <w:trPr>
          <w:trHeight w:val="236"/>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(4,798 )</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(4,603 )</w:t>
            </w:r>
          </w:p>
        </w:tc>
      </w:tr>
      <w:tr>
        <w:trPr>
          <w:trHeight w:val="241"/>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Borders>
              <w:top w:val="single" w:sz="8" w:color="CFF0FC"/>
            </w:tcBorders>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$2.2 million, $1.7 million and $1.2 million for the years ended December 31, 2022, 2021 and 2020, respectively.</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second quarter of 2022, due to office relocations, the Company recorded an impairment charge of $1.0 million, comprised of $0.9 million relating to the operating lease right-of-use assets, and $0.1 million relating to the leasehold improvements. These charges were recognized within Transaction, integration and restructuring expenses in the Company’s consolidated statements of operations. The Company also recorded accelerated depreciation of computer equipment of $0.2 million. In connection with the office relocations, the Company disposed of $1.0 million of fully-depreciated property and equipment in the second quarter of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08" w:name="page109"/>
    <w:bookmarkEnd w:id="108"/>
    <w:p>
      <w:pPr>
        <w:ind w:left="520" w:hanging="512"/>
        <w:spacing w:after="0"/>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goodwill and intangible assets, as of December 31, 2022 and 2021, consist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1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11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409,430</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(128,745 )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Developed technologies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(25,514 )</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(7,150 )</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Database</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(40,393 )</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(201,802 )</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1,323,102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1,323,102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1,875,626</w:t>
            </w:r>
          </w:p>
        </w:tc>
        <w:tc>
          <w:tcPr>
            <w:tcW w:w="260" w:type="dxa"/>
            <w:vAlign w:val="bottom"/>
          </w:tcPr>
          <w:p>
            <w:pPr>
              <w:spacing w:after="0"/>
              <w:rPr>
                <w:sz w:val="20"/>
                <w:szCs w:val="20"/>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(201,802 )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1,673,824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1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11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370,030</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(92,942 )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Developed technologies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(17,475 )</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(5,034 )</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Database</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(31,789 )</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499,710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(147,240 )</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1,261,444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1,261,444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1,761,154</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(147,240 )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1,613,914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-2348230</wp:posOffset>
            </wp:positionV>
            <wp:extent cx="68580" cy="162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-2348230</wp:posOffset>
            </wp:positionV>
            <wp:extent cx="60325" cy="162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4">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-2348230</wp:posOffset>
            </wp:positionV>
            <wp:extent cx="60325" cy="162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5">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-2030730</wp:posOffset>
            </wp:positionV>
            <wp:extent cx="68580"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-2030730</wp:posOffset>
            </wp:positionV>
            <wp:extent cx="60325"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-2030730</wp:posOffset>
            </wp:positionV>
            <wp:extent cx="60325"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-505460</wp:posOffset>
            </wp:positionV>
            <wp:extent cx="68580" cy="163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-505460</wp:posOffset>
            </wp:positionV>
            <wp:extent cx="60325" cy="1631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1631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68580" cy="1885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60325" cy="188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0"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associated with finite-lived intangible assets was $54.7 million, $58.2 million, and $58.4 million for the years ended December 31, 2022, 2021 and 2020, respectively, of which $16.8 million, $21.3 million and $19.4 million was included in cost of revenue for each respective period.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total intangible amortization expense during the next five years and thereafter is as follows:</w:t>
      </w:r>
    </w:p>
    <w:p>
      <w:pPr>
        <w:spacing w:after="0" w:line="325"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49,833</w:t>
            </w:r>
          </w:p>
        </w:tc>
        <w:tc>
          <w:tcPr>
            <w:tcW w:w="100" w:type="dxa"/>
            <w:vAlign w:val="bottom"/>
            <w:shd w:val="clear" w:color="auto" w:fill="CFF0FC"/>
          </w:tcPr>
          <w:p>
            <w:pPr>
              <w:spacing w:after="0"/>
              <w:rPr>
                <w:sz w:val="21"/>
                <w:szCs w:val="21"/>
                <w:color w:val="auto"/>
              </w:rPr>
            </w:pP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46,986</w:t>
            </w:r>
          </w:p>
        </w:tc>
        <w:tc>
          <w:tcPr>
            <w:tcW w:w="100" w:type="dxa"/>
            <w:vAlign w:val="bottom"/>
          </w:tcPr>
          <w:p>
            <w:pPr>
              <w:spacing w:after="0"/>
              <w:rPr>
                <w:sz w:val="20"/>
                <w:szCs w:val="20"/>
                <w:color w:val="auto"/>
              </w:rPr>
            </w:pPr>
          </w:p>
        </w:tc>
      </w:tr>
      <w:tr>
        <w:trPr>
          <w:trHeight w:val="247"/>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42,420</w:t>
            </w:r>
          </w:p>
        </w:tc>
        <w:tc>
          <w:tcPr>
            <w:tcW w:w="100" w:type="dxa"/>
            <w:vAlign w:val="bottom"/>
            <w:shd w:val="clear" w:color="auto" w:fill="CFF0FC"/>
          </w:tcPr>
          <w:p>
            <w:pPr>
              <w:spacing w:after="0"/>
              <w:rPr>
                <w:sz w:val="21"/>
                <w:szCs w:val="21"/>
                <w:color w:val="auto"/>
              </w:rPr>
            </w:pP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34,888</w:t>
            </w:r>
          </w:p>
        </w:tc>
        <w:tc>
          <w:tcPr>
            <w:tcW w:w="100" w:type="dxa"/>
            <w:vAlign w:val="bottom"/>
          </w:tcPr>
          <w:p>
            <w:pPr>
              <w:spacing w:after="0"/>
              <w:rPr>
                <w:sz w:val="20"/>
                <w:szCs w:val="20"/>
                <w:color w:val="auto"/>
              </w:rPr>
            </w:pPr>
          </w:p>
        </w:tc>
      </w:tr>
      <w:tr>
        <w:trPr>
          <w:trHeight w:val="247"/>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28,559</w:t>
            </w:r>
          </w:p>
        </w:tc>
        <w:tc>
          <w:tcPr>
            <w:tcW w:w="100" w:type="dxa"/>
            <w:vAlign w:val="bottom"/>
            <w:shd w:val="clear" w:color="auto" w:fill="CFF0FC"/>
          </w:tcPr>
          <w:p>
            <w:pPr>
              <w:spacing w:after="0"/>
              <w:rPr>
                <w:sz w:val="21"/>
                <w:szCs w:val="21"/>
                <w:color w:val="auto"/>
              </w:rPr>
            </w:pP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148,036</w:t>
            </w:r>
          </w:p>
        </w:tc>
        <w:tc>
          <w:tcPr>
            <w:tcW w:w="100" w:type="dxa"/>
            <w:vAlign w:val="bottom"/>
          </w:tcPr>
          <w:p>
            <w:pPr>
              <w:spacing w:after="0"/>
              <w:rPr>
                <w:sz w:val="20"/>
                <w:szCs w:val="20"/>
                <w:color w:val="auto"/>
              </w:rPr>
            </w:pPr>
          </w:p>
        </w:tc>
      </w:tr>
      <w:tr>
        <w:trPr>
          <w:trHeight w:val="277"/>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350,722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-8255</wp:posOffset>
            </wp:positionV>
            <wp:extent cx="603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goodwill increased by $61.7 million during the year ended December 31, 2022 as a result of the AW acquisition (Note 3).</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determined it had one reporting unit. The Company performed its annual impairment assessment in the fourth quarters of 2022, 2021 and 2020 and determined there was no impairment to its goodwill or intangible assets in either year.</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109" w:name="page110"/>
    <w:bookmarkEnd w:id="109"/>
    <w:p>
      <w:pPr>
        <w:ind w:left="520" w:hanging="512"/>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Long-term debt consisted of the following as of December 31, 2022 and 2021, respectively:</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gridSpan w:val="2"/>
          </w:tcPr>
          <w:p>
            <w:pPr>
              <w:jc w:val="center"/>
              <w:ind w:right="31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220" w:type="dxa"/>
            <w:vAlign w:val="bottom"/>
          </w:tcPr>
          <w:p>
            <w:pPr>
              <w:spacing w:after="0"/>
              <w:rPr>
                <w:sz w:val="11"/>
                <w:szCs w:val="11"/>
                <w:color w:val="auto"/>
              </w:rPr>
            </w:pPr>
          </w:p>
        </w:tc>
        <w:tc>
          <w:tcPr>
            <w:tcW w:w="11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11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2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Term Loan</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266,406</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255,765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gridSpan w:val="2"/>
          </w:tcPr>
          <w:p>
            <w:pPr>
              <w:jc w:val="center"/>
              <w:ind w:right="31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220" w:type="dxa"/>
            <w:vAlign w:val="bottom"/>
          </w:tcPr>
          <w:p>
            <w:pPr>
              <w:spacing w:after="0"/>
              <w:rPr>
                <w:sz w:val="11"/>
                <w:szCs w:val="11"/>
                <w:color w:val="auto"/>
              </w:rPr>
            </w:pPr>
          </w:p>
        </w:tc>
        <w:tc>
          <w:tcPr>
            <w:tcW w:w="11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11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2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Term Loan</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273,282</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263,808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-1088390</wp:posOffset>
            </wp:positionV>
            <wp:extent cx="603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-1071245</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-25400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Agreement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the 2019 Credit Agreement (described below). Both the 2021 Term Loan and the 2021 Revolving Line of Credit mature on September 17, 2026. The 2021 Credit Facilities include customary affirmative, negative and financial covenants.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$266.4 million and $273.3 million outstanding on the 2021 Term Loan at December 31, 2022 and 2021. respectively.</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December 31, 2022 and 2021.</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10" w:name="page111"/>
    <w:bookmarkEnd w:id="110"/>
    <w:p>
      <w:pPr>
        <w:ind w:left="520"/>
        <w:spacing w:after="0"/>
        <w:rPr>
          <w:sz w:val="20"/>
          <w:szCs w:val="20"/>
          <w:color w:val="auto"/>
        </w:rPr>
      </w:pPr>
      <w:r>
        <w:rPr>
          <w:rFonts w:ascii="Times New Roman" w:cs="Times New Roman" w:eastAsia="Times New Roman" w:hAnsi="Times New Roman"/>
          <w:sz w:val="18"/>
          <w:szCs w:val="18"/>
          <w:color w:val="auto"/>
        </w:rPr>
        <w:t>On October 31, 2022, the Company amended the 2021 Credit Agreement to replace the LIBO rate with Term SOFR plus an applicable rate.</w:t>
      </w:r>
    </w:p>
    <w:p>
      <w:pPr>
        <w:spacing w:after="0" w:line="11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For both the 2021 Term Loan and 2021 Revolving Line of Credit, DH Holdings may elect from several interest rate options based on the Term SOFR Rate or the Base Rate plus an applicable margin. The applicable margin is based on the total leverage ratio. As of December 31, 2022, the effective interest rate was 6.17%.</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2021 Credit Agreement, the Company capitalized financing costs totaling $3.5 million, of which $2.8 million related to the 2021 Term Loan facility and $0.8 million related to the 2021 Revolving Line of Credit. The financing costs associated with the 2021 Term Loan facility are recorded as a contra-debt balance in Term loan, net of current portion in the consolidated balance sheets and are amortized over the remaining life of the loan using the effective interest method. The Company amortized capitalized financing costs for the 2021 Credit Agreement through interest expense of $0.7 and $0.2 million for the years ended December 31, 2022 and 2021, respectively. The financing costs associated with the 2021 Revolving Line of Credit are recorded in other assets in the consolidated balance sheets and are amortized over the life of the arrangement. At December 31, 2022 and 2021, the unamortized financing costs were $0.6 million and $0.7 million, respectively.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expected future principal payments as of December 31, 2022 are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81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shd w:val="clear" w:color="auto" w:fill="CFF0FC"/>
          </w:tcPr>
          <w:p>
            <w:pPr>
              <w:spacing w:after="0"/>
              <w:rPr>
                <w:sz w:val="21"/>
                <w:szCs w:val="21"/>
                <w:color w:val="auto"/>
              </w:rPr>
            </w:pPr>
          </w:p>
        </w:tc>
      </w:tr>
      <w:tr>
        <w:trPr>
          <w:trHeight w:val="23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20"/>
                <w:szCs w:val="20"/>
                <w:color w:val="auto"/>
              </w:rPr>
            </w:pPr>
          </w:p>
        </w:tc>
      </w:tr>
      <w:tr>
        <w:trPr>
          <w:trHeight w:val="247"/>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shd w:val="clear" w:color="auto" w:fill="CFF0FC"/>
          </w:tcPr>
          <w:p>
            <w:pPr>
              <w:spacing w:after="0"/>
              <w:rPr>
                <w:sz w:val="21"/>
                <w:szCs w:val="21"/>
                <w:color w:val="auto"/>
              </w:rPr>
            </w:pPr>
          </w:p>
        </w:tc>
      </w:tr>
      <w:tr>
        <w:trPr>
          <w:trHeight w:val="23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230,313</w:t>
            </w:r>
          </w:p>
        </w:tc>
        <w:tc>
          <w:tcPr>
            <w:tcW w:w="100" w:type="dxa"/>
            <w:vAlign w:val="bottom"/>
          </w:tcPr>
          <w:p>
            <w:pPr>
              <w:spacing w:after="0"/>
              <w:rPr>
                <w:sz w:val="20"/>
                <w:szCs w:val="20"/>
                <w:color w:val="auto"/>
              </w:rPr>
            </w:pPr>
          </w:p>
        </w:tc>
      </w:tr>
      <w:tr>
        <w:trPr>
          <w:trHeight w:val="277"/>
        </w:trPr>
        <w:tc>
          <w:tcPr>
            <w:tcW w:w="81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1" w:name="page112"/>
    <w:bookmarkEnd w:id="111"/>
    <w:p>
      <w:pPr>
        <w:ind w:left="520" w:hanging="512"/>
        <w:spacing w:after="0"/>
        <w:tabs>
          <w:tab w:leader="none" w:pos="5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 of Using Derivatives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is exposed to risks from changes in interest rates related to the 2021 Term Loan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48" w:lineRule="exact"/>
        <w:rPr>
          <w:sz w:val="20"/>
          <w:szCs w:val="20"/>
          <w:color w:val="auto"/>
        </w:rPr>
      </w:pPr>
    </w:p>
    <w:p>
      <w:pPr>
        <w:ind w:right="20" w:firstLine="653"/>
        <w:spacing w:after="0" w:line="258" w:lineRule="auto"/>
        <w:rPr>
          <w:sz w:val="20"/>
          <w:szCs w:val="20"/>
          <w:color w:val="auto"/>
        </w:rPr>
      </w:pPr>
      <w:r>
        <w:rPr>
          <w:rFonts w:ascii="Times New Roman" w:cs="Times New Roman" w:eastAsia="Times New Roman" w:hAnsi="Times New Roman"/>
          <w:sz w:val="18"/>
          <w:szCs w:val="18"/>
          <w:color w:val="auto"/>
        </w:rPr>
        <w:t xml:space="preserve">The Company entered into two interest rate swap agreements, effective on March 31, 2022. Until October 31, 2022, the counterparties to each of the agreements paid the Company interest at a floating rate on the notional amounts based on the one-month USD-LIBOR swap rate. On October 31, 2022, in conjunction with the amendment to the 2021 Credit Agreement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amended the two interest rate swap agreements to replace the LIBO rate with Term SOFR. As a result, subsequent to October 31, 2022, the counterparties paid and will continue to pay interest at a floating rate based on Term SOFR.</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the two outstanding interest rate swap agreements each had a notional value of $66.6 million with fixed interest rates of 1.909% and 1.9065%. Interest payments under the swaps are made monthly on a net settlement basis. The Company has not recorded any amounts due to ineffectiveness for the year ended December 31, 2022. The notional value of each interest rate swap agreement is expected to match the corresponding principal amount of a portion of our borrowings under the 2021 Term Loan. The swap agreements mature on March 31, 2025.</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$3.7 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values of the interest rate swaps and their respective locations in our consolidated balance sheets at December 31, 2022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0" w:type="dxa"/>
            <w:vAlign w:val="bottom"/>
          </w:tcPr>
          <w:p>
            <w:pPr>
              <w:spacing w:after="0"/>
              <w:rPr>
                <w:sz w:val="15"/>
                <w:szCs w:val="15"/>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7"/>
        </w:trPr>
        <w:tc>
          <w:tcPr>
            <w:tcW w:w="620" w:type="dxa"/>
            <w:vAlign w:val="bottom"/>
          </w:tcPr>
          <w:p>
            <w:pPr>
              <w:spacing w:after="0"/>
              <w:rPr>
                <w:sz w:val="16"/>
                <w:szCs w:val="16"/>
                <w:color w:val="auto"/>
              </w:rPr>
            </w:pPr>
          </w:p>
        </w:tc>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6"/>
                <w:szCs w:val="16"/>
                <w:color w:val="auto"/>
              </w:rPr>
            </w:pPr>
          </w:p>
        </w:tc>
        <w:tc>
          <w:tcPr>
            <w:tcW w:w="532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7"/>
        </w:trPr>
        <w:tc>
          <w:tcPr>
            <w:tcW w:w="620" w:type="dxa"/>
            <w:vAlign w:val="bottom"/>
          </w:tcPr>
          <w:p>
            <w:pPr>
              <w:spacing w:after="0"/>
              <w:rPr>
                <w:sz w:val="20"/>
                <w:szCs w:val="20"/>
                <w:color w:val="auto"/>
              </w:rPr>
            </w:pPr>
          </w:p>
        </w:tc>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derivative asset</w:t>
            </w:r>
          </w:p>
        </w:tc>
        <w:tc>
          <w:tcPr>
            <w:tcW w:w="200" w:type="dxa"/>
            <w:vAlign w:val="bottom"/>
            <w:shd w:val="clear" w:color="auto" w:fill="CFF0FC"/>
          </w:tcPr>
          <w:p>
            <w:pPr>
              <w:spacing w:after="0"/>
              <w:rPr>
                <w:sz w:val="20"/>
                <w:szCs w:val="20"/>
                <w:color w:val="auto"/>
              </w:rPr>
            </w:pPr>
          </w:p>
        </w:tc>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shd w:val="clear" w:color="auto" w:fill="CFF0FC"/>
          </w:tcPr>
          <w:p>
            <w:pPr>
              <w:spacing w:after="0"/>
              <w:rPr>
                <w:sz w:val="20"/>
                <w:szCs w:val="20"/>
                <w:color w:val="auto"/>
              </w:rPr>
            </w:pPr>
          </w:p>
        </w:tc>
        <w:tc>
          <w:tcPr>
            <w:tcW w:w="620" w:type="dxa"/>
            <w:vAlign w:val="bottom"/>
          </w:tcPr>
          <w:p>
            <w:pPr>
              <w:spacing w:after="0"/>
              <w:rPr>
                <w:sz w:val="20"/>
                <w:szCs w:val="20"/>
                <w:color w:val="auto"/>
              </w:rPr>
            </w:pPr>
          </w:p>
        </w:tc>
      </w:tr>
      <w:tr>
        <w:trPr>
          <w:trHeight w:val="234"/>
        </w:trPr>
        <w:tc>
          <w:tcPr>
            <w:tcW w:w="62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derivative asset</w:t>
            </w:r>
          </w:p>
        </w:tc>
        <w:tc>
          <w:tcPr>
            <w:tcW w:w="2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873"/>
        </w:trPr>
        <w:tc>
          <w:tcPr>
            <w:tcW w:w="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F-37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2" w:name="page113"/>
    <w:bookmarkEnd w:id="112"/>
    <w:p>
      <w:pPr>
        <w:ind w:left="520" w:hanging="512"/>
        <w:spacing w:after="0"/>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ind w:right="280" w:firstLine="509"/>
        <w:spacing w:after="0" w:line="267" w:lineRule="auto"/>
        <w:rPr>
          <w:sz w:val="20"/>
          <w:szCs w:val="20"/>
          <w:color w:val="auto"/>
        </w:rPr>
      </w:pPr>
      <w:r>
        <w:rPr>
          <w:rFonts w:ascii="Times New Roman" w:cs="Times New Roman" w:eastAsia="Times New Roman" w:hAnsi="Times New Roman"/>
          <w:sz w:val="18"/>
          <w:szCs w:val="18"/>
          <w:color w:val="auto"/>
        </w:rPr>
        <w:t>ASC 820—</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Level 3 - Unobservable inputs that are supported by little or no market activity, including the Company’s own assumptions in determining fair value.</w:t>
      </w:r>
    </w:p>
    <w:p>
      <w:pPr>
        <w:spacing w:after="0" w:line="12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their short maturities (less than 12 months).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term loans are recorded at their carrying values in the consolidated balance sheets, which may differ from their respective fair values. The estimated fair values of the Company’s term loans approximate their carrying values as of December 31, 2022 and 2021, based on interest rates currently available to the Company for similar borrowings.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 (included in 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Money market funds are recorded at fair value using quoted market prices in active markets and are classified as Level 1 in the fair value hierarchy.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values of investments in U.S. treasuries, agency bond securities, commercial paper, and certificates of deposit using level 2 inputs, by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68"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December 31, 2022 were classified as Level 2 in the fair value hierarchy.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deferred consideration that resulted from the acquisition of Analytical Wizards in the first quarter of 2022, which is subject to the meeting of certain expense control metrics during the two-year period following the AW acquisition, is measured at fair value on a recurring basis. The fair value was estimated based on the present value of the amount expected to be paid at the end of the measurement period. At December 31, 2022, the fair value of the contingent consideration was estimated to be $2.3 million based on the estimated achievement of the expense control metrics and time to payment and is included in other long-term liabilities on the consolidated balance sheet.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113" w:name="page114"/>
    <w:bookmarkEnd w:id="113"/>
    <w:p>
      <w:pPr>
        <w:ind w:firstLine="509"/>
        <w:spacing w:after="0" w:line="281" w:lineRule="auto"/>
        <w:rPr>
          <w:sz w:val="20"/>
          <w:szCs w:val="20"/>
          <w:color w:val="auto"/>
        </w:rPr>
      </w:pPr>
      <w:r>
        <w:rPr>
          <w:rFonts w:ascii="Times New Roman" w:cs="Times New Roman" w:eastAsia="Times New Roman" w:hAnsi="Times New Roman"/>
          <w:sz w:val="18"/>
          <w:szCs w:val="18"/>
          <w:color w:val="auto"/>
        </w:rPr>
        <w:t>The contingent consideration that resulted from the earnouts associated with the acquisition of Monocl Holding Company in October of 2020, which was included in accrued expense and other current liabilities in the consolidated balance sheet as of December 31, 2021, was paid in the first quarter of 2022.</w:t>
      </w:r>
    </w:p>
    <w:p>
      <w:pPr>
        <w:spacing w:after="0" w:line="5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shd w:val="clear" w:color="auto" w:fill="CFF0FC"/>
          </w:tcPr>
          <w:p>
            <w:pPr>
              <w:spacing w:after="0"/>
              <w:rPr>
                <w:sz w:val="20"/>
                <w:szCs w:val="20"/>
                <w:color w:val="auto"/>
              </w:rPr>
            </w:pPr>
          </w:p>
        </w:tc>
      </w:tr>
      <w:tr>
        <w:trPr>
          <w:trHeight w:val="239"/>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change in fair value and other adjustments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shd w:val="clear" w:color="auto" w:fill="CFF0FC"/>
          </w:tcPr>
          <w:p>
            <w:pPr>
              <w:spacing w:after="0"/>
              <w:rPr>
                <w:sz w:val="21"/>
                <w:szCs w:val="21"/>
                <w:color w:val="auto"/>
              </w:rPr>
            </w:pPr>
          </w:p>
        </w:tc>
      </w:tr>
      <w:tr>
        <w:trPr>
          <w:trHeight w:val="239"/>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(7,500 )</w:t>
            </w:r>
          </w:p>
        </w:tc>
        <w:tc>
          <w:tcPr>
            <w:tcW w:w="24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(1,500 )</w:t>
            </w:r>
          </w:p>
        </w:tc>
      </w:tr>
      <w:tr>
        <w:trPr>
          <w:trHeight w:val="281"/>
        </w:trPr>
        <w:tc>
          <w:tcPr>
            <w:tcW w:w="6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For discussion about the impairment testing of assets not measured at fair value on a recurring basis see Note 9.</w:t>
      </w:r>
      <w:r>
        <w:rPr>
          <w:rFonts w:ascii="Times New Roman" w:cs="Times New Roman" w:eastAsia="Times New Roman" w:hAnsi="Times New Roman"/>
          <w:sz w:val="18"/>
          <w:szCs w:val="18"/>
          <w:i w:val="1"/>
          <w:iCs w:val="1"/>
          <w:color w:val="auto"/>
        </w:rPr>
        <w:t xml:space="preserve"> Goodwill and Intangible Assets </w:t>
      </w:r>
      <w:r>
        <w:rPr>
          <w:rFonts w:ascii="Times New Roman" w:cs="Times New Roman" w:eastAsia="Times New Roman" w:hAnsi="Times New Roman"/>
          <w:sz w:val="18"/>
          <w:szCs w:val="18"/>
          <w:color w:val="auto"/>
        </w:rPr>
        <w:t>for additional details.</w:t>
      </w:r>
    </w:p>
    <w:p>
      <w:pPr>
        <w:spacing w:after="0" w:line="7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the second quarter of 2022, in relation to our office relocations, the Company recorded an impairment charge of $1.0 million, comprised of $0.9 million relating to the operating lease right-of-use assets, and $0.1 million relating to the leasehold improvements. The fair value determination was based on valuation techniques using the best information available and included comparable market information and discounted cash flow projections.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2022, assets and liabilities measured at fair value on a recurring basis were as follows:</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6"/>
                <w:szCs w:val="16"/>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r>
      <w:tr>
        <w:trPr>
          <w:trHeight w:val="23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11"/>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 (maturities less than 90</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days)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8"/>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Certificates of deposit (maturities less than 90</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days)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Agency bonds (maturities less than 90 days)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Agency bonds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2022, except for the contingent consideration noted above, the estimated fair values of all of the Company’s financial assets and liabilities subject to the three-level fair value hierarchy approximated their carrying values due to their short-term maturities (less than 12 months).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4" w:name="page115"/>
    <w:bookmarkEnd w:id="114"/>
    <w:p>
      <w:pPr>
        <w:ind w:left="520" w:hanging="512"/>
        <w:spacing w:after="0"/>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7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franchise and other taxes</w:t>
            </w:r>
          </w:p>
        </w:tc>
        <w:tc>
          <w:tcPr>
            <w:tcW w:w="2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1"/>
        </w:trPr>
        <w:tc>
          <w:tcPr>
            <w:tcW w:w="580" w:type="dxa"/>
            <w:vAlign w:val="bottom"/>
          </w:tcPr>
          <w:p>
            <w:pPr>
              <w:spacing w:after="0"/>
              <w:rPr>
                <w:sz w:val="24"/>
                <w:szCs w:val="24"/>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7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737"/>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000" w:type="dxa"/>
            <w:vAlign w:val="bottom"/>
            <w:gridSpan w:val="2"/>
          </w:tcPr>
          <w:p>
            <w:pPr>
              <w:jc w:val="right"/>
              <w:ind w:right="1770"/>
              <w:spacing w:after="0"/>
              <w:rPr>
                <w:sz w:val="20"/>
                <w:szCs w:val="20"/>
                <w:color w:val="auto"/>
              </w:rPr>
            </w:pPr>
            <w:r>
              <w:rPr>
                <w:rFonts w:ascii="Times New Roman" w:cs="Times New Roman" w:eastAsia="Times New Roman" w:hAnsi="Times New Roman"/>
                <w:sz w:val="18"/>
                <w:szCs w:val="18"/>
                <w:color w:val="auto"/>
              </w:rPr>
              <w:t>F-40</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-591185</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-574040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-591185</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-574040</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5" w:name="page116"/>
    <w:bookmarkEnd w:id="115"/>
    <w:p>
      <w:pPr>
        <w:ind w:left="520" w:hanging="512"/>
        <w:spacing w:after="0"/>
        <w:tabs>
          <w:tab w:leader="none" w:pos="5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enters into purchase obligations in the normal course of doing business. The estimated annual minimum purchase commitments under those agreements were as follows for each of the years ending December 31: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 w:type="dxa"/>
            <w:vAlign w:val="bottom"/>
          </w:tcPr>
          <w:p>
            <w:pPr>
              <w:spacing w:after="0"/>
              <w:rPr>
                <w:sz w:val="16"/>
                <w:szCs w:val="16"/>
                <w:color w:val="auto"/>
              </w:rPr>
            </w:pPr>
          </w:p>
        </w:tc>
        <w:tc>
          <w:tcPr>
            <w:tcW w:w="2860" w:type="dxa"/>
            <w:vAlign w:val="bottom"/>
          </w:tcPr>
          <w:p>
            <w:pPr>
              <w:jc w:val="right"/>
              <w:ind w:right="189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43"/>
        </w:trPr>
        <w:tc>
          <w:tcPr>
            <w:tcW w:w="620" w:type="dxa"/>
            <w:vAlign w:val="bottom"/>
          </w:tcPr>
          <w:p>
            <w:pPr>
              <w:spacing w:after="0"/>
              <w:rPr>
                <w:sz w:val="21"/>
                <w:szCs w:val="21"/>
                <w:color w:val="auto"/>
              </w:rPr>
            </w:pPr>
          </w:p>
        </w:tc>
        <w:tc>
          <w:tcPr>
            <w:tcW w:w="2860" w:type="dxa"/>
            <w:vAlign w:val="bottom"/>
            <w:shd w:val="clear" w:color="auto" w:fill="CFF0FC"/>
          </w:tcPr>
          <w:p>
            <w:pPr>
              <w:jc w:val="right"/>
              <w:ind w:right="2355"/>
              <w:spacing w:after="0"/>
              <w:rPr>
                <w:sz w:val="20"/>
                <w:szCs w:val="20"/>
                <w:color w:val="auto"/>
              </w:rPr>
            </w:pPr>
            <w:r>
              <w:rPr>
                <w:rFonts w:ascii="Times New Roman" w:cs="Times New Roman" w:eastAsia="Times New Roman" w:hAnsi="Times New Roman"/>
                <w:sz w:val="18"/>
                <w:szCs w:val="18"/>
                <w:color w:val="auto"/>
              </w:rPr>
              <w:t>2023</w:t>
            </w:r>
          </w:p>
        </w:tc>
        <w:tc>
          <w:tcPr>
            <w:tcW w:w="600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100" w:type="dxa"/>
            <w:vAlign w:val="bottom"/>
            <w:shd w:val="clear" w:color="auto" w:fill="CFF0FC"/>
          </w:tcPr>
          <w:p>
            <w:pPr>
              <w:spacing w:after="0"/>
              <w:rPr>
                <w:sz w:val="21"/>
                <w:szCs w:val="21"/>
                <w:color w:val="auto"/>
              </w:rPr>
            </w:pPr>
          </w:p>
        </w:tc>
        <w:tc>
          <w:tcPr>
            <w:tcW w:w="620" w:type="dxa"/>
            <w:vAlign w:val="bottom"/>
          </w:tcPr>
          <w:p>
            <w:pPr>
              <w:spacing w:after="0"/>
              <w:rPr>
                <w:sz w:val="21"/>
                <w:szCs w:val="21"/>
                <w:color w:val="auto"/>
              </w:rPr>
            </w:pPr>
          </w:p>
        </w:tc>
      </w:tr>
      <w:tr>
        <w:trPr>
          <w:trHeight w:val="239"/>
        </w:trPr>
        <w:tc>
          <w:tcPr>
            <w:tcW w:w="620" w:type="dxa"/>
            <w:vAlign w:val="bottom"/>
          </w:tcPr>
          <w:p>
            <w:pPr>
              <w:spacing w:after="0"/>
              <w:rPr>
                <w:sz w:val="20"/>
                <w:szCs w:val="20"/>
                <w:color w:val="auto"/>
              </w:rPr>
            </w:pPr>
          </w:p>
        </w:tc>
        <w:tc>
          <w:tcPr>
            <w:tcW w:w="2860" w:type="dxa"/>
            <w:vAlign w:val="bottom"/>
          </w:tcPr>
          <w:p>
            <w:pPr>
              <w:jc w:val="right"/>
              <w:ind w:right="2355"/>
              <w:spacing w:after="0"/>
              <w:rPr>
                <w:sz w:val="20"/>
                <w:szCs w:val="20"/>
                <w:color w:val="auto"/>
              </w:rPr>
            </w:pPr>
            <w:r>
              <w:rPr>
                <w:rFonts w:ascii="Times New Roman" w:cs="Times New Roman" w:eastAsia="Times New Roman" w:hAnsi="Times New Roman"/>
                <w:sz w:val="18"/>
                <w:szCs w:val="18"/>
                <w:color w:val="auto"/>
              </w:rPr>
              <w:t>2024</w:t>
            </w:r>
          </w:p>
        </w:tc>
        <w:tc>
          <w:tcPr>
            <w:tcW w:w="5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7"/>
        </w:trPr>
        <w:tc>
          <w:tcPr>
            <w:tcW w:w="620" w:type="dxa"/>
            <w:vAlign w:val="bottom"/>
          </w:tcPr>
          <w:p>
            <w:pPr>
              <w:spacing w:after="0"/>
              <w:rPr>
                <w:sz w:val="21"/>
                <w:szCs w:val="21"/>
                <w:color w:val="auto"/>
              </w:rPr>
            </w:pPr>
          </w:p>
        </w:tc>
        <w:tc>
          <w:tcPr>
            <w:tcW w:w="2860" w:type="dxa"/>
            <w:vAlign w:val="bottom"/>
            <w:shd w:val="clear" w:color="auto" w:fill="CFF0FC"/>
          </w:tcPr>
          <w:p>
            <w:pPr>
              <w:jc w:val="right"/>
              <w:ind w:right="2355"/>
              <w:spacing w:after="0"/>
              <w:rPr>
                <w:sz w:val="20"/>
                <w:szCs w:val="20"/>
                <w:color w:val="auto"/>
              </w:rPr>
            </w:pPr>
            <w:r>
              <w:rPr>
                <w:rFonts w:ascii="Times New Roman" w:cs="Times New Roman" w:eastAsia="Times New Roman" w:hAnsi="Times New Roman"/>
                <w:sz w:val="18"/>
                <w:szCs w:val="18"/>
                <w:color w:val="auto"/>
              </w:rPr>
              <w:t>2025</w:t>
            </w:r>
          </w:p>
        </w:tc>
        <w:tc>
          <w:tcPr>
            <w:tcW w:w="5340" w:type="dxa"/>
            <w:vAlign w:val="bottom"/>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shd w:val="clear" w:color="auto" w:fill="CFF0FC"/>
          </w:tcPr>
          <w:p>
            <w:pPr>
              <w:spacing w:after="0"/>
              <w:rPr>
                <w:sz w:val="21"/>
                <w:szCs w:val="21"/>
                <w:color w:val="auto"/>
              </w:rPr>
            </w:pPr>
          </w:p>
        </w:tc>
        <w:tc>
          <w:tcPr>
            <w:tcW w:w="620" w:type="dxa"/>
            <w:vAlign w:val="bottom"/>
          </w:tcPr>
          <w:p>
            <w:pPr>
              <w:spacing w:after="0"/>
              <w:rPr>
                <w:sz w:val="21"/>
                <w:szCs w:val="21"/>
                <w:color w:val="auto"/>
              </w:rPr>
            </w:pPr>
          </w:p>
        </w:tc>
      </w:tr>
      <w:tr>
        <w:trPr>
          <w:trHeight w:val="232"/>
        </w:trPr>
        <w:tc>
          <w:tcPr>
            <w:tcW w:w="6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741"/>
        </w:trPr>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0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rPr>
              <w:t>F-41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16" w:name="page117"/>
    <w:bookmarkEnd w:id="116"/>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 the changes in accumulated balances of other comprehensive income for the years ended December 31, 2022, 2021 and 2020,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 (Loss)</w:t>
            </w:r>
          </w:p>
        </w:tc>
        <w:tc>
          <w:tcPr>
            <w:tcW w:w="1520" w:type="dxa"/>
            <w:vAlign w:val="bottom"/>
            <w:gridSpan w:val="3"/>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Unrealized Loss on</w:t>
            </w:r>
          </w:p>
        </w:tc>
        <w:tc>
          <w:tcPr>
            <w:tcW w:w="100" w:type="dxa"/>
            <w:vAlign w:val="bottom"/>
          </w:tcPr>
          <w:p>
            <w:pPr>
              <w:spacing w:after="0"/>
              <w:rPr>
                <w:sz w:val="13"/>
                <w:szCs w:val="13"/>
                <w:color w:val="auto"/>
              </w:rPr>
            </w:pPr>
          </w:p>
        </w:tc>
        <w:tc>
          <w:tcPr>
            <w:tcW w:w="13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on Cash Flow Hedges</w:t>
            </w:r>
          </w:p>
        </w:tc>
        <w:tc>
          <w:tcPr>
            <w:tcW w:w="220" w:type="dxa"/>
            <w:vAlign w:val="bottom"/>
          </w:tcPr>
          <w:p>
            <w:pPr>
              <w:spacing w:after="0"/>
              <w:rPr>
                <w:sz w:val="16"/>
                <w:szCs w:val="16"/>
                <w:color w:val="auto"/>
              </w:rPr>
            </w:pP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6"/>
                <w:szCs w:val="16"/>
                <w:color w:val="auto"/>
              </w:rPr>
            </w:pPr>
          </w:p>
        </w:tc>
        <w:tc>
          <w:tcPr>
            <w:tcW w:w="13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6"/>
                <w:szCs w:val="16"/>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1, 2020</w:t>
            </w: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(131 )</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2020</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(131 )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(131 )</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0" w:type="dxa"/>
            <w:vAlign w:val="bottom"/>
          </w:tcPr>
          <w:p>
            <w:pPr>
              <w:spacing w:after="0"/>
              <w:rPr>
                <w:sz w:val="20"/>
                <w:szCs w:val="20"/>
                <w:color w:val="auto"/>
              </w:rPr>
            </w:pPr>
          </w:p>
        </w:tc>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4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2021</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0" w:type="dxa"/>
            <w:vAlign w:val="bottom"/>
          </w:tcPr>
          <w:p>
            <w:pPr>
              <w:spacing w:after="0"/>
              <w:rPr>
                <w:sz w:val="21"/>
                <w:szCs w:val="21"/>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shd w:val="clear" w:color="auto" w:fill="CFF0FC"/>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4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(173 )</w:t>
            </w:r>
          </w:p>
        </w:tc>
        <w:tc>
          <w:tcPr>
            <w:tcW w:w="220" w:type="dxa"/>
            <w:vAlign w:val="bottom"/>
          </w:tcPr>
          <w:p>
            <w:pPr>
              <w:spacing w:after="0"/>
              <w:rPr>
                <w:sz w:val="20"/>
                <w:szCs w:val="20"/>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(173 )</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20" w:type="dxa"/>
            <w:vAlign w:val="bottom"/>
          </w:tcPr>
          <w:p>
            <w:pPr>
              <w:spacing w:after="0"/>
              <w:rPr>
                <w:sz w:val="24"/>
                <w:szCs w:val="24"/>
                <w:color w:val="auto"/>
              </w:rPr>
            </w:pPr>
          </w:p>
        </w:tc>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2022</w:t>
            </w:r>
          </w:p>
        </w:tc>
        <w:tc>
          <w:tcPr>
            <w:tcW w:w="4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Borders>
              <w:bottom w:val="single" w:sz="8" w:color="CFF0FC"/>
            </w:tcBorders>
            <w:shd w:val="clear" w:color="auto" w:fill="CFF0FC"/>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7"/>
        </w:trPr>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F-42</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-1679575</wp:posOffset>
            </wp:positionV>
            <wp:extent cx="68580" cy="1631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-1679575</wp:posOffset>
            </wp:positionV>
            <wp:extent cx="68580" cy="163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-1679575</wp:posOffset>
            </wp:positionV>
            <wp:extent cx="60325" cy="1631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-1679575</wp:posOffset>
            </wp:positionV>
            <wp:extent cx="60325" cy="1631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-1362075</wp:posOffset>
            </wp:positionV>
            <wp:extent cx="68580" cy="162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-1362075</wp:posOffset>
            </wp:positionV>
            <wp:extent cx="68580" cy="162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-1362075</wp:posOffset>
            </wp:positionV>
            <wp:extent cx="60325" cy="162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-1362075</wp:posOffset>
            </wp:positionV>
            <wp:extent cx="60325" cy="162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-590550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-573405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-590550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-573405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-590550</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-573405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-590550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-573405</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17" w:name="page118"/>
    <w:bookmarkEnd w:id="117"/>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Members' Equity</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has Class A Common Stock, Class B Common Stock and Preferred Stock. Holders of outstanding shares of Class A and Class B Common Stock vote as a single class on all matters on which stockholders are entitled to vote generally, except as otherwise required by law. Class B Common Stock issued to holders of Definitive OpCo Units (directly or indirectly through AIDH Management Holdings, LLC) that are unvested shall have no vote per share until such time as such Units have vested.</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Class A Common Stockholders are entitled to receive dividends, if declared by our board of directors out of legally available funds. 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Class B Common Stockholders are not entitled to economic interests in Definitive Healthcare Corp. and do not have any right to receive dividends or to receive a distribution upon a liquidation or winding up of Definitive Healthcare Corp.</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Shares of Preferred Stock have not been issued at December 31, 2022. The board of directors may authorize one or more series of Preferred Stock (including convertible Preferred Stock) and will determine, with respect to any series of Preferred Stock, the voting rights, preferences, participation, or other special right and limitations.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the Amended Definitive OpCo LLC Agreement, the holders of LLC Units other than Definitive Healthcare Corp. (“LLC Members”) have the right to redeem or exchange all or a portion of their LLC Units for newly issued shares of Class A Common Stock, which may consist of unregistered shares, on a one-for-one basis. Shares of Class B Common Stock and their corresponding LLC Units will be canceled on a one-for-one basis once an exchange has been completed.</w:t>
      </w:r>
    </w:p>
    <w:p>
      <w:pPr>
        <w:spacing w:after="0" w:line="7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Upon formation of Definitive OpCo in conjunction with the Advent Acquisition in July 2019, two classes of LLC units were established: Class A Units (“Class A Units”) and Class B Units (“Class B Units”), collectively “the Units”.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2020, the Company contributed $25.4 million worth of its Class A Units to partially fund the acquisition of Monocl that occurred in October 2020 (see Note 3. </w:t>
      </w:r>
      <w:r>
        <w:rPr>
          <w:rFonts w:ascii="Times New Roman" w:cs="Times New Roman" w:eastAsia="Times New Roman" w:hAnsi="Times New Roman"/>
          <w:sz w:val="18"/>
          <w:szCs w:val="18"/>
          <w:i w:val="1"/>
          <w:iCs w:val="1"/>
          <w:color w:val="auto"/>
        </w:rPr>
        <w:t>Acquisitions and Investments</w:t>
      </w:r>
      <w:r>
        <w:rPr>
          <w:rFonts w:ascii="Times New Roman" w:cs="Times New Roman" w:eastAsia="Times New Roman" w:hAnsi="Times New Roman"/>
          <w:sz w:val="18"/>
          <w:szCs w:val="18"/>
          <w:color w:val="auto"/>
        </w:rPr>
        <w:t>). The Company also received an additional $6.4 million contribution for buy-in of Class A Units from certain members.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summary of the number of Units authorized, issued and outstanding as of December 31, 2020:</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20" w:type="dxa"/>
            <w:vAlign w:val="bottom"/>
          </w:tcPr>
          <w:p>
            <w:pPr>
              <w:spacing w:after="0"/>
              <w:rPr>
                <w:sz w:val="16"/>
                <w:szCs w:val="16"/>
                <w:color w:val="auto"/>
              </w:rPr>
            </w:pPr>
          </w:p>
        </w:tc>
        <w:tc>
          <w:tcPr>
            <w:tcW w:w="1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6"/>
                <w:szCs w:val="16"/>
                <w:color w:val="auto"/>
              </w:rPr>
            </w:pPr>
          </w:p>
        </w:tc>
      </w:tr>
      <w:tr>
        <w:trPr>
          <w:trHeight w:val="237"/>
        </w:trPr>
        <w:tc>
          <w:tcPr>
            <w:tcW w:w="9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Class A Units:</w:t>
            </w:r>
          </w:p>
        </w:tc>
        <w:tc>
          <w:tcPr>
            <w:tcW w:w="1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issued and outstanding Class A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130,245,990</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Class B Units:</w:t>
            </w:r>
          </w:p>
        </w:tc>
        <w:tc>
          <w:tcPr>
            <w:tcW w:w="1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Class B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8,088,877</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Issued Class B Units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3,720,063</w:t>
            </w:r>
          </w:p>
        </w:tc>
        <w:tc>
          <w:tcPr>
            <w:tcW w:w="100" w:type="dxa"/>
            <w:vAlign w:val="bottom"/>
            <w:shd w:val="clear" w:color="auto" w:fill="CFF0FC"/>
          </w:tcPr>
          <w:p>
            <w:pPr>
              <w:spacing w:after="0"/>
              <w:rPr>
                <w:sz w:val="21"/>
                <w:szCs w:val="21"/>
                <w:color w:val="auto"/>
              </w:rPr>
            </w:pPr>
          </w:p>
        </w:tc>
      </w:tr>
      <w:tr>
        <w:trPr>
          <w:trHeight w:val="234"/>
        </w:trPr>
        <w:tc>
          <w:tcPr>
            <w:tcW w:w="9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Class B Units (vested Class B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474,920</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2021, the Company issued 363,516 new Class A Units worth $5.8 million, consisting of a capital contribution of $5.5 million and equity-based compensation expense of $0.3 million. In connection with the Reorganization Transactions and the IPO in September 2021, Class A Units held directly by employees of the Company or indirectly through Definitive OpCo were exchanged on a one-for-one basis for Definitive OpCo LLC Units.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Note 17. </w:t>
      </w:r>
      <w:r>
        <w:rPr>
          <w:rFonts w:ascii="Times New Roman" w:cs="Times New Roman" w:eastAsia="Times New Roman" w:hAnsi="Times New Roman"/>
          <w:sz w:val="18"/>
          <w:szCs w:val="18"/>
          <w:i w:val="1"/>
          <w:iCs w:val="1"/>
          <w:color w:val="auto"/>
        </w:rPr>
        <w:t>Equity-Based Compensation</w:t>
      </w:r>
      <w:r>
        <w:rPr>
          <w:rFonts w:ascii="Times New Roman" w:cs="Times New Roman" w:eastAsia="Times New Roman" w:hAnsi="Times New Roman"/>
          <w:sz w:val="18"/>
          <w:szCs w:val="18"/>
          <w:color w:val="auto"/>
        </w:rPr>
        <w:t xml:space="preserve"> for more detail on Class B Units.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consolidated financial statements based on the Definitive OpCo Units held by LLC Members. Changes in Definitive Healthcare Corp.'s ownership interest in its consolidated subsidiaries are accounted for as equity transactions. As such, future redemptions or direct exchanges of OpCo Units by LLC Members will result in a change in ownership and reduce or increase the amount recorded as Noncontrolling interests and increase or decrease Additional paid-in capital in the Company’s consolidated balance sheets.</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7,624,654 Definitive OpCo Units held by LLC Members were exchanged for shares of Class A Common Stock of Definitive Healthcare Corp. pursuant to the terms of the Amended LLC Agreement. In addition, 483,524 restricted stock units vested, net of shares withheld for taxes, resulting in the issuance of 483,524 shares of Class A Common Stock of Definitive Healthcare Corp., for which Definitive OpCo Units were issued on a one-for-one basis pursuant to the Definitive OpCo second amended and restated limited liability company agreement entered into in connection with the IPO.</w:t>
      </w:r>
    </w:p>
    <w:p>
      <w:pPr>
        <w:spacing w:after="0" w:line="75"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As of December 31, 2022 and 2021, Definitive Healthcare Corp. held 105,133,670 and 97,030,095 units in Definitive OpCo, respectively, resulting in ownership interests as of December 31, 2022 and 2021 of 68.2% and 63.6%, respectively, and noncontrolling interests of 31.8% and 36.4%, respectively.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19" w:name="page120"/>
    <w:bookmarkEnd w:id="119"/>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Equity-based compensation expense is allocated to all departments in the accompanying consolidated statements of operations based on the recipients of the compensation. A summary of the expense by line item in the consolidated statements of operations for the years ended December 31, 2022, 2021 and 2020, is provided in the following table.</w:t>
      </w:r>
    </w:p>
    <w:p>
      <w:pPr>
        <w:spacing w:after="0" w:line="183"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2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-25400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03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Equity Plan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Definitive Healthcare Corp. 2021 Equity Incentive Plan (the “2021 Plan”) was adopted in September 2021. The types of grants available under the 2021 Plan include stock options (both incentive and non-qualified), stock appreciation rights (“SARs”), restricted stock awards (“RSAs”), restricted stock units (“RSUs”), and stock-based awards.</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aggregate number of shares of Class A Common Stock available for grant under the 2021 Plan was 4,942,128 shares at December 31, 2022. The outstanding RSUs have time-based and/or performance-based vesting criteria.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Time-Based RSUs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Outstanding time-based RSUs generally vest partially on the one-year anniversary of each grant and quarterly over the subsequent two- or three-year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departure of two management-level employees, the Company accelerated the vesting of 6,772 previously unvested time-based RSUs, resulting in incremental stock-based compensation expense of approximately $0.1 million during the fourth quarter of 2022. Upon separation, 21,877 unvested time-based RSUs and 13,889 unvested PSUs were forfeited. None of the previously unvested PSUs were accelerated and, accordingly, no incremental stock-based compensation expense was 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unvested time-based activity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141605</wp:posOffset>
            </wp:positionV>
            <wp:extent cx="4144645" cy="5016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4144645" cy="501650"/>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p>
      <w:pPr>
        <w:spacing w:after="0" w:line="223" w:lineRule="exact"/>
        <w:rPr>
          <w:sz w:val="20"/>
          <w:szCs w:val="20"/>
          <w:color w:val="auto"/>
        </w:rPr>
      </w:pPr>
    </w:p>
    <w:tbl>
      <w:tblPr>
        <w:tblLayout w:type="fixed"/>
        <w:tblInd w:w="4360" w:type="dxa"/>
        <w:tblCellMar>
          <w:top w:w="0" w:type="dxa"/>
          <w:left w:w="0" w:type="dxa"/>
          <w:bottom w:w="0" w:type="dxa"/>
          <w:right w:w="0" w:type="dxa"/>
        </w:tblCellMar>
      </w:tblPr>
      <w:tr>
        <w:trPr>
          <w:trHeight w:val="189"/>
        </w:trPr>
        <w:tc>
          <w:tcPr>
            <w:tcW w:w="1220" w:type="dxa"/>
            <w:vAlign w:val="bottom"/>
            <w:tcBorders>
              <w:top w:val="single" w:sz="8" w:color="auto"/>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5"/>
        </w:trPr>
        <w:tc>
          <w:tcPr>
            <w:tcW w:w="1220" w:type="dxa"/>
            <w:vAlign w:val="bottom"/>
          </w:tcPr>
          <w:p>
            <w:pPr>
              <w:spacing w:after="0"/>
              <w:rPr>
                <w:sz w:val="16"/>
                <w:szCs w:val="16"/>
                <w:color w:val="auto"/>
              </w:rPr>
            </w:pPr>
          </w:p>
        </w:tc>
        <w:tc>
          <w:tcPr>
            <w:tcW w:w="18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122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8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87"/>
        </w:trPr>
        <w:tc>
          <w:tcPr>
            <w:tcW w:w="122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8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Date Fair Value</w:t>
            </w:r>
          </w:p>
        </w:tc>
      </w:tr>
    </w:tbl>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tcPr>
          <w:p>
            <w:pPr>
              <w:jc w:val="right"/>
              <w:ind w:right="12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5"/>
        </w:trPr>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100" w:type="dxa"/>
            <w:vAlign w:val="bottom"/>
          </w:tcPr>
          <w:p>
            <w:pPr>
              <w:spacing w:after="0"/>
              <w:rPr>
                <w:sz w:val="15"/>
                <w:szCs w:val="15"/>
                <w:color w:val="auto"/>
              </w:rPr>
            </w:pPr>
          </w:p>
        </w:tc>
        <w:tc>
          <w:tcPr>
            <w:tcW w:w="12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8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87"/>
        </w:trPr>
        <w:tc>
          <w:tcPr>
            <w:tcW w:w="100" w:type="dxa"/>
            <w:vAlign w:val="bottom"/>
          </w:tcPr>
          <w:p>
            <w:pPr>
              <w:spacing w:after="0"/>
              <w:rPr>
                <w:sz w:val="16"/>
                <w:szCs w:val="16"/>
                <w:color w:val="auto"/>
              </w:rPr>
            </w:pPr>
          </w:p>
        </w:tc>
        <w:tc>
          <w:tcPr>
            <w:tcW w:w="12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8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Date Fair Value</w:t>
            </w:r>
          </w:p>
        </w:tc>
      </w:tr>
    </w:tbl>
    <w:p>
      <w:pPr>
        <w:spacing w:after="0" w:line="1" w:lineRule="exact"/>
        <w:rPr>
          <w:sz w:val="20"/>
          <w:szCs w:val="20"/>
          <w:color w:val="auto"/>
        </w:rPr>
      </w:pPr>
    </w:p>
    <w:p>
      <w:pPr>
        <w:sectPr>
          <w:pgSz w:w="11900" w:h="16838" w:orient="portrait"/>
          <w:cols w:equalWidth="0" w:num="2">
            <w:col w:w="7440" w:space="100"/>
            <w:col w:w="3700"/>
          </w:cols>
          <w:pgMar w:left="320" w:top="482" w:right="339" w:bottom="1440" w:gutter="0" w:footer="0" w:header="0"/>
          <w:type w:val="continuous"/>
        </w:sectPr>
      </w:pPr>
    </w:p>
    <w:tbl>
      <w:tblPr>
        <w:tblLayout w:type="fixed"/>
        <w:tblInd w:w="520" w:type="dxa"/>
        <w:tblCellMar>
          <w:top w:w="0" w:type="dxa"/>
          <w:left w:w="0" w:type="dxa"/>
          <w:bottom w:w="0" w:type="dxa"/>
          <w:right w:w="0" w:type="dxa"/>
        </w:tblCellMar>
      </w:tblPr>
      <w:tr>
        <w:trPr>
          <w:trHeight w:val="23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1,935,899</w:t>
            </w:r>
          </w:p>
        </w:tc>
        <w:tc>
          <w:tcPr>
            <w:tcW w:w="26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2,457,991</w:t>
            </w:r>
          </w:p>
        </w:tc>
        <w:tc>
          <w:tcPr>
            <w:tcW w:w="26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1,965,477</w:t>
            </w:r>
          </w:p>
        </w:tc>
        <w:tc>
          <w:tcPr>
            <w:tcW w:w="24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(716,776 )</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2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(238,727 )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(29,578 )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21"/>
                <w:szCs w:val="21"/>
                <w:color w:val="auto"/>
              </w:rPr>
            </w:pPr>
          </w:p>
        </w:tc>
      </w:tr>
      <w:tr>
        <w:trPr>
          <w:trHeight w:val="277"/>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end of year</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3,438,387</w:t>
            </w:r>
          </w:p>
        </w:tc>
        <w:tc>
          <w:tcPr>
            <w:tcW w:w="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2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1,935,899</w:t>
            </w:r>
          </w:p>
        </w:tc>
        <w:tc>
          <w:tcPr>
            <w:tcW w:w="24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59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596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recognized $27.0 million in stock-based compensation expense associated with time-based RSUs in the year ended December 31, 2022, inclusive of the incremental expense associated with the departing management-level employees, and $4.4 million in the year ended December 31, 2021. Total unrecognized expense for these awards was estimated to be $75.8 million at December 31, 2022, to be recognized over a weighted-average period of approximately 2.7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Performance-Based RSUs (“PSUs”)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periodically grants PSUs to certain members of the Company’s senior management team subject to the satisfaction of annual and cumulative performance conditions and/or market conditions established by the Human Capital Management and Compensation Committee of the Board of Directors of Definitive Healthcare Corp. All PSUs previously granted without market-based vesting conditions were forfeited as of December 31, 2022 as none of the performance targets required for vesting were achieved and all expense that was previously recognized associated with these awards was reversed.</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May 2022, the Company granted PSUs to a member of the executive leadership team with performance criteria related to the relative ranking of the total stockholder return (“TSR”) of the Company’s common stock for the cumulative three-year performance period return relative to the TSR of certain peer companies within the Nasdaq Software &amp; Services Index. TSR will be measured based on the 20-trading-day average closing stock price on the first day of the performance period compared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type w:val="continuous"/>
        </w:sectPr>
      </w:pPr>
    </w:p>
    <w:bookmarkStart w:id="120" w:name="page121"/>
    <w:bookmarkEnd w:id="120"/>
    <w:p>
      <w:pPr>
        <w:ind w:right="20"/>
        <w:spacing w:after="0" w:line="255" w:lineRule="auto"/>
        <w:rPr>
          <w:sz w:val="20"/>
          <w:szCs w:val="20"/>
          <w:color w:val="auto"/>
        </w:rPr>
      </w:pPr>
      <w:r>
        <w:rPr>
          <w:rFonts w:ascii="Times New Roman" w:cs="Times New Roman" w:eastAsia="Times New Roman" w:hAnsi="Times New Roman"/>
          <w:sz w:val="18"/>
          <w:szCs w:val="18"/>
          <w:color w:val="auto"/>
        </w:rPr>
        <w:t>to the 20-trading-day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300%,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unvested PSU activity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141605</wp:posOffset>
            </wp:positionV>
            <wp:extent cx="4144645" cy="5010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4144645" cy="50101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p>
      <w:pPr>
        <w:spacing w:after="0" w:line="223" w:lineRule="exact"/>
        <w:rPr>
          <w:sz w:val="20"/>
          <w:szCs w:val="20"/>
          <w:color w:val="auto"/>
        </w:rPr>
      </w:pPr>
    </w:p>
    <w:tbl>
      <w:tblPr>
        <w:tblLayout w:type="fixed"/>
        <w:tblInd w:w="4280" w:type="dxa"/>
        <w:tblCellMar>
          <w:top w:w="0" w:type="dxa"/>
          <w:left w:w="0" w:type="dxa"/>
          <w:bottom w:w="0" w:type="dxa"/>
          <w:right w:w="0" w:type="dxa"/>
        </w:tblCellMar>
      </w:tblPr>
      <w:tr>
        <w:trPr>
          <w:trHeight w:val="189"/>
        </w:trPr>
        <w:tc>
          <w:tcPr>
            <w:tcW w:w="1240" w:type="dxa"/>
            <w:vAlign w:val="bottom"/>
            <w:tcBorders>
              <w:top w:val="single" w:sz="8" w:color="auto"/>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5"/>
        </w:trPr>
        <w:tc>
          <w:tcPr>
            <w:tcW w:w="1240" w:type="dxa"/>
            <w:vAlign w:val="bottom"/>
          </w:tcPr>
          <w:p>
            <w:pPr>
              <w:spacing w:after="0"/>
              <w:rPr>
                <w:sz w:val="16"/>
                <w:szCs w:val="16"/>
                <w:color w:val="auto"/>
              </w:rPr>
            </w:pPr>
          </w:p>
        </w:tc>
        <w:tc>
          <w:tcPr>
            <w:tcW w:w="18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12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8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87"/>
        </w:trPr>
        <w:tc>
          <w:tcPr>
            <w:tcW w:w="12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8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Date Fair Value</w:t>
            </w:r>
          </w:p>
        </w:tc>
      </w:tr>
    </w:tbl>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tcPr>
          <w:p>
            <w:pPr>
              <w:jc w:val="right"/>
              <w:ind w:right="12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5"/>
        </w:trPr>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100" w:type="dxa"/>
            <w:vAlign w:val="bottom"/>
          </w:tcPr>
          <w:p>
            <w:pPr>
              <w:spacing w:after="0"/>
              <w:rPr>
                <w:sz w:val="15"/>
                <w:szCs w:val="15"/>
                <w:color w:val="auto"/>
              </w:rPr>
            </w:pPr>
          </w:p>
        </w:tc>
        <w:tc>
          <w:tcPr>
            <w:tcW w:w="12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8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87"/>
        </w:trPr>
        <w:tc>
          <w:tcPr>
            <w:tcW w:w="100" w:type="dxa"/>
            <w:vAlign w:val="bottom"/>
          </w:tcPr>
          <w:p>
            <w:pPr>
              <w:spacing w:after="0"/>
              <w:rPr>
                <w:sz w:val="16"/>
                <w:szCs w:val="16"/>
                <w:color w:val="auto"/>
              </w:rPr>
            </w:pPr>
          </w:p>
        </w:tc>
        <w:tc>
          <w:tcPr>
            <w:tcW w:w="12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8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Date Fair Value</w:t>
            </w:r>
          </w:p>
        </w:tc>
      </w:tr>
    </w:tbl>
    <w:p>
      <w:pPr>
        <w:spacing w:after="0" w:line="1" w:lineRule="exact"/>
        <w:rPr>
          <w:sz w:val="20"/>
          <w:szCs w:val="20"/>
          <w:color w:val="auto"/>
        </w:rPr>
      </w:pPr>
    </w:p>
    <w:p>
      <w:pPr>
        <w:sectPr>
          <w:pgSz w:w="11900" w:h="16838" w:orient="portrait"/>
          <w:cols w:equalWidth="0" w:num="2">
            <w:col w:w="7380" w:space="100"/>
            <w:col w:w="3720"/>
          </w:cols>
          <w:pgMar w:left="320" w:top="445" w:right="379" w:bottom="1440" w:gutter="0" w:footer="0" w:header="0"/>
          <w:type w:val="continuous"/>
        </w:sectPr>
      </w:pPr>
    </w:p>
    <w:tbl>
      <w:tblPr>
        <w:tblLayout w:type="fixed"/>
        <w:tblInd w:w="580" w:type="dxa"/>
        <w:tblCellMar>
          <w:top w:w="0" w:type="dxa"/>
          <w:left w:w="0" w:type="dxa"/>
          <w:bottom w:w="0" w:type="dxa"/>
          <w:right w:w="0" w:type="dxa"/>
        </w:tblCellMar>
      </w:tblPr>
      <w:tr>
        <w:trPr>
          <w:trHeight w:val="237"/>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164,351</w:t>
            </w:r>
          </w:p>
        </w:tc>
        <w:tc>
          <w:tcPr>
            <w:tcW w:w="26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164,351</w:t>
            </w:r>
          </w:p>
        </w:tc>
        <w:tc>
          <w:tcPr>
            <w:tcW w:w="7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20"/>
                <w:szCs w:val="20"/>
                <w:color w:val="auto"/>
              </w:rPr>
            </w:pPr>
          </w:p>
        </w:tc>
      </w:tr>
      <w:tr>
        <w:trPr>
          <w:trHeight w:val="247"/>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(164,351 )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end of year</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2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164,351</w:t>
            </w:r>
          </w:p>
        </w:tc>
        <w:tc>
          <w:tcPr>
            <w:tcW w:w="780" w:type="dxa"/>
            <w:vAlign w:val="bottom"/>
            <w:tcBorders>
              <w:bottom w:val="single" w:sz="8" w:color="CFF0FC"/>
            </w:tcBorders>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-25400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number of PSUs awarded represents the target number of shares of common stock that may be earned; however, the actual number of shares may vary based on the satisfaction of performance criteria. The Company recognized $1.7 million in stock-based compensation expense associated with PSUs in the year ended December 31, 2022, and did not recognize any expense associated with PSUs in the year ended December 31, 2021. Total unrecognized expense for these awards was estimated to be $5.1 million at December 31, 2022, to be recognized over a weighted-average period of approximately 2.0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Incentive Equity Plan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AIDH Topco, LLC 2019 Equity Incentive Plan (the “2019 Plan”) was utilized prior to the Reorganization Transactions and the IPO for the issuance of equity awards in the form of Class B Units to or on behalf of employees, consultants, directors, managers, or others providing services to the Company. In connection with the Reorganization Transactions and the IPO, unvested Class B Units held directly by employees of the Company or indirectly through AIDH Management Holdings, LLC, were exchanged for unvested Definitive OpCo units (held directly or indirectly through AIDH Management Holdings, LLC) based on their respective participation thresholds and the IPO price of $27.00 per share. The Company no longer grants any awards under the 2019 Plan, though previously granted awards under the 2019 Plan remain outstanding and governed by the 2019 Plan, including unvested units.</w:t>
      </w:r>
    </w:p>
    <w:p>
      <w:pPr>
        <w:spacing w:after="0" w:line="8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departure of two management-level employees, the Company accelerated the vesting of 126,350 previously unvested Definitive OpCo units (held indirectly through AIDH Management Holdings, LLC), resulting in incremental stock-based compensation expense of approximately $1.8 million during the fourth quarter of 2022. Upon separation, 81,857 unvested Definitive OpCo units (held indirectly through AIDH Management Holdings, LLC) were forfeited.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unvested unit activity.</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7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6"/>
                <w:szCs w:val="16"/>
                <w:color w:val="auto"/>
              </w:rPr>
            </w:pPr>
          </w:p>
        </w:tc>
      </w:tr>
      <w:tr>
        <w:trPr>
          <w:trHeight w:val="175"/>
        </w:trPr>
        <w:tc>
          <w:tcPr>
            <w:tcW w:w="5700" w:type="dxa"/>
            <w:vAlign w:val="bottom"/>
          </w:tcPr>
          <w:p>
            <w:pPr>
              <w:spacing w:after="0"/>
              <w:rPr>
                <w:sz w:val="15"/>
                <w:szCs w:val="15"/>
                <w:color w:val="auto"/>
              </w:rPr>
            </w:pPr>
          </w:p>
        </w:tc>
        <w:tc>
          <w:tcPr>
            <w:tcW w:w="232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340" w:type="dxa"/>
            <w:vAlign w:val="bottom"/>
          </w:tcPr>
          <w:p>
            <w:pPr>
              <w:spacing w:after="0"/>
              <w:rPr>
                <w:sz w:val="15"/>
                <w:szCs w:val="15"/>
                <w:color w:val="auto"/>
              </w:rPr>
            </w:pPr>
          </w:p>
        </w:tc>
        <w:tc>
          <w:tcPr>
            <w:tcW w:w="164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100" w:type="dxa"/>
            <w:vAlign w:val="bottom"/>
          </w:tcPr>
          <w:p>
            <w:pPr>
              <w:spacing w:after="0"/>
              <w:rPr>
                <w:sz w:val="15"/>
                <w:szCs w:val="15"/>
                <w:color w:val="auto"/>
              </w:rPr>
            </w:pPr>
          </w:p>
        </w:tc>
      </w:tr>
      <w:tr>
        <w:trPr>
          <w:trHeight w:val="187"/>
        </w:trPr>
        <w:tc>
          <w:tcPr>
            <w:tcW w:w="5700" w:type="dxa"/>
            <w:vAlign w:val="bottom"/>
          </w:tcPr>
          <w:p>
            <w:pPr>
              <w:spacing w:after="0"/>
              <w:rPr>
                <w:sz w:val="16"/>
                <w:szCs w:val="16"/>
                <w:color w:val="auto"/>
              </w:rPr>
            </w:pPr>
          </w:p>
        </w:tc>
        <w:tc>
          <w:tcPr>
            <w:tcW w:w="232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40" w:type="dxa"/>
            <w:vAlign w:val="bottom"/>
          </w:tcPr>
          <w:p>
            <w:pPr>
              <w:spacing w:after="0"/>
              <w:rPr>
                <w:sz w:val="16"/>
                <w:szCs w:val="16"/>
                <w:color w:val="auto"/>
              </w:rPr>
            </w:pPr>
          </w:p>
        </w:tc>
        <w:tc>
          <w:tcPr>
            <w:tcW w:w="164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6"/>
                <w:szCs w:val="16"/>
                <w:color w:val="auto"/>
              </w:rPr>
            </w:pPr>
          </w:p>
        </w:tc>
      </w:tr>
      <w:tr>
        <w:trPr>
          <w:trHeight w:val="23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2,756,406</w:t>
            </w:r>
          </w:p>
        </w:tc>
        <w:tc>
          <w:tcPr>
            <w:tcW w:w="3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20"/>
                <w:szCs w:val="20"/>
                <w:color w:val="auto"/>
              </w:rPr>
            </w:pPr>
          </w:p>
        </w:tc>
      </w:tr>
      <w:tr>
        <w:trPr>
          <w:trHeight w:val="239"/>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2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(1,060,385 )</w:t>
            </w: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r>
      <w:tr>
        <w:trPr>
          <w:trHeight w:val="243"/>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2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(186,872 )</w:t>
            </w:r>
          </w:p>
        </w:tc>
        <w:tc>
          <w:tcPr>
            <w:tcW w:w="3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21"/>
                <w:szCs w:val="21"/>
                <w:color w:val="auto"/>
              </w:rPr>
            </w:pPr>
          </w:p>
        </w:tc>
      </w:tr>
      <w:tr>
        <w:trPr>
          <w:trHeight w:val="241"/>
        </w:trPr>
        <w:tc>
          <w:tcPr>
            <w:tcW w:w="5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1,509,149</w:t>
            </w:r>
          </w:p>
        </w:tc>
        <w:tc>
          <w:tcPr>
            <w:tcW w:w="3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top w:val="single" w:sz="8" w:color="CFF0FC"/>
            </w:tcBorders>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1885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0">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$7.7 million in stock-based compensation expense associated with these units in the year ended December 31, 2022, inclusive of the incremental expense associated with the departing management-level employees, and $3.4 million during the year ended December 31, 2021. The Company also recorded $1.9 million in incremental compensation expense in the third quarter of 2021 associated with the acceleration of an equity-based award upon retirement of an executive officer. At December 31, 2022, the Company had approximately $8.2 million of unrecognized unit-based compensation expense for unvested units, which is expected to be recognized over a weighted-average period of approximately 1.7 years.</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type w:val="continuous"/>
        </w:sectPr>
      </w:pPr>
    </w:p>
    <w:bookmarkStart w:id="121" w:name="page122"/>
    <w:bookmarkEnd w:id="121"/>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a 401(k) plan covering all employees who have met certain eligibility requirements. The Company made matching contributions in accordance with the plan documents. The Company incurred $3.4 million, $2.3 million and $1.6 million in employer matching contributions during the years ended December 31, 2022, 2021 and 2020, respectively.</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57" w:right="459" w:bottom="1440" w:gutter="0" w:footer="0" w:header="0"/>
        </w:sectPr>
      </w:pPr>
    </w:p>
    <w:bookmarkStart w:id="122" w:name="page123"/>
    <w:bookmarkEnd w:id="122"/>
    <w:p>
      <w:pPr>
        <w:ind w:left="520" w:hanging="512"/>
        <w:spacing w:after="0"/>
        <w:tabs>
          <w:tab w:leader="none" w:pos="5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as a result of the IPO, the Company began consolidating the financial results of Definitive OpCo. Definitive OpCo is treated as a partnership for U.S. federal and most applicable state and local income tax purposes. As a partnership, Definitive OpCo is generally not subject to U.S. federal and certain state and local income taxes. Any taxable income or loss generated by Definitive OpCo is passed through to and included in the taxable income or loss of its members, including Definitive Healthcare Corp., based on its economic interest held in Definitive OpCo. Definitive Healthcare Corp. was formed on May 5, 2021 and did not engage in any operations prior to the IPO. Definitive HealthCare Corp. is taxed as a corporation and is subject to U.S. federal, state, and local income taxes with respect to its allocable share of any taxable income or loss of Definitive OpCo, as well as any such taxes on stand-alone income or loss generated by the Company. HSE, Monocl, AW and subsidiaries are taxed as corporations and are subject to U.S. federal, state, and local income taxes.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U.S. and foreign components of income before income taxes were as follows:</w:t>
      </w:r>
    </w:p>
    <w:p>
      <w:pPr>
        <w:spacing w:after="0" w:line="124" w:lineRule="exact"/>
        <w:rPr>
          <w:sz w:val="20"/>
          <w:szCs w:val="20"/>
          <w:color w:val="auto"/>
        </w:rPr>
      </w:pPr>
    </w:p>
    <w:tbl>
      <w:tblPr>
        <w:tblLayout w:type="fixed"/>
        <w:tblInd w:w="520" w:type="dxa"/>
        <w:tblCellMar>
          <w:top w:w="0" w:type="dxa"/>
          <w:left w:w="0" w:type="dxa"/>
          <w:bottom w:w="0" w:type="dxa"/>
          <w:right w:w="0" w:type="dxa"/>
        </w:tblCellMar>
      </w:tblPr>
      <w:tr>
        <w:trPr>
          <w:trHeight w:val="176"/>
        </w:trPr>
        <w:tc>
          <w:tcPr>
            <w:tcW w:w="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0" w:type="dxa"/>
            <w:vAlign w:val="bottom"/>
          </w:tcPr>
          <w:p>
            <w:pPr>
              <w:spacing w:after="0"/>
              <w:rPr>
                <w:sz w:val="20"/>
                <w:szCs w:val="20"/>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2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(34,617</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(56,597</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(4,823 )</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(3,985 )</w:t>
            </w:r>
          </w:p>
        </w:tc>
        <w:tc>
          <w:tcPr>
            <w:tcW w:w="4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(1,547 )</w:t>
            </w:r>
          </w:p>
        </w:tc>
      </w:tr>
      <w:tr>
        <w:trPr>
          <w:trHeight w:val="281"/>
        </w:trPr>
        <w:tc>
          <w:tcPr>
            <w:tcW w:w="60" w:type="dxa"/>
            <w:vAlign w:val="bottom"/>
          </w:tcPr>
          <w:p>
            <w:pPr>
              <w:spacing w:after="0"/>
              <w:rPr>
                <w:sz w:val="24"/>
                <w:szCs w:val="24"/>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413"/>
        </w:trPr>
        <w:tc>
          <w:tcPr>
            <w:tcW w:w="48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w w:val="99"/>
              </w:rPr>
              <w:t>The components of the provision for income taxes are as follows: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2"/>
        </w:trPr>
        <w:tc>
          <w:tcPr>
            <w:tcW w:w="6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0" w:type="dxa"/>
            <w:vAlign w:val="bottom"/>
            <w:gridSpan w:val="3"/>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87"/>
        </w:trPr>
        <w:tc>
          <w:tcPr>
            <w:tcW w:w="6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0" w:type="dxa"/>
            <w:vAlign w:val="bottom"/>
          </w:tcPr>
          <w:p>
            <w:pPr>
              <w:spacing w:after="0"/>
              <w:rPr>
                <w:sz w:val="20"/>
                <w:szCs w:val="20"/>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0" w:type="dxa"/>
            <w:vAlign w:val="bottom"/>
          </w:tcPr>
          <w:p>
            <w:pPr>
              <w:spacing w:after="0"/>
              <w:rPr>
                <w:sz w:val="20"/>
                <w:szCs w:val="20"/>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6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67"/>
        </w:trPr>
        <w:tc>
          <w:tcPr>
            <w:tcW w:w="60" w:type="dxa"/>
            <w:vAlign w:val="bottom"/>
          </w:tcPr>
          <w:p>
            <w:pPr>
              <w:spacing w:after="0"/>
              <w:rPr>
                <w:sz w:val="23"/>
                <w:szCs w:val="23"/>
                <w:color w:val="auto"/>
              </w:rPr>
            </w:pPr>
          </w:p>
        </w:tc>
        <w:tc>
          <w:tcPr>
            <w:tcW w:w="4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state and local</w:t>
            </w:r>
          </w:p>
        </w:tc>
        <w:tc>
          <w:tcPr>
            <w:tcW w:w="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6"/>
        </w:trPr>
        <w:tc>
          <w:tcPr>
            <w:tcW w:w="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income taxes</w:t>
            </w:r>
          </w:p>
        </w:tc>
        <w:tc>
          <w:tcPr>
            <w:tcW w:w="600" w:type="dxa"/>
            <w:vAlign w:val="bottom"/>
            <w:tcBorders>
              <w:top w:val="single" w:sz="8" w:color="auto"/>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r>
      <w:tr>
        <w:trPr>
          <w:trHeight w:val="241"/>
        </w:trPr>
        <w:tc>
          <w:tcPr>
            <w:tcW w:w="60" w:type="dxa"/>
            <w:vAlign w:val="bottom"/>
          </w:tcPr>
          <w:p>
            <w:pPr>
              <w:spacing w:after="0"/>
              <w:rPr>
                <w:sz w:val="20"/>
                <w:szCs w:val="20"/>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0" w:type="dxa"/>
            <w:vAlign w:val="bottom"/>
          </w:tcPr>
          <w:p>
            <w:pPr>
              <w:spacing w:after="0"/>
              <w:rPr>
                <w:sz w:val="20"/>
                <w:szCs w:val="20"/>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6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(1,024 )</w:t>
            </w:r>
          </w:p>
        </w:tc>
        <w:tc>
          <w:tcPr>
            <w:tcW w:w="4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247"/>
        </w:trPr>
        <w:tc>
          <w:tcPr>
            <w:tcW w:w="60" w:type="dxa"/>
            <w:vAlign w:val="bottom"/>
          </w:tcPr>
          <w:p>
            <w:pPr>
              <w:spacing w:after="0"/>
              <w:rPr>
                <w:sz w:val="21"/>
                <w:szCs w:val="21"/>
                <w:color w:val="auto"/>
              </w:rPr>
            </w:pPr>
          </w:p>
        </w:tc>
        <w:tc>
          <w:tcPr>
            <w:tcW w:w="4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state and local</w:t>
            </w:r>
          </w:p>
        </w:tc>
        <w:tc>
          <w:tcPr>
            <w:tcW w:w="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(16,040 )</w:t>
            </w:r>
          </w:p>
        </w:tc>
        <w:tc>
          <w:tcPr>
            <w:tcW w:w="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9"/>
        </w:trPr>
        <w:tc>
          <w:tcPr>
            <w:tcW w:w="60" w:type="dxa"/>
            <w:vAlign w:val="bottom"/>
          </w:tcPr>
          <w:p>
            <w:pPr>
              <w:spacing w:after="0"/>
              <w:rPr>
                <w:sz w:val="20"/>
                <w:szCs w:val="20"/>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(229 )</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 w:type="dxa"/>
            <w:vAlign w:val="bottom"/>
          </w:tcPr>
          <w:p>
            <w:pPr>
              <w:spacing w:after="0"/>
              <w:rPr>
                <w:sz w:val="20"/>
                <w:szCs w:val="20"/>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600" w:type="dxa"/>
            <w:vAlign w:val="bottom"/>
            <w:tcBorders>
              <w:top w:val="single" w:sz="8" w:color="auto"/>
              <w:bottom w:val="single" w:sz="8" w:color="auto"/>
            </w:tcBorders>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(17,293</w:t>
            </w:r>
          </w:p>
        </w:tc>
        <w:tc>
          <w:tcPr>
            <w:tcW w:w="320" w:type="dxa"/>
            <w:vAlign w:val="bottom"/>
            <w:tcBorders>
              <w:bottom w:val="single" w:sz="8" w:color="CFF0FC"/>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top w:val="single" w:sz="8" w:color="auto"/>
              <w:bottom w:val="single" w:sz="8" w:color="auto"/>
            </w:tcBorders>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3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(17,185 )</w:t>
            </w:r>
          </w:p>
        </w:tc>
        <w:tc>
          <w:tcPr>
            <w:tcW w:w="4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-2211070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-2193925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-2211070</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-2193925</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-2211070</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-2193925</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-1152525</wp:posOffset>
            </wp:positionV>
            <wp:extent cx="2644775" cy="1968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9">
                      <a:extLst>
                        <a:ext uri="{28A0092B-C50C-407E-A947-70E740481C1C}"/>
                      </a:extLst>
                    </a:blip>
                    <a:srcRect/>
                    <a:stretch>
                      <a:fillRect/>
                    </a:stretch>
                  </pic:blipFill>
                  <pic:spPr bwMode="auto">
                    <a:xfrm>
                      <a:off x="0" y="0"/>
                      <a:ext cx="2644775" cy="19685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-187960</wp:posOffset>
            </wp:positionV>
            <wp:extent cx="68580" cy="1885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1885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2">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Income Tax Rate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items accounting for the difference between income taxes computed at the U.S. federal statutory rate and our effective rate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7"/>
        </w:trPr>
        <w:tc>
          <w:tcPr>
            <w:tcW w:w="5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16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6"/>
        </w:trPr>
        <w:tc>
          <w:tcPr>
            <w:tcW w:w="520" w:type="dxa"/>
            <w:vAlign w:val="bottom"/>
          </w:tcPr>
          <w:p>
            <w:pPr>
              <w:spacing w:after="0"/>
              <w:rPr>
                <w:sz w:val="20"/>
                <w:szCs w:val="20"/>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U.S. federal income taxes at statutory rate</w:t>
            </w:r>
          </w:p>
        </w:tc>
        <w:tc>
          <w:tcPr>
            <w:tcW w:w="90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r>
      <w:tr>
        <w:trPr>
          <w:trHeight w:val="239"/>
        </w:trPr>
        <w:tc>
          <w:tcPr>
            <w:tcW w:w="52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(41.21 )</w:t>
            </w:r>
          </w:p>
        </w:tc>
        <w:tc>
          <w:tcPr>
            <w:tcW w:w="260" w:type="dxa"/>
            <w:vAlign w:val="bottom"/>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(13.94 )</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47"/>
        </w:trPr>
        <w:tc>
          <w:tcPr>
            <w:tcW w:w="520" w:type="dxa"/>
            <w:vAlign w:val="bottom"/>
          </w:tcPr>
          <w:p>
            <w:pPr>
              <w:spacing w:after="0"/>
              <w:rPr>
                <w:sz w:val="21"/>
                <w:szCs w:val="21"/>
                <w:color w:val="auto"/>
              </w:rPr>
            </w:pPr>
          </w:p>
        </w:tc>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(0.51 )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220" w:type="dxa"/>
            <w:vAlign w:val="bottom"/>
            <w:shd w:val="clear" w:color="auto" w:fill="CFF0FC"/>
          </w:tcPr>
          <w:p>
            <w:pPr>
              <w:spacing w:after="0"/>
              <w:rPr>
                <w:sz w:val="21"/>
                <w:szCs w:val="21"/>
                <w:color w:val="auto"/>
              </w:rPr>
            </w:pPr>
          </w:p>
        </w:tc>
        <w:tc>
          <w:tcPr>
            <w:tcW w:w="500" w:type="dxa"/>
            <w:vAlign w:val="bottom"/>
          </w:tcPr>
          <w:p>
            <w:pPr>
              <w:spacing w:after="0"/>
              <w:rPr>
                <w:sz w:val="21"/>
                <w:szCs w:val="21"/>
                <w:color w:val="auto"/>
              </w:rPr>
            </w:pPr>
          </w:p>
        </w:tc>
      </w:tr>
      <w:tr>
        <w:trPr>
          <w:trHeight w:val="239"/>
        </w:trPr>
        <w:tc>
          <w:tcPr>
            <w:tcW w:w="52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Outside basis adjustment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47"/>
        </w:trPr>
        <w:tc>
          <w:tcPr>
            <w:tcW w:w="520" w:type="dxa"/>
            <w:vAlign w:val="bottom"/>
          </w:tcPr>
          <w:p>
            <w:pPr>
              <w:spacing w:after="0"/>
              <w:rPr>
                <w:sz w:val="21"/>
                <w:szCs w:val="21"/>
                <w:color w:val="auto"/>
              </w:rPr>
            </w:pPr>
          </w:p>
        </w:tc>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Partnership income, not subject to taxation</w:t>
            </w:r>
          </w:p>
        </w:tc>
        <w:tc>
          <w:tcPr>
            <w:tcW w:w="2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(8.64 )</w:t>
            </w:r>
          </w:p>
        </w:tc>
        <w:tc>
          <w:tcPr>
            <w:tcW w:w="26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(19.44 )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(27.55 )</w:t>
            </w:r>
          </w:p>
        </w:tc>
        <w:tc>
          <w:tcPr>
            <w:tcW w:w="220" w:type="dxa"/>
            <w:vAlign w:val="bottom"/>
            <w:shd w:val="clear" w:color="auto" w:fill="CFF0FC"/>
          </w:tcPr>
          <w:p>
            <w:pPr>
              <w:spacing w:after="0"/>
              <w:rPr>
                <w:sz w:val="21"/>
                <w:szCs w:val="21"/>
                <w:color w:val="auto"/>
              </w:rPr>
            </w:pPr>
          </w:p>
        </w:tc>
        <w:tc>
          <w:tcPr>
            <w:tcW w:w="500" w:type="dxa"/>
            <w:vAlign w:val="bottom"/>
          </w:tcPr>
          <w:p>
            <w:pPr>
              <w:spacing w:after="0"/>
              <w:rPr>
                <w:sz w:val="21"/>
                <w:szCs w:val="21"/>
                <w:color w:val="auto"/>
              </w:rPr>
            </w:pPr>
          </w:p>
        </w:tc>
      </w:tr>
      <w:tr>
        <w:trPr>
          <w:trHeight w:val="239"/>
        </w:trPr>
        <w:tc>
          <w:tcPr>
            <w:tcW w:w="52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to provision</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47"/>
        </w:trPr>
        <w:tc>
          <w:tcPr>
            <w:tcW w:w="520" w:type="dxa"/>
            <w:vAlign w:val="bottom"/>
          </w:tcPr>
          <w:p>
            <w:pPr>
              <w:spacing w:after="0"/>
              <w:rPr>
                <w:sz w:val="21"/>
                <w:szCs w:val="21"/>
                <w:color w:val="auto"/>
              </w:rPr>
            </w:pPr>
          </w:p>
        </w:tc>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 remeasurement</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500" w:type="dxa"/>
            <w:vAlign w:val="bottom"/>
          </w:tcPr>
          <w:p>
            <w:pPr>
              <w:spacing w:after="0"/>
              <w:rPr>
                <w:sz w:val="21"/>
                <w:szCs w:val="21"/>
                <w:color w:val="auto"/>
              </w:rPr>
            </w:pPr>
          </w:p>
        </w:tc>
      </w:tr>
      <w:tr>
        <w:trPr>
          <w:trHeight w:val="239"/>
        </w:trPr>
        <w:tc>
          <w:tcPr>
            <w:tcW w:w="52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47"/>
        </w:trPr>
        <w:tc>
          <w:tcPr>
            <w:tcW w:w="520" w:type="dxa"/>
            <w:vAlign w:val="bottom"/>
          </w:tcPr>
          <w:p>
            <w:pPr>
              <w:spacing w:after="0"/>
              <w:rPr>
                <w:sz w:val="21"/>
                <w:szCs w:val="21"/>
                <w:color w:val="auto"/>
              </w:rPr>
            </w:pPr>
          </w:p>
        </w:tc>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220" w:type="dxa"/>
            <w:vAlign w:val="bottom"/>
            <w:shd w:val="clear" w:color="auto" w:fill="CFF0FC"/>
          </w:tcPr>
          <w:p>
            <w:pPr>
              <w:spacing w:after="0"/>
              <w:rPr>
                <w:sz w:val="21"/>
                <w:szCs w:val="21"/>
                <w:color w:val="auto"/>
              </w:rPr>
            </w:pPr>
          </w:p>
        </w:tc>
        <w:tc>
          <w:tcPr>
            <w:tcW w:w="500" w:type="dxa"/>
            <w:vAlign w:val="bottom"/>
          </w:tcPr>
          <w:p>
            <w:pPr>
              <w:spacing w:after="0"/>
              <w:rPr>
                <w:sz w:val="21"/>
                <w:szCs w:val="21"/>
                <w:color w:val="auto"/>
              </w:rPr>
            </w:pPr>
          </w:p>
        </w:tc>
      </w:tr>
      <w:tr>
        <w:trPr>
          <w:trHeight w:val="239"/>
        </w:trPr>
        <w:tc>
          <w:tcPr>
            <w:tcW w:w="52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2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(1.23 )</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43"/>
        </w:trPr>
        <w:tc>
          <w:tcPr>
            <w:tcW w:w="520" w:type="dxa"/>
            <w:vAlign w:val="bottom"/>
          </w:tcPr>
          <w:p>
            <w:pPr>
              <w:spacing w:after="0"/>
              <w:rPr>
                <w:sz w:val="21"/>
                <w:szCs w:val="21"/>
                <w:color w:val="auto"/>
              </w:rPr>
            </w:pPr>
          </w:p>
        </w:tc>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(0.64 )</w:t>
            </w:r>
          </w:p>
        </w:tc>
        <w:tc>
          <w:tcPr>
            <w:tcW w:w="26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(0.94 )</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41"/>
        </w:trPr>
        <w:tc>
          <w:tcPr>
            <w:tcW w:w="5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00" w:type="dxa"/>
            <w:vAlign w:val="bottom"/>
            <w:gridSpan w:val="3"/>
          </w:tcPr>
          <w:p>
            <w:pPr>
              <w:jc w:val="right"/>
              <w:ind w:right="90"/>
              <w:spacing w:after="0" w:line="241" w:lineRule="exact"/>
              <w:rPr>
                <w:sz w:val="20"/>
                <w:szCs w:val="20"/>
                <w:color w:val="auto"/>
              </w:rPr>
            </w:pPr>
            <w:r>
              <w:rPr>
                <w:rFonts w:ascii="Times New Roman" w:cs="Times New Roman" w:eastAsia="Times New Roman" w:hAnsi="Times New Roman"/>
                <w:sz w:val="15"/>
                <w:szCs w:val="15"/>
                <w:color w:val="auto"/>
              </w:rPr>
              <w:t xml:space="preserve">(1.11 </w:t>
            </w:r>
            <w:r>
              <w:rPr>
                <w:rFonts w:ascii="Times New Roman" w:cs="Times New Roman" w:eastAsia="Times New Roman" w:hAnsi="Times New Roman"/>
                <w:sz w:val="15"/>
                <w:szCs w:val="15"/>
                <w:color w:val="auto"/>
                <w:highlight w:val="white"/>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bscript"/>
              </w:rPr>
              <w:t>%</w:t>
            </w:r>
          </w:p>
        </w:tc>
        <w:tc>
          <w:tcPr>
            <w:tcW w:w="1520" w:type="dxa"/>
            <w:vAlign w:val="bottom"/>
            <w:gridSpan w:val="3"/>
          </w:tcPr>
          <w:p>
            <w:pPr>
              <w:jc w:val="right"/>
              <w:spacing w:after="0" w:line="241" w:lineRule="exact"/>
              <w:rPr>
                <w:sz w:val="20"/>
                <w:szCs w:val="20"/>
                <w:color w:val="auto"/>
              </w:rPr>
            </w:pPr>
            <w:r>
              <w:rPr>
                <w:rFonts w:ascii="Times New Roman" w:cs="Times New Roman" w:eastAsia="Times New Roman" w:hAnsi="Times New Roman"/>
                <w:sz w:val="15"/>
                <w:szCs w:val="15"/>
                <w:color w:val="auto"/>
              </w:rPr>
              <w:t xml:space="preserve">(0.12 </w:t>
            </w:r>
            <w:r>
              <w:rPr>
                <w:rFonts w:ascii="Times New Roman" w:cs="Times New Roman" w:eastAsia="Times New Roman" w:hAnsi="Times New Roman"/>
                <w:sz w:val="15"/>
                <w:szCs w:val="15"/>
                <w:color w:val="auto"/>
                <w:highlight w:val="white"/>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bscript"/>
              </w:rPr>
              <w:t>%</w:t>
            </w:r>
          </w:p>
        </w:tc>
        <w:tc>
          <w:tcPr>
            <w:tcW w:w="500" w:type="dxa"/>
            <w:vAlign w:val="bottom"/>
          </w:tcPr>
          <w:p>
            <w:pPr>
              <w:spacing w:after="0"/>
              <w:rPr>
                <w:sz w:val="20"/>
                <w:szCs w:val="20"/>
                <w:color w:val="auto"/>
              </w:rPr>
            </w:pPr>
          </w:p>
        </w:tc>
      </w:tr>
      <w:tr>
        <w:trPr>
          <w:trHeight w:val="20"/>
        </w:trPr>
        <w:tc>
          <w:tcPr>
            <w:tcW w:w="5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20"/>
        </w:trPr>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4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F-48</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1"/>
        </w:trPr>
        <w:tc>
          <w:tcPr>
            <w:tcW w:w="52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-607695</wp:posOffset>
            </wp:positionV>
            <wp:extent cx="68580" cy="1885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deferred tax assets and liabilities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210185</wp:posOffset>
            </wp:positionV>
            <wp:extent cx="3047365" cy="3556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6">
                      <a:extLst>
                        <a:ext uri="{28A0092B-C50C-407E-A947-70E740481C1C}"/>
                      </a:extLst>
                    </a:blip>
                    <a:srcRect/>
                    <a:stretch>
                      <a:fillRect/>
                    </a:stretch>
                  </pic:blipFill>
                  <pic:spPr bwMode="auto">
                    <a:xfrm>
                      <a:off x="0" y="0"/>
                      <a:ext cx="3047365" cy="35560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1"/>
                <w:szCs w:val="21"/>
                <w:color w:val="auto"/>
              </w:rPr>
            </w:pPr>
          </w:p>
        </w:tc>
      </w:tr>
      <w:tr>
        <w:trPr>
          <w:trHeight w:val="23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52,534</w:t>
            </w:r>
          </w:p>
        </w:tc>
        <w:tc>
          <w:tcPr>
            <w:tcW w:w="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38,540</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20"/>
                <w:szCs w:val="20"/>
                <w:color w:val="auto"/>
              </w:rPr>
            </w:pPr>
          </w:p>
        </w:tc>
      </w:tr>
      <w:tr>
        <w:trPr>
          <w:trHeight w:val="247"/>
        </w:trPr>
        <w:tc>
          <w:tcPr>
            <w:tcW w:w="5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Outside partnership basis difference</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61,378</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44,291</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88,984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0"/>
                <w:szCs w:val="20"/>
                <w:color w:val="auto"/>
              </w:rPr>
            </w:pPr>
          </w:p>
        </w:tc>
      </w:tr>
      <w:tr>
        <w:trPr>
          <w:trHeight w:val="24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(187,807 )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(164,394 )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(1,430 )</w:t>
            </w:r>
          </w:p>
        </w:tc>
      </w:tr>
      <w:tr>
        <w:trPr>
          <w:trHeight w:val="20"/>
        </w:trPr>
        <w:tc>
          <w:tcPr>
            <w:tcW w:w="5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(61,406 </w:t>
            </w:r>
            <w:r>
              <w:rPr>
                <w:rFonts w:ascii="Times New Roman" w:cs="Times New Roman" w:eastAsia="Times New Roman" w:hAnsi="Times New Roman"/>
                <w:sz w:val="18"/>
                <w:szCs w:val="18"/>
                <w:color w:val="auto"/>
                <w:highlight w:val="white"/>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(75,410 </w:t>
            </w:r>
            <w:r>
              <w:rPr>
                <w:rFonts w:ascii="Times New Roman" w:cs="Times New Roman" w:eastAsia="Times New Roman" w:hAnsi="Times New Roman"/>
                <w:sz w:val="18"/>
                <w:szCs w:val="18"/>
                <w:color w:val="auto"/>
                <w:highlight w:val="white"/>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r>
      <w:tr>
        <w:trPr>
          <w:trHeight w:val="241"/>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(14,126 )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 and advances</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(229 )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(14,233 </w:t>
            </w:r>
            <w:r>
              <w:rPr>
                <w:rFonts w:ascii="Times New Roman" w:cs="Times New Roman" w:eastAsia="Times New Roman" w:hAnsi="Times New Roman"/>
                <w:sz w:val="18"/>
                <w:szCs w:val="18"/>
                <w:color w:val="auto"/>
                <w:highlight w:val="white"/>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color w:val="auto"/>
                <w:highlight w:val="white"/>
              </w:rPr>
              <w:t>)</w:t>
            </w: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(liabilities) assets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(75,639 )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(75,730 )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24"/>
                <w:szCs w:val="24"/>
                <w:color w:val="auto"/>
              </w:rPr>
            </w:pPr>
          </w:p>
        </w:tc>
      </w:tr>
      <w:tr>
        <w:trPr>
          <w:trHeight w:val="201"/>
        </w:trPr>
        <w:tc>
          <w:tcPr>
            <w:tcW w:w="55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FF0FC"/>
              <w:bottom w:val="single" w:sz="8" w:color="auto"/>
            </w:tcBorders>
          </w:tcPr>
          <w:p>
            <w:pPr>
              <w:spacing w:after="0"/>
              <w:rPr>
                <w:sz w:val="17"/>
                <w:szCs w:val="17"/>
                <w:color w:val="auto"/>
              </w:rPr>
            </w:pPr>
          </w:p>
        </w:tc>
        <w:tc>
          <w:tcPr>
            <w:tcW w:w="160" w:type="dxa"/>
            <w:vAlign w:val="bottom"/>
            <w:tcBorders>
              <w:top w:val="single" w:sz="8" w:color="CFF0FC"/>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spacing w:after="0"/>
              <w:rPr>
                <w:sz w:val="17"/>
                <w:szCs w:val="17"/>
                <w:color w:val="auto"/>
              </w:rPr>
            </w:pPr>
          </w:p>
        </w:tc>
        <w:tc>
          <w:tcPr>
            <w:tcW w:w="220" w:type="dxa"/>
            <w:vAlign w:val="bottom"/>
            <w:tcBorders>
              <w:top w:val="single" w:sz="8" w:color="CFF0FC"/>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7"/>
        </w:trPr>
        <w:tc>
          <w:tcPr>
            <w:tcW w:w="5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1"/>
                <w:szCs w:val="21"/>
                <w:color w:val="auto"/>
              </w:rPr>
            </w:pPr>
          </w:p>
        </w:tc>
      </w:tr>
      <w:tr>
        <w:trPr>
          <w:trHeight w:val="23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Reported as: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deferred tax assets (included within Other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r>
      <w:tr>
        <w:trPr>
          <w:trHeight w:val="243"/>
        </w:trPr>
        <w:tc>
          <w:tcPr>
            <w:tcW w:w="5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(75,737 )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(75,888 )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(75,639 </w:t>
            </w:r>
            <w:r>
              <w:rPr>
                <w:rFonts w:ascii="Times New Roman" w:cs="Times New Roman" w:eastAsia="Times New Roman" w:hAnsi="Times New Roman"/>
                <w:sz w:val="18"/>
                <w:szCs w:val="18"/>
                <w:color w:val="auto"/>
                <w:highlight w:val="white"/>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(75,730 </w:t>
            </w:r>
            <w:r>
              <w:rPr>
                <w:rFonts w:ascii="Times New Roman" w:cs="Times New Roman" w:eastAsia="Times New Roman" w:hAnsi="Times New Roman"/>
                <w:sz w:val="18"/>
                <w:szCs w:val="18"/>
                <w:color w:val="auto"/>
                <w:highlight w:val="white"/>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-2425065</wp:posOffset>
            </wp:positionV>
            <wp:extent cx="68580" cy="1631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-2425065</wp:posOffset>
            </wp:positionV>
            <wp:extent cx="60325" cy="1631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-2425065</wp:posOffset>
            </wp:positionV>
            <wp:extent cx="60325" cy="1631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-2108200</wp:posOffset>
            </wp:positionV>
            <wp:extent cx="60325" cy="1714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-1473835</wp:posOffset>
            </wp:positionV>
            <wp:extent cx="60325" cy="1631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-1156970</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-1139190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-1156970</wp:posOffset>
            </wp:positionV>
            <wp:extent cx="603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-1139190</wp:posOffset>
            </wp:positionV>
            <wp:extent cx="603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-1156970</wp:posOffset>
            </wp:positionV>
            <wp:extent cx="603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-1139190</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-1006475</wp:posOffset>
            </wp:positionV>
            <wp:extent cx="3047365" cy="3556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8">
                      <a:extLst>
                        <a:ext uri="{28A0092B-C50C-407E-A947-70E740481C1C}"/>
                      </a:extLst>
                    </a:blip>
                    <a:srcRect/>
                    <a:stretch>
                      <a:fillRect/>
                    </a:stretch>
                  </pic:blipFill>
                  <pic:spPr bwMode="auto">
                    <a:xfrm>
                      <a:off x="0" y="0"/>
                      <a:ext cx="3047365" cy="35560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1885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federal tax loss carryforward of $192.1 million has an unlimited carryforward period. The federal research and development tax credit carryforwards of $0.7 million expires in the years 2040 through 2042. The state tax loss carryforwards of $147.2 million expires at various times in years 2022 through indefinite. The state tax credit carryforwards of $0.3 million expires in the years 2037 through indefinite. The foreign tax loss carryforward of $14.0 million expires in the years 2030 through indefinite.</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Management has assessed the realizability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three years on its net operating loss carryforwards, R&amp;D credit carryforwards and other net deferred tax assets that remain after all sources of taxable income are exhausted, not supportable by the “naked credit” deferred tax liability sourced income as of December 31, 2022. In the event that management was to determine that the Company would be able to realize its deferred tax assets in the future in excess of their net recorded amount, an adjustment to the valuation allowance would be made which would reduce the provision for income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the financial statement effects of tax positions when it is more-likely-than-not the position will be sustained upon examination. As of December 31, 2022 and 2021, the Company has not identified any uncertain tax positions and has not recognized any related reserves. Accordingly, the Company has not recorded any interest or penalties associated with uncertain tax positions.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Pursuant to Definitive OpCo's election under Section 754 of the Internal Revenue Code (the “Code”), Definitive Healthcare Corp. expects to obtain an increase in its share of the tax basis in the net assets of Definitive OpCo when LLC Interests are redeemed or exchanged by other members. The Company is required to adjust the basis of partnership assets under Section 743(b) of the Code for each taxable year in which a redemption or exchange of LLC Interest occurs. These increases in tax basis may reduce the amounts that would otherwise be paid by the Company in the future to various tax authorities. They may also decrease gains (or increase losses) on future dispositions of certain capital assets to the extent tax basis is allocated to those capital assets.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attributes acquired by the Company from the Blocker Companies in the Reorganization Transactions, (ii) certain tax basis adjustments resulting from (a) acquisitions by the Company of LLC Units from pre-IPO holders in connection with the IPO and (b) subsequent redemptions or exchanges of LLC Units by holders for Class A Common Stock or other consideration,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Amounts payable under the TRA are contingent upon, among other things, (i) generation of future taxable income over the term of the TRA, and (ii) future changes in tax laws. If the Company does not generate sufficient taxable income in the aggregate over the term of the TRA to utilize the tax benefits, then the Company would not be required to make the related TRA payments. Therefore, the Company only recognizes a liability for the TRA if it determines whether it is probable that it will generate sufficient future taxable income over the term of the TRA to utilize the related tax benefits. Estimating future taxable income is inherently uncertain and requires judgment. The realizability of the deferred tax assets is evaluated based on all positive and negative evidence, including future reversals of existing taxable temporary differences, projected future taxable income, tax planning strategies, and recent results of operations. Based on current projections, the Company anticipates having sufficient taxable income to partially realize some of these benefits and has recorded a TRA liability of $156.3 million as of December 31, 2022. The TRA liability increased by $2.8 million during the year ended December 31, 2022, increasing $12.2 million with an offsetting adjustment to accumulated paid-in capital for current year LLC unit exchanges, while concurrently decreasing by $9.4 million for remeasurement of the liability based on future realizability of tax attributes with an offsetting adjustment to other income, net in the consolidated statements of operations. The Company did not make any payments on its TRA liability during the year. To the extent that the Company determines that it is able to realize the tax benefits associated with the basis adjustments and net operating losses, the Company would record an additional liability of $109.1 million for a total liability of $265.4 million. Should the Company anticipate a reduction in future taxable income, it would record a reduction in the TRA liability that would result in a benefit recorded within the consolidated statements of operations.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5" w:name="page126"/>
    <w:bookmarkEnd w:id="125"/>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of Class A Common Stock is computed by dividing net loss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reconciliation of the numerator and denominator used to compute basic and diluted net loss per share of Class A Common Stock for each of the years ended December 31, 2022 and 2021. The reconciliation for 2021 reflects only the period from September 15, 2021 to December 31, 2021, which represents the period wherein the Company had outstanding Class A Common Stock.</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90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7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7"/>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100" w:type="dxa"/>
            <w:vAlign w:val="bottom"/>
          </w:tcPr>
          <w:p>
            <w:pPr>
              <w:spacing w:after="0"/>
              <w:rPr>
                <w:sz w:val="16"/>
                <w:szCs w:val="16"/>
                <w:color w:val="auto"/>
              </w:rPr>
            </w:pPr>
          </w:p>
        </w:tc>
      </w:tr>
      <w:tr>
        <w:trPr>
          <w:trHeight w:val="23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(22,255 )</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(61,257 )</w:t>
            </w:r>
          </w:p>
        </w:tc>
      </w:tr>
      <w:tr>
        <w:trPr>
          <w:trHeight w:val="24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loss attributable to Definitive OpCo before Reorganization Transactions</w:t>
            </w:r>
          </w:p>
        </w:tc>
        <w:tc>
          <w:tcPr>
            <w:tcW w:w="3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(33,343 )</w:t>
            </w: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40" w:type="dxa"/>
            <w:vAlign w:val="bottom"/>
          </w:tcPr>
          <w:p>
            <w:pPr>
              <w:spacing w:after="0"/>
              <w:rPr>
                <w:sz w:val="20"/>
                <w:szCs w:val="20"/>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(16,218 )</w:t>
            </w: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(10,237 )</w:t>
            </w:r>
          </w:p>
        </w:tc>
      </w:tr>
      <w:tr>
        <w:trPr>
          <w:trHeight w:val="281"/>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34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Class A Common Stock:</w:t>
      </w:r>
    </w:p>
    <w:p>
      <w:pPr>
        <w:spacing w:after="0" w:line="22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1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7"/>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number of shares and per share amounts)</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loss per share attributable to common stockholders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net loss attributable to Definitive Healthcare Corp.</w:t>
            </w:r>
          </w:p>
        </w:tc>
        <w:tc>
          <w:tcPr>
            <w:tcW w:w="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(6,037 )</w:t>
            </w:r>
          </w:p>
        </w:tc>
        <w:tc>
          <w:tcPr>
            <w:tcW w:w="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(17,677 )</w:t>
            </w:r>
          </w:p>
        </w:tc>
      </w:tr>
      <w:tr>
        <w:trPr>
          <w:trHeight w:val="243"/>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Class A outstanding</w:t>
            </w:r>
          </w:p>
        </w:tc>
        <w:tc>
          <w:tcPr>
            <w:tcW w:w="4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101,114,105</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91,916,151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(0.06 )</w:t>
            </w:r>
          </w:p>
        </w:tc>
        <w:tc>
          <w:tcPr>
            <w:tcW w:w="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(0.19 )</w:t>
            </w:r>
          </w:p>
        </w:tc>
      </w:tr>
      <w:tr>
        <w:trPr>
          <w:trHeight w:val="20"/>
        </w:trPr>
        <w:tc>
          <w:tcPr>
            <w:tcW w:w="59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-187960</wp:posOffset>
            </wp:positionV>
            <wp:extent cx="60325" cy="1885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-187960</wp:posOffset>
            </wp:positionV>
            <wp:extent cx="60325" cy="1885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8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loss per share for the periods presented because their effect on net loss per share would have been anti-dilutive: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7"/>
        </w:trPr>
        <w:tc>
          <w:tcPr>
            <w:tcW w:w="6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920" w:type="dxa"/>
            <w:vAlign w:val="bottom"/>
            <w:gridSpan w:val="2"/>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80" w:type="dxa"/>
            <w:vAlign w:val="bottom"/>
            <w:gridSpan w:val="2"/>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6"/>
        </w:trPr>
        <w:tc>
          <w:tcPr>
            <w:tcW w:w="680" w:type="dxa"/>
            <w:vAlign w:val="bottom"/>
          </w:tcPr>
          <w:p>
            <w:pPr>
              <w:spacing w:after="0"/>
              <w:rPr>
                <w:sz w:val="20"/>
                <w:szCs w:val="20"/>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Definitive OpCo units (vested and unvested)</w:t>
            </w:r>
          </w:p>
        </w:tc>
        <w:tc>
          <w:tcPr>
            <w:tcW w:w="2280" w:type="dxa"/>
            <w:vAlign w:val="bottom"/>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50,433,101</w:t>
            </w:r>
          </w:p>
        </w:tc>
        <w:tc>
          <w:tcPr>
            <w:tcW w:w="240" w:type="dxa"/>
            <w:vAlign w:val="bottom"/>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58,244,627</w:t>
            </w:r>
          </w:p>
        </w:tc>
        <w:tc>
          <w:tcPr>
            <w:tcW w:w="80" w:type="dxa"/>
            <w:vAlign w:val="bottom"/>
            <w:shd w:val="clear" w:color="auto" w:fill="CFF0FC"/>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68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3,563,387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2,100,250</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765"/>
        </w:trPr>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920" w:type="dxa"/>
            <w:vAlign w:val="bottom"/>
            <w:gridSpan w:val="2"/>
          </w:tcPr>
          <w:p>
            <w:pPr>
              <w:jc w:val="right"/>
              <w:ind w:right="2719"/>
              <w:spacing w:after="0"/>
              <w:rPr>
                <w:sz w:val="20"/>
                <w:szCs w:val="20"/>
                <w:color w:val="auto"/>
              </w:rPr>
            </w:pPr>
            <w:r>
              <w:rPr>
                <w:rFonts w:ascii="Times New Roman" w:cs="Times New Roman" w:eastAsia="Times New Roman" w:hAnsi="Times New Roman"/>
                <w:sz w:val="18"/>
                <w:szCs w:val="18"/>
                <w:color w:val="auto"/>
              </w:rPr>
              <w:t>F-51</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6" w:name="page127"/>
    <w:bookmarkEnd w:id="126"/>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Data</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by geographic area presented based upon the location of the customer are as follows:</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211,727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158,727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117,755</w:t>
            </w:r>
          </w:p>
        </w:tc>
        <w:tc>
          <w:tcPr>
            <w:tcW w:w="100" w:type="dxa"/>
            <w:vAlign w:val="bottom"/>
            <w:shd w:val="clear" w:color="auto" w:fill="CFF0FC"/>
          </w:tcPr>
          <w:p>
            <w:pPr>
              <w:spacing w:after="0"/>
              <w:rPr>
                <w:sz w:val="20"/>
                <w:szCs w:val="20"/>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r>
      <w:tr>
        <w:trPr>
          <w:trHeight w:val="281"/>
        </w:trPr>
        <w:tc>
          <w:tcPr>
            <w:tcW w:w="56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166,154</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03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03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For a summary of our revenue disaggregated by service, refer to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Long-lived assets by geographical region are based on the location of the legal entity that owns the assets. Long-lived assets by geographic area presented based upon the location of the assets are as follows:</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80" w:type="dxa"/>
            <w:vAlign w:val="bottom"/>
            <w:shd w:val="clear" w:color="auto" w:fill="CFF0FC"/>
          </w:tcPr>
          <w:p>
            <w:pPr>
              <w:spacing w:after="0"/>
              <w:rPr>
                <w:sz w:val="20"/>
                <w:szCs w:val="20"/>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20"/>
                <w:szCs w:val="20"/>
                <w:color w:val="auto"/>
              </w:rPr>
            </w:pPr>
          </w:p>
        </w:tc>
      </w:tr>
      <w:tr>
        <w:trPr>
          <w:trHeight w:val="281"/>
        </w:trPr>
        <w:tc>
          <w:tcPr>
            <w:tcW w:w="43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long-lived assets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-24765</wp:posOffset>
            </wp:positionV>
            <wp:extent cx="514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57" w:right="479" w:bottom="1440" w:gutter="0" w:footer="0" w:header="0"/>
        </w:sectPr>
      </w:pPr>
    </w:p>
    <w:bookmarkStart w:id="127" w:name="page128"/>
    <w:bookmarkEnd w:id="127"/>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in revenue transactions within the ordinary course of business with entities affiliated with its private equity sponsors and with members of the Company’s board of directors. During each of the years ended December 31, 2022, 2021 and 2020, the Company recorded revenue of $1.5 million, $1.0 million, and $0.4 million respectively. The associated receivable for the revenue transactions amounted to $0.8 million, $0.6 million, and $0.1 million at December 31, 2022, 2021 and 2020, respectively.</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Prior to the Reorganization Transactions described in Note 1, the Company reimbursed its private equity sponsors for services and any related travel and out-of-pocket expenses. During the years ended December 31, 2021 and 2020, the Company had expenses for services, travel, and out-of-pocket expenses to its private equity sponsors of $0.2 million and $0.1 million, respectively. During the year ended December 31, 2022, the Company paid less than $0.1 million to related parties within the ordinary course of business. There were no associated payables for the service transactions at December 31, 2022, 2021, and 2020.</w:t>
      </w:r>
    </w:p>
    <w:p>
      <w:pPr>
        <w:spacing w:after="0" w:line="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September 17, 2021, Definitive OpCo entered into an agreement to reimburse approximately $0.9 million in aggregate documented expenses incurred by Advent, 22C Capital, Spectrum Equity, Jason Krantz, and MHDH AB in connection with the Reorganization Transactions. The amounts were paid in the fourth quarter of 2021.</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the second quarter of 2021, the Company issued 363,516 new Class A units worth $5.8 million to members of the Company's board of directors. Further, in connection with Definitive Healthcare’s IPO, the underwriters reserved 5% of the common shares for sale at the initial offering price to the Company’s directors, officers and selected senior managers (the “Directed Share Program”). Richard Booth and Samuel A. Hamood participated in the Directed Share Program and purchased 7,407 and 37,037 shares of Class A Common Stock, respectively.</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2" w:right="379" w:bottom="1440" w:gutter="0" w:footer="0" w:header="0"/>
        </w:sectPr>
      </w:pPr>
    </w:p>
    <w:bookmarkStart w:id="128" w:name="page129"/>
    <w:bookmarkEnd w:id="128"/>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January 12, 2023, the Company announced a restructuring plan intended to reduce operating costs, improve operating margins, and continue advancing the Company’s ongoing commitment to profitable growth. The Company estimates that in the first quarter of 2023 it will incur pre-tax cash restructuring and related charges of approximately $2.0 million to $2.5 million, consisting primarily of severance payments, employee benefits, and related cash expenses, as well as an immaterial non-cash stock-based compensation charge related to the vesting of share-based awards for employees who are terminated. The Company expects these actions will be substantially complete by the end of the first quarter of 2023.</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2" w:right="399" w:bottom="1440" w:gutter="0" w:footer="0" w:header="0"/>
        </w:sectPr>
      </w:pPr>
    </w:p>
    <w:bookmarkStart w:id="129" w:name="page130"/>
    <w:bookmarkEnd w:id="129"/>
    <w:p>
      <w:pPr>
        <w:ind w:left="10020"/>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00" w:lineRule="exact"/>
        <w:rPr>
          <w:sz w:val="20"/>
          <w:szCs w:val="20"/>
          <w:color w:val="auto"/>
        </w:rPr>
      </w:pP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Definitive Healthcare Corp.</w:t>
      </w:r>
    </w:p>
    <w:p>
      <w:pPr>
        <w:spacing w:after="0" w:line="1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w:t>
      </w:r>
    </w:p>
    <w:p>
      <w:pPr>
        <w:spacing w:after="0" w:line="128"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by and between Definitive Healthcare Corp.,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effective as of [●], 20[●]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3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adopted the Definitive Healthcare Corp. 2021 Equity Incentive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of this Agreement. Capitalized terms not otherwise defined in this Agreement shall have the meanings ascribed to those terms in the Plan; and</w:t>
      </w:r>
    </w:p>
    <w:p>
      <w:pPr>
        <w:spacing w:after="0" w:line="11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authorized and approved the grant of an Award to the Participant that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the Participant the opportunity to receive shares of Common Stock upon the settlement of performance-based restricted stock units on the terms and conditions set forth in the Plan and this Agreement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w:t>
      </w:r>
    </w:p>
    <w:p>
      <w:pPr>
        <w:spacing w:after="0" w:line="113"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mutual covenants set forth in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agree as follows:</w:t>
      </w:r>
    </w:p>
    <w:p>
      <w:pPr>
        <w:spacing w:after="0" w:line="100" w:lineRule="exact"/>
        <w:rPr>
          <w:sz w:val="20"/>
          <w:szCs w:val="20"/>
          <w:color w:val="auto"/>
        </w:rPr>
      </w:pPr>
    </w:p>
    <w:p>
      <w:pPr>
        <w:ind w:left="760" w:hanging="752"/>
        <w:spacing w:after="0" w:line="258" w:lineRule="auto"/>
        <w:tabs>
          <w:tab w:leader="none" w:pos="760"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The Company hereby grants to the Participant, effective as of the Date of Grant, [●] PSUs (the “</w:t>
      </w: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which are subject to vesting on the terms and conditions set forth in the Plan and this Agreement.</w:t>
      </w:r>
    </w:p>
    <w:p>
      <w:pPr>
        <w:spacing w:after="0" w:line="158" w:lineRule="exact"/>
        <w:rPr>
          <w:rFonts w:ascii="Times New Roman" w:cs="Times New Roman" w:eastAsia="Times New Roman" w:hAnsi="Times New Roman"/>
          <w:sz w:val="22"/>
          <w:szCs w:val="22"/>
          <w:u w:val="single" w:color="auto"/>
          <w:color w:val="auto"/>
        </w:rPr>
      </w:pPr>
    </w:p>
    <w:p>
      <w:pPr>
        <w:ind w:left="760" w:hanging="752"/>
        <w:spacing w:after="0" w:line="258" w:lineRule="auto"/>
        <w:tabs>
          <w:tab w:leader="none" w:pos="760"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Vesting and Forfeiture</w:t>
      </w:r>
      <w:r>
        <w:rPr>
          <w:rFonts w:ascii="Times New Roman" w:cs="Times New Roman" w:eastAsia="Times New Roman" w:hAnsi="Times New Roman"/>
          <w:sz w:val="22"/>
          <w:szCs w:val="22"/>
          <w:color w:val="auto"/>
        </w:rPr>
        <w:t>. Subject to the terms and conditions set forth in the Plan and this Agreement, the PSUs shall vest as follows:</w:t>
      </w:r>
    </w:p>
    <w:p>
      <w:pPr>
        <w:spacing w:after="0" w:line="158" w:lineRule="exact"/>
        <w:rPr>
          <w:rFonts w:ascii="Times New Roman" w:cs="Times New Roman" w:eastAsia="Times New Roman" w:hAnsi="Times New Roman"/>
          <w:sz w:val="22"/>
          <w:szCs w:val="22"/>
          <w:u w:val="single" w:color="auto"/>
          <w:color w:val="auto"/>
        </w:rPr>
      </w:pPr>
    </w:p>
    <w:p>
      <w:pPr>
        <w:ind w:left="1500" w:hanging="690"/>
        <w:spacing w:after="0" w:line="234" w:lineRule="auto"/>
        <w:tabs>
          <w:tab w:leader="none" w:pos="123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PSUs shall vest based on both (x) achievement of the performance targets set forth on Schedule I to this Agreement (the “</w:t>
      </w: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and to the extent the Performance Goals are achieved, the “</w:t>
      </w:r>
      <w:r>
        <w:rPr>
          <w:rFonts w:ascii="Times New Roman" w:cs="Times New Roman" w:eastAsia="Times New Roman" w:hAnsi="Times New Roman"/>
          <w:sz w:val="22"/>
          <w:szCs w:val="22"/>
          <w:u w:val="single" w:color="auto"/>
          <w:color w:val="auto"/>
        </w:rPr>
        <w:t>Earned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and (y) the Participant’s continued Service as set forth below. The number of Earned PSUs may range from [ ] of the Target PSUs up to [ ] of the Target PSUs based on performance. The Earned PSUs shall vest as follows: (i) one-third of the Earned PSUs shall vest upon the Committee’s certification of the extent to which the Performance Goals were attained, in accordance with Schedule I, and (ii) one-third of the Earned PSUs shall vest as of each of [_____] and [____] (each date described in (i) and (ii), a “</w:t>
      </w:r>
      <w:r>
        <w:rPr>
          <w:rFonts w:ascii="Times New Roman" w:cs="Times New Roman" w:eastAsia="Times New Roman" w:hAnsi="Times New Roman"/>
          <w:sz w:val="22"/>
          <w:szCs w:val="22"/>
          <w:u w:val="single" w:color="auto"/>
          <w:color w:val="auto"/>
        </w:rPr>
        <w:t>Performance-Vesting Date</w:t>
      </w:r>
      <w:r>
        <w:rPr>
          <w:rFonts w:ascii="Times New Roman" w:cs="Times New Roman" w:eastAsia="Times New Roman" w:hAnsi="Times New Roman"/>
          <w:sz w:val="22"/>
          <w:szCs w:val="22"/>
          <w:color w:val="auto"/>
        </w:rPr>
        <w:t>”), subject to the Participant’s continued Service through each applicable Performance-Vesting Date. Any Earned PSUs shall be settled as set forth in Section 3(a) of this Agreement.</w:t>
      </w:r>
    </w:p>
    <w:p>
      <w:pPr>
        <w:spacing w:after="0" w:line="183" w:lineRule="exact"/>
        <w:rPr>
          <w:rFonts w:ascii="Times New Roman" w:cs="Times New Roman" w:eastAsia="Times New Roman" w:hAnsi="Times New Roman"/>
          <w:sz w:val="22"/>
          <w:szCs w:val="22"/>
          <w:color w:val="auto"/>
        </w:rPr>
      </w:pPr>
    </w:p>
    <w:p>
      <w:pPr>
        <w:ind w:left="1500" w:hanging="690"/>
        <w:spacing w:after="0" w:line="244" w:lineRule="auto"/>
        <w:tabs>
          <w:tab w:leader="none" w:pos="123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Breach</w:t>
      </w:r>
      <w:r>
        <w:rPr>
          <w:rFonts w:ascii="Times New Roman" w:cs="Times New Roman" w:eastAsia="Times New Roman" w:hAnsi="Times New Roman"/>
          <w:sz w:val="22"/>
          <w:szCs w:val="22"/>
          <w:color w:val="auto"/>
        </w:rPr>
        <w:t>. Except as set forth in Section 11.3 of the Plan which shall apply upon termination of the Participant’s Service without Cause or for Good Reason (as defined in the Participant’s then-current employment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0" w:name="page131"/>
    <w:bookmarkEnd w:id="130"/>
    <w:p>
      <w:pPr>
        <w:jc w:val="both"/>
        <w:ind w:left="1500"/>
        <w:spacing w:after="0" w:line="236" w:lineRule="auto"/>
        <w:rPr>
          <w:sz w:val="20"/>
          <w:szCs w:val="20"/>
          <w:color w:val="auto"/>
        </w:rPr>
      </w:pPr>
      <w:r>
        <w:rPr>
          <w:rFonts w:ascii="Times New Roman" w:cs="Times New Roman" w:eastAsia="Times New Roman" w:hAnsi="Times New Roman"/>
          <w:sz w:val="22"/>
          <w:szCs w:val="22"/>
          <w:color w:val="auto"/>
        </w:rPr>
        <w:t xml:space="preserve">agreement with the Company or its Affiliate, if any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xml:space="preserve"> if no such Employment Agreement or no such definition, Good Reason shall not apply), or as set forth in the Participant’s Employment Agreement (to the extent that such Employment Agreement specifies terms in connection with a termination of the Participant’s Service that govern the PSUs), upon termination of the Participant’s Service for any other reason or no reason, any then unvested PSUs will be forfeited immediately, automatically and without consideration. If the Participant breaches Section 4, Section 5, or any other restrictive covenant with the Company or its Affiliate, any vested or unvested PSUs will be forfeited immediately, automatically and without consideration.</w:t>
      </w:r>
    </w:p>
    <w:p>
      <w:pPr>
        <w:spacing w:after="0" w:line="183" w:lineRule="exact"/>
        <w:rPr>
          <w:sz w:val="20"/>
          <w:szCs w:val="20"/>
          <w:color w:val="auto"/>
        </w:rPr>
      </w:pPr>
    </w:p>
    <w:p>
      <w:pPr>
        <w:ind w:left="760" w:hanging="752"/>
        <w:spacing w:after="0"/>
        <w:tabs>
          <w:tab w:leader="none" w:pos="760" w:val="left"/>
        </w:tabs>
        <w:numPr>
          <w:ilvl w:val="0"/>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Payment</w:t>
      </w:r>
    </w:p>
    <w:p>
      <w:pPr>
        <w:spacing w:after="0" w:line="206" w:lineRule="exact"/>
        <w:rPr>
          <w:rFonts w:ascii="Times New Roman" w:cs="Times New Roman" w:eastAsia="Times New Roman" w:hAnsi="Times New Roman"/>
          <w:sz w:val="22"/>
          <w:szCs w:val="22"/>
          <w:u w:val="single" w:color="auto"/>
          <w:color w:val="auto"/>
        </w:rPr>
      </w:pPr>
    </w:p>
    <w:p>
      <w:pPr>
        <w:jc w:val="both"/>
        <w:ind w:left="1500" w:hanging="743"/>
        <w:spacing w:after="0" w:line="235" w:lineRule="auto"/>
        <w:tabs>
          <w:tab w:leader="none" w:pos="15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The Company shall deliver to the Participant within thirty (30) days following each Performance-Vesting Date or vesting date under Section 11.3 of the Plan and Section 2(b) of this Agreement, as applicable, a number of shares of Common Stock equal to the number of Earned PSUs that vested pursuant to Section 2(a) on such date. No fractional shares of Common Stock shall be delivered, but shall be delayed until a full share has vested. The Company may deliver such shares either through book entry accounts held by, or in the name of, the Participant or cause to be issued a certificate or certificates representing the number of shares to be issued in respect of the Earned PSUs, registered in the name of the Participant.</w:t>
      </w:r>
    </w:p>
    <w:p>
      <w:pPr>
        <w:spacing w:after="0" w:line="183"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Requirements</w:t>
      </w:r>
      <w:r>
        <w:rPr>
          <w:rFonts w:ascii="Times New Roman" w:cs="Times New Roman" w:eastAsia="Times New Roman" w:hAnsi="Times New Roman"/>
          <w:sz w:val="22"/>
          <w:szCs w:val="22"/>
          <w:color w:val="auto"/>
        </w:rPr>
        <w:t>. Unless the Committee determines to require or permit the Participant to satisfy the withholding requirements set forth in this Section 3(b) in any other manner allowed by Section 14 of the Plan, the Company shall automatically withhold cash or shares of Common Stock that are otherwise deliverable to the Participant under this Agreement, in an amount necessary to satisfy all federal, state and local taxes required to be withheld in connection with the settlement of the Earned PSUs.</w:t>
      </w:r>
    </w:p>
    <w:p>
      <w:pPr>
        <w:spacing w:after="0" w:line="17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Non-Disclosure and Non-Use of the Company’s Trade Secrets or Confidential Information</w:t>
      </w:r>
    </w:p>
    <w:p>
      <w:pPr>
        <w:spacing w:after="0" w:line="206" w:lineRule="exact"/>
        <w:rPr>
          <w:rFonts w:ascii="Times New Roman" w:cs="Times New Roman" w:eastAsia="Times New Roman" w:hAnsi="Times New Roman"/>
          <w:sz w:val="22"/>
          <w:szCs w:val="22"/>
          <w:u w:val="single" w:color="auto"/>
          <w:color w:val="auto"/>
        </w:rPr>
      </w:pPr>
    </w:p>
    <w:p>
      <w:pPr>
        <w:jc w:val="both"/>
        <w:ind w:left="1500" w:hanging="743"/>
        <w:spacing w:after="0" w:line="234" w:lineRule="auto"/>
        <w:tabs>
          <w:tab w:leader="none" w:pos="15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during and following Participant’s Service, Participant agrees that he or she will not, either directly or indirectly, and Participant will not permit any Covered Entity which is Controlled by Participant to, either directly or indirectly, (i) divulge, use, disclose (in any way or in any manner, including by posting on the Internet), reproduce, distribute, or reverse engineer or otherwise provide the Company’s Trade Secrets or Confidential Information to any person, firm, corporation, reporter, author, producer or similar person or entity; (ii) take any action that would make available Trade Secrets or Confidential Information to the general public in any form; (iii) take any action that uses Trade Secrets or Confidential Information to solicit any client or prospective client of the Company; or (iv) take any action that uses Trade Secrets or Confidential Information for solicitation or marketing for any service or product or on Participant’s behalf or on behalf of any entity other than the Company with which Participant may become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1" w:name="page132"/>
    <w:bookmarkEnd w:id="131"/>
    <w:p>
      <w:pPr>
        <w:jc w:val="both"/>
        <w:ind w:left="743"/>
        <w:spacing w:after="0" w:line="243" w:lineRule="auto"/>
        <w:rPr>
          <w:sz w:val="20"/>
          <w:szCs w:val="20"/>
          <w:color w:val="auto"/>
        </w:rPr>
      </w:pPr>
      <w:r>
        <w:rPr>
          <w:rFonts w:ascii="Times New Roman" w:cs="Times New Roman" w:eastAsia="Times New Roman" w:hAnsi="Times New Roman"/>
          <w:sz w:val="21"/>
          <w:szCs w:val="21"/>
          <w:color w:val="auto"/>
        </w:rPr>
        <w:t>associated, except (i) as required in connection with the performance of such Participant’s duties to the Company, (ii) as required to be included in any report, statement or testimony requested by any municipal, state or national regulatory body having jurisdiction over Participant or any Covered Entity which is Controlled by Participant, (iii) as required in response to any summons or subpoena or in connection with any litigation, (iv) to the extent necessary in order to comply with any law, order, regulation, ruling or governmental request applicable to Participant or any Covered Entity which is Controlled by Participant, (v) as required in connection with an audit by any taxing authority, or (vi) as permitted by the express written consent of the Board. In the event that Participant or any such Covered Entity which is Controlled by Participant is required to disclose Trade Secrets or Confidential Information pursuant to the foregoing exceptions, Participant shall promptly notify the Company of such pending disclosure and assist the Company (at the Company’s expense) in seeking a protective order or in objecting to such request, summons or subpoena with regard to the Trade Secrets or Confidential Information. If the Company does not obtain such relief after a period that is reasonable under the circumstances, Participant (or such Covered Entity) may disclose that portion of the Trade Secrets or Confidential Information which counsel to such party advises such party that they are legally compelled to disclose. In such cases, Participant shall promptly provide the Company with a copy of the Trade Secrets or Confidential Information so disclosed. This provision applies without limitation to unauthorized use of Trade Secrets or Confidential Information in any medium, writings of any kind containing such information or materials, including books, and articles, blogs, websites, or writings of any other kind, or film, videotape, or audiotape. If, and only if, the controlling state law applicable to Participant requires a time limit to be placed on restrictions concerning the post-employment use of Confidential Information for the restriction to be enforceable, then this restriction on Participant’s use of Confidential Information that is not a Trade Secret will expire two (2) years after Participant’s employment or other association with the Company ends. This time limit will not apply to Confidential Information that qualifies as a Trade Secret. The Company’s trade secrets will remain protected for as long as they qualify as trade secrets under applicable law.</w:t>
      </w:r>
    </w:p>
    <w:p>
      <w:pPr>
        <w:spacing w:after="0" w:line="200" w:lineRule="exact"/>
        <w:rPr>
          <w:sz w:val="20"/>
          <w:szCs w:val="20"/>
          <w:color w:val="auto"/>
        </w:rPr>
      </w:pPr>
    </w:p>
    <w:p>
      <w:pPr>
        <w:spacing w:after="0" w:line="224" w:lineRule="exact"/>
        <w:rPr>
          <w:sz w:val="20"/>
          <w:szCs w:val="20"/>
          <w:color w:val="auto"/>
        </w:rPr>
      </w:pPr>
    </w:p>
    <w:p>
      <w:pPr>
        <w:jc w:val="both"/>
        <w:ind w:left="743" w:hanging="743"/>
        <w:spacing w:after="0" w:line="246" w:lineRule="auto"/>
        <w:tabs>
          <w:tab w:leader="none" w:pos="743"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Participant’s confidentiality obligations set forth in this Section 4, Participant understands that, pursuant to the Defend Trade Secrets Act of 2016, Participant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Participant understands that in the event it is determined that disclosure of the Trade Secrets of the Company or any of its Subsidiaries or Affiliates was not done in good faith pursuant to the above, Participant shall be subject to substantial damages under federal criminal and civil law, including punitive damages and attorneys’ fees.</w:t>
      </w:r>
    </w:p>
    <w:p>
      <w:pPr>
        <w:spacing w:after="0" w:line="175"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220980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98" w:right="339" w:bottom="1440" w:gutter="0" w:footer="0" w:header="0"/>
        </w:sectPr>
      </w:pPr>
    </w:p>
    <w:bookmarkStart w:id="132" w:name="page133"/>
    <w:bookmarkEnd w:id="132"/>
    <w:p>
      <w:pPr>
        <w:jc w:val="both"/>
        <w:ind w:left="1500" w:hanging="743"/>
        <w:spacing w:after="0" w:line="234" w:lineRule="auto"/>
        <w:tabs>
          <w:tab w:leader="none" w:pos="150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nothing in this Agreement shall limit or interfere with Participant’s right, without notice to or authorization of the Company, to communicate and cooperate in good faith with a Government Agency for the purpose of (i) reporting a possible violation of any U.S. federal, state, or local law or regulation, (ii) participating in any investigation or proceeding that may be conducted or managed by any Government Agency, including by providing documents or other information, or (iii) filing a charge or complaint with a Government Agency. For purposes of this Agreement, “</w:t>
      </w:r>
      <w:r>
        <w:rPr>
          <w:rFonts w:ascii="Times New Roman" w:cs="Times New Roman" w:eastAsia="Times New Roman" w:hAnsi="Times New Roman"/>
          <w:sz w:val="22"/>
          <w:szCs w:val="22"/>
          <w:u w:val="single" w:color="auto"/>
          <w:color w:val="auto"/>
        </w:rPr>
        <w:t>Government Agency</w:t>
      </w:r>
      <w:r>
        <w:rPr>
          <w:rFonts w:ascii="Times New Roman" w:cs="Times New Roman" w:eastAsia="Times New Roman" w:hAnsi="Times New Roman"/>
          <w:sz w:val="22"/>
          <w:szCs w:val="22"/>
          <w:color w:val="auto"/>
        </w:rPr>
        <w:t>” means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w:t>
      </w:r>
    </w:p>
    <w:p>
      <w:pPr>
        <w:spacing w:after="0" w:line="179" w:lineRule="exact"/>
        <w:rPr>
          <w:rFonts w:ascii="Times New Roman" w:cs="Times New Roman" w:eastAsia="Times New Roman" w:hAnsi="Times New Roman"/>
          <w:sz w:val="22"/>
          <w:szCs w:val="22"/>
          <w:color w:val="auto"/>
        </w:rPr>
      </w:pPr>
    </w:p>
    <w:p>
      <w:pPr>
        <w:jc w:val="both"/>
        <w:ind w:left="380" w:hanging="372"/>
        <w:spacing w:after="0" w:line="244" w:lineRule="auto"/>
        <w:tabs>
          <w:tab w:leader="none" w:pos="380"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Non-Competition and Non-Solicitation</w:t>
      </w:r>
      <w:r>
        <w:rPr>
          <w:rFonts w:ascii="Times New Roman" w:cs="Times New Roman" w:eastAsia="Times New Roman" w:hAnsi="Times New Roman"/>
          <w:sz w:val="22"/>
          <w:szCs w:val="22"/>
          <w:color w:val="auto"/>
        </w:rPr>
        <w:t>. In consideration of the PSUs granted which Participant and the Company agree is mutually agreed upon consideration, during the term of Participant’s Service and for 12 months following the termination of Participant’s Service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u w:val="single" w:color="auto"/>
          <w:color w:val="auto"/>
        </w:rPr>
      </w:pPr>
    </w:p>
    <w:p>
      <w:pPr>
        <w:jc w:val="both"/>
        <w:ind w:left="1500" w:hanging="743"/>
        <w:spacing w:after="0" w:line="245" w:lineRule="auto"/>
        <w:tabs>
          <w:tab w:leader="none" w:pos="150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will not, directly or indirectly, individually or as a consultant to, or an Participant, officer, director, manager, stockholder, partner, member or other owner or participant in any business entity (including, without limitation, any competitor of the Company), other than the Company, engage in or assist any other person or entity to engage in any business which competes with any business in which the Company is engaging or the actual or demonstrably anticipated research or development of the Company (a “</w:t>
      </w:r>
      <w:r>
        <w:rPr>
          <w:rFonts w:ascii="Times New Roman" w:cs="Times New Roman" w:eastAsia="Times New Roman" w:hAnsi="Times New Roman"/>
          <w:sz w:val="21"/>
          <w:szCs w:val="21"/>
          <w:u w:val="single" w:color="auto"/>
          <w:color w:val="auto"/>
        </w:rPr>
        <w:t>Competing Business</w:t>
      </w:r>
      <w:r>
        <w:rPr>
          <w:rFonts w:ascii="Times New Roman" w:cs="Times New Roman" w:eastAsia="Times New Roman" w:hAnsi="Times New Roman"/>
          <w:sz w:val="21"/>
          <w:szCs w:val="21"/>
          <w:color w:val="auto"/>
        </w:rPr>
        <w:t>”), during the Participant’s employment, anywhere in the United States or anywhere else in the world in which Participant provided services for the Company or had a material presence or influence, during any time within the last two years prior to the termination of Participant’s Service to the Company. Notwithstanding the foregoing, the Participant’s (x) discretionary ownership of less than three percent (3%) and (y) non-discretionary (for example through a mutual fund or other investment vehicle not controlled by Participant) ownership of the outstanding stock of any publicly-traded corporation shall not be deemed a violation of this Section 5(a);</w:t>
      </w:r>
    </w:p>
    <w:p>
      <w:pPr>
        <w:spacing w:after="0" w:line="177" w:lineRule="exact"/>
        <w:rPr>
          <w:rFonts w:ascii="Times New Roman" w:cs="Times New Roman" w:eastAsia="Times New Roman" w:hAnsi="Times New Roman"/>
          <w:sz w:val="21"/>
          <w:szCs w:val="21"/>
          <w:color w:val="auto"/>
        </w:rPr>
      </w:pPr>
    </w:p>
    <w:p>
      <w:pPr>
        <w:jc w:val="both"/>
        <w:ind w:left="1500" w:hanging="743"/>
        <w:spacing w:after="0" w:line="236" w:lineRule="auto"/>
        <w:tabs>
          <w:tab w:leader="none" w:pos="15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endeavor to reduce the amount of business conducted with the Company by or otherwise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181"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will not, directly or indirectly, individually or as a consultant to, or an Participant, officer, director, manager, stockholder, partner, member or other owner or participant in any business entity solicit or endeavor to entice away from</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3" w:name="page134"/>
    <w:bookmarkEnd w:id="133"/>
    <w:p>
      <w:pPr>
        <w:jc w:val="both"/>
        <w:ind w:left="1500" w:right="20"/>
        <w:spacing w:after="0" w:line="244" w:lineRule="auto"/>
        <w:rPr>
          <w:sz w:val="20"/>
          <w:szCs w:val="20"/>
          <w:color w:val="auto"/>
        </w:rPr>
      </w:pPr>
      <w:r>
        <w:rPr>
          <w:rFonts w:ascii="Times New Roman" w:cs="Times New Roman" w:eastAsia="Times New Roman" w:hAnsi="Times New Roman"/>
          <w:sz w:val="22"/>
          <w:szCs w:val="22"/>
          <w:color w:val="auto"/>
        </w:rPr>
        <w:t>the Company, or offer employment or any consulting arrangement to, or otherwise interfere with the business relationship of the Company with any person or entity who is, or was within the one-year period immediately prior thereto, employed by, associated with or a consultant to the Company.</w:t>
      </w:r>
    </w:p>
    <w:p>
      <w:pPr>
        <w:spacing w:after="0" w:line="173" w:lineRule="exact"/>
        <w:rPr>
          <w:sz w:val="20"/>
          <w:szCs w:val="20"/>
          <w:color w:val="auto"/>
        </w:rPr>
      </w:pPr>
    </w:p>
    <w:p>
      <w:pPr>
        <w:jc w:val="both"/>
        <w:ind w:left="760" w:hanging="752"/>
        <w:spacing w:after="0" w:line="243" w:lineRule="auto"/>
        <w:tabs>
          <w:tab w:leader="none" w:pos="760" w:val="left"/>
        </w:tabs>
        <w:numPr>
          <w:ilvl w:val="0"/>
          <w:numId w:val="5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Enforcement; Remedies</w:t>
      </w:r>
      <w:r>
        <w:rPr>
          <w:rFonts w:ascii="Times New Roman" w:cs="Times New Roman" w:eastAsia="Times New Roman" w:hAnsi="Times New Roman"/>
          <w:sz w:val="21"/>
          <w:szCs w:val="21"/>
          <w:color w:val="auto"/>
        </w:rPr>
        <w:t>. Participant acknowledges that Participant’s expertise in the business of the Company is of a special and unique character which gives this expertise a particular value, and that a breach of Sections 4 or 5 by Participant will cause serious and potentially irreparable harm to the Company. Participant therefore acknowledges that a breach of Sections 4 or 5 by Participant cannot be adequately compensated in an action for damages at law, and equitable relief would be necessary to protect the Company from a violation of this Agreement and from the harm which this Agreement is intended to prevent. By reason thereof, Participant acknowledges that the Company is entitled, in addition to any other remedies it may have under this Agreement or otherwise, to preliminary and permanent injunctive and other equitable relief to prevent or curtail any breach of this Agreement. Participant acknowledges, however, that no specification in this Agreement of a specific legal or equitable remedy may be construed as a waiver of or prohibition against the Company pursuing other legal or equitable remedies in the event of a breach of this Agreement by Participant. For purposes of Sections 4 and 5, “Company” shall specifically include the Company and its direct and indirect parent entities, subsidiaries, successors and assigns. If Participant fails to comply with a restriction in this Agreement that applies for a limited period of time after employment, the time period for that restriction will be extended by the greater of either: one day for each day Participant is found to have violated the restriction, or the length of the legal proceeding necessary to secure enforcement of the restriction; provided, however, that this extension of time shall be capped so that the extension of time does not exceed two years from the date their employment ended, and if this extension would make the restriction unenforceable under applicable law it will not be applied (“</w:t>
      </w:r>
      <w:r>
        <w:rPr>
          <w:rFonts w:ascii="Times New Roman" w:cs="Times New Roman" w:eastAsia="Times New Roman" w:hAnsi="Times New Roman"/>
          <w:sz w:val="21"/>
          <w:szCs w:val="21"/>
          <w:u w:val="single" w:color="auto"/>
          <w:color w:val="auto"/>
        </w:rPr>
        <w:t>Fairness Extension</w:t>
      </w:r>
      <w:r>
        <w:rPr>
          <w:rFonts w:ascii="Times New Roman" w:cs="Times New Roman" w:eastAsia="Times New Roman" w:hAnsi="Times New Roman"/>
          <w:sz w:val="21"/>
          <w:szCs w:val="21"/>
          <w:color w:val="auto"/>
        </w:rPr>
        <w:t>”). If Participant resides or works in Massachusetts, the Fairness Extension will only apply to the restrictions in Section 5(b) and (c) and will only apply to the non-competition restriction in Section 5(a) if Participant breaches their fiduciary duty and/or has unlawfully taken, physically or electronically, any Company records.</w:t>
      </w:r>
    </w:p>
    <w:p>
      <w:pPr>
        <w:spacing w:after="0" w:line="185" w:lineRule="exact"/>
        <w:rPr>
          <w:rFonts w:ascii="Times New Roman" w:cs="Times New Roman" w:eastAsia="Times New Roman" w:hAnsi="Times New Roman"/>
          <w:sz w:val="21"/>
          <w:szCs w:val="21"/>
          <w:u w:val="single" w:color="auto"/>
          <w:color w:val="auto"/>
        </w:rPr>
      </w:pPr>
    </w:p>
    <w:p>
      <w:pPr>
        <w:ind w:left="820" w:hanging="812"/>
        <w:spacing w:after="0"/>
        <w:tabs>
          <w:tab w:leader="none" w:pos="820" w:val="left"/>
        </w:tabs>
        <w:numPr>
          <w:ilvl w:val="0"/>
          <w:numId w:val="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1500" w:hanging="654"/>
        <w:spacing w:after="0" w:line="246" w:lineRule="auto"/>
        <w:tabs>
          <w:tab w:leader="none" w:pos="150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any data or information, without regard to form, other than Trade Secrets, that is valuable to the Company and is not generally known by the public. To the extent consistent with the foregoing, Trade Secrets or Confidential Information includes, but is not limited to: (i) the names, addresses, phone numbers, accounts, financial information, and other information concerning patients, referral sources, payors (employers, managed care organizations, workers compensation insurers, and other types of payors) and other clients of the Company; (ii) non-public information and materials describing or relating to the Company’s business or financial affairs, including but not limited to financial and/or investment performance information, personnel matters, products, operating procedures, organizational responsibilities, marketing matters, or policies or procedures of the Company; or (iii) information and materials describing the Company’s existing 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4" w:name="page135"/>
    <w:bookmarkEnd w:id="134"/>
    <w:p>
      <w:pPr>
        <w:jc w:val="both"/>
        <w:ind w:left="1500"/>
        <w:spacing w:after="0" w:line="236" w:lineRule="auto"/>
        <w:rPr>
          <w:sz w:val="20"/>
          <w:szCs w:val="20"/>
          <w:color w:val="auto"/>
        </w:rPr>
      </w:pPr>
      <w:r>
        <w:rPr>
          <w:rFonts w:ascii="Times New Roman" w:cs="Times New Roman" w:eastAsia="Times New Roman" w:hAnsi="Times New Roman"/>
          <w:sz w:val="22"/>
          <w:szCs w:val="22"/>
          <w:color w:val="auto"/>
        </w:rPr>
        <w:t>new products and services, including analytical data and techniques, and product, service or marketing concepts under development at or for the Company, and the status of such development. Trade Secrets or Confidential Information does not include information that, other than as a result of a breach by Participant of this Agreement, (x) is or becomes generally known within the relevant industry, or (y) is or becomes known to Participant other than through Participant’s work for the Company, or (z) is or becomes generally available to the public.</w:t>
      </w:r>
    </w:p>
    <w:p>
      <w:pPr>
        <w:spacing w:after="0" w:line="181" w:lineRule="exact"/>
        <w:rPr>
          <w:sz w:val="20"/>
          <w:szCs w:val="20"/>
          <w:color w:val="auto"/>
        </w:rPr>
      </w:pPr>
    </w:p>
    <w:p>
      <w:pPr>
        <w:jc w:val="both"/>
        <w:ind w:left="1500" w:hanging="654"/>
        <w:spacing w:after="0" w:line="238" w:lineRule="auto"/>
        <w:tabs>
          <w:tab w:leader="none" w:pos="150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(i) in the case of a corporate entity, direct or indirect ownership of at least fifty percent (50%) of the stock or securities entitled to vote for the election of directors; and (ii) in the case of a non-corporate entity (such as a limited liability company, partnership or limited partnership), either (x) direct or indirect ownership of at least fifty percent (50%) of the equity interests in such entity, or (y) the power to direct the management and policies of such entity.</w:t>
      </w:r>
    </w:p>
    <w:p>
      <w:pPr>
        <w:spacing w:after="0" w:line="176" w:lineRule="exact"/>
        <w:rPr>
          <w:rFonts w:ascii="Times New Roman" w:cs="Times New Roman" w:eastAsia="Times New Roman" w:hAnsi="Times New Roman"/>
          <w:sz w:val="22"/>
          <w:szCs w:val="22"/>
          <w:color w:val="auto"/>
        </w:rPr>
      </w:pPr>
    </w:p>
    <w:p>
      <w:pPr>
        <w:jc w:val="both"/>
        <w:ind w:left="1500" w:hanging="654"/>
        <w:spacing w:after="0" w:line="234" w:lineRule="auto"/>
        <w:tabs>
          <w:tab w:leader="none" w:pos="150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every Affiliate of Participant, and every business, association, trust, corporation, partnership, limited liability company, proprietorship or other entity in which Participant has an investment (whether through debt or equity securities), or maintains any capital contribution or made any outstanding advances to, or in which any Affiliate of Participant has an ownership interest or profit sharing percentage, or a firm from which Participant or any Affiliate of Participant receives or is entitled to receive income, compensation or consulting fees in which Participant or any Affiliate of Participant has an interest as a lender (other than solely as a trade creditor for the sale of goods or provision of services that do not otherwise violate the provisions of this Agreement). The agreements of Participant contained herein specifically apply to each entity which is presently a Covered Entity (so long as it remains a Covered Entity) or which becomes a Covered Entity subsequent to the date of this Agreement.</w:t>
      </w:r>
    </w:p>
    <w:p>
      <w:pPr>
        <w:spacing w:after="0" w:line="179" w:lineRule="exact"/>
        <w:rPr>
          <w:rFonts w:ascii="Times New Roman" w:cs="Times New Roman" w:eastAsia="Times New Roman" w:hAnsi="Times New Roman"/>
          <w:sz w:val="22"/>
          <w:szCs w:val="22"/>
          <w:color w:val="auto"/>
        </w:rPr>
      </w:pPr>
    </w:p>
    <w:p>
      <w:pPr>
        <w:jc w:val="both"/>
        <w:ind w:left="1500" w:hanging="654"/>
        <w:spacing w:after="0" w:line="246" w:lineRule="auto"/>
        <w:tabs>
          <w:tab w:leader="none" w:pos="1500"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Trade Secrets</w:t>
      </w:r>
      <w:r>
        <w:rPr>
          <w:rFonts w:ascii="Times New Roman" w:cs="Times New Roman" w:eastAsia="Times New Roman" w:hAnsi="Times New Roman"/>
          <w:sz w:val="21"/>
          <w:szCs w:val="21"/>
          <w:color w:val="auto"/>
        </w:rPr>
        <w:t>” means information, without regard to form, including, but not limited to, technical or nontechnical data, a formula, a pattern, a compilation, a program, a device, a method, a technique, a drawing, a process, a prototype, financial data, financial plans, product plans, or a list of actual or potential customers or suppliers which is not commonly known by or available to the public and which information: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Trade Secrets also include any information or data described above that the Company obtains from another party and that the Company treats as proprietary or designates as a Trade Secrets, whether or not owned or developed by the Company.</w:t>
      </w:r>
    </w:p>
    <w:p>
      <w:pPr>
        <w:spacing w:after="0" w:line="175" w:lineRule="exact"/>
        <w:rPr>
          <w:rFonts w:ascii="Times New Roman" w:cs="Times New Roman" w:eastAsia="Times New Roman" w:hAnsi="Times New Roman"/>
          <w:sz w:val="21"/>
          <w:szCs w:val="21"/>
          <w:color w:val="auto"/>
        </w:rPr>
      </w:pPr>
    </w:p>
    <w:p>
      <w:pPr>
        <w:ind w:left="760" w:hanging="752"/>
        <w:spacing w:after="0"/>
        <w:tabs>
          <w:tab w:leader="none" w:pos="760" w:val="left"/>
        </w:tabs>
        <w:numPr>
          <w:ilvl w:val="0"/>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Miscellaneous Provisions</w:t>
      </w:r>
    </w:p>
    <w:p>
      <w:pPr>
        <w:spacing w:after="0" w:line="206" w:lineRule="exact"/>
        <w:rPr>
          <w:rFonts w:ascii="Times New Roman" w:cs="Times New Roman" w:eastAsia="Times New Roman" w:hAnsi="Times New Roman"/>
          <w:sz w:val="22"/>
          <w:szCs w:val="22"/>
          <w:u w:val="single" w:color="auto"/>
          <w:color w:val="auto"/>
        </w:rPr>
      </w:pPr>
    </w:p>
    <w:p>
      <w:pPr>
        <w:ind w:left="1500" w:hanging="743"/>
        <w:spacing w:after="0" w:line="258" w:lineRule="auto"/>
        <w:tabs>
          <w:tab w:leader="none" w:pos="150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a Shareholder; Dividend Equivalents</w:t>
      </w:r>
      <w:r>
        <w:rPr>
          <w:rFonts w:ascii="Times New Roman" w:cs="Times New Roman" w:eastAsia="Times New Roman" w:hAnsi="Times New Roman"/>
          <w:sz w:val="22"/>
          <w:szCs w:val="22"/>
          <w:color w:val="auto"/>
        </w:rPr>
        <w:t>. Prior to settlement of the Earned PSUs in shares of Common Stock, neither the Participant nor the Participant’s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5" w:name="page136"/>
    <w:bookmarkEnd w:id="135"/>
    <w:p>
      <w:pPr>
        <w:jc w:val="both"/>
        <w:ind w:left="743"/>
        <w:spacing w:after="0" w:line="238" w:lineRule="auto"/>
        <w:rPr>
          <w:sz w:val="20"/>
          <w:szCs w:val="20"/>
          <w:color w:val="auto"/>
        </w:rPr>
      </w:pPr>
      <w:r>
        <w:rPr>
          <w:rFonts w:ascii="Times New Roman" w:cs="Times New Roman" w:eastAsia="Times New Roman" w:hAnsi="Times New Roman"/>
          <w:sz w:val="22"/>
          <w:szCs w:val="22"/>
          <w:color w:val="auto"/>
        </w:rPr>
        <w:t>representative will have any rights as a shareholder of the Company with respect to any shares of Common Stock underlying the PSUs. If cash dividends or other cash distributions are paid in respect of the shares of Common Stock underlying unvested PSUs, then a dividend equivalent equal to the amount paid in respect of one Share shall accumulate and be paid with respect to each unvested PSU at the time of settlement of any Earned PSUs.</w:t>
      </w:r>
    </w:p>
    <w:p>
      <w:pPr>
        <w:spacing w:after="0" w:line="177" w:lineRule="exact"/>
        <w:rPr>
          <w:sz w:val="20"/>
          <w:szCs w:val="20"/>
          <w:color w:val="auto"/>
        </w:rPr>
      </w:pPr>
    </w:p>
    <w:p>
      <w:pPr>
        <w:jc w:val="both"/>
        <w:ind w:left="743" w:hanging="743"/>
        <w:spacing w:after="0" w:line="249" w:lineRule="auto"/>
        <w:tabs>
          <w:tab w:leader="none" w:pos="74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Restrictions</w:t>
      </w:r>
      <w:r>
        <w:rPr>
          <w:rFonts w:ascii="Times New Roman" w:cs="Times New Roman" w:eastAsia="Times New Roman" w:hAnsi="Times New Roman"/>
          <w:sz w:val="21"/>
          <w:szCs w:val="21"/>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170" w:lineRule="exact"/>
        <w:rPr>
          <w:rFonts w:ascii="Times New Roman" w:cs="Times New Roman" w:eastAsia="Times New Roman" w:hAnsi="Times New Roman"/>
          <w:sz w:val="21"/>
          <w:szCs w:val="21"/>
          <w:color w:val="auto"/>
        </w:rPr>
      </w:pPr>
    </w:p>
    <w:p>
      <w:pPr>
        <w:jc w:val="both"/>
        <w:ind w:left="743" w:hanging="743"/>
        <w:spacing w:after="0" w:line="255" w:lineRule="auto"/>
        <w:tabs>
          <w:tab w:leader="none" w:pos="74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161" w:lineRule="exact"/>
        <w:rPr>
          <w:rFonts w:ascii="Times New Roman" w:cs="Times New Roman" w:eastAsia="Times New Roman" w:hAnsi="Times New Roman"/>
          <w:sz w:val="21"/>
          <w:szCs w:val="21"/>
          <w:color w:val="auto"/>
        </w:rPr>
      </w:pPr>
    </w:p>
    <w:p>
      <w:pPr>
        <w:ind w:left="743" w:hanging="743"/>
        <w:spacing w:after="0" w:line="282" w:lineRule="auto"/>
        <w:tabs>
          <w:tab w:leader="none" w:pos="74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with respect to the outstanding shares of Common Stock contemplated by Section 4.5 of the Plan, the PSUs may be adjusted in accordance with Section 4.5 of the Plan.</w:t>
      </w:r>
    </w:p>
    <w:p>
      <w:pPr>
        <w:spacing w:after="0" w:line="134" w:lineRule="exact"/>
        <w:rPr>
          <w:rFonts w:ascii="Times New Roman" w:cs="Times New Roman" w:eastAsia="Times New Roman" w:hAnsi="Times New Roman"/>
          <w:sz w:val="21"/>
          <w:szCs w:val="21"/>
          <w:color w:val="auto"/>
        </w:rPr>
      </w:pPr>
    </w:p>
    <w:p>
      <w:pPr>
        <w:jc w:val="both"/>
        <w:ind w:left="743" w:hanging="743"/>
        <w:spacing w:after="0" w:line="238" w:lineRule="auto"/>
        <w:tabs>
          <w:tab w:leader="none" w:pos="74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176" w:lineRule="exact"/>
        <w:rPr>
          <w:rFonts w:ascii="Times New Roman" w:cs="Times New Roman" w:eastAsia="Times New Roman" w:hAnsi="Times New Roman"/>
          <w:sz w:val="22"/>
          <w:szCs w:val="22"/>
          <w:color w:val="auto"/>
        </w:rPr>
      </w:pPr>
    </w:p>
    <w:p>
      <w:pPr>
        <w:jc w:val="both"/>
        <w:ind w:left="743" w:hanging="743"/>
        <w:spacing w:after="0" w:line="238" w:lineRule="auto"/>
        <w:tabs>
          <w:tab w:leader="none" w:pos="74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7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220980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98" w:right="339" w:bottom="1440" w:gutter="0" w:footer="0" w:header="0"/>
        </w:sectPr>
      </w:pPr>
    </w:p>
    <w:bookmarkStart w:id="136" w:name="page137"/>
    <w:bookmarkEnd w:id="136"/>
    <w:p>
      <w:pPr>
        <w:jc w:val="both"/>
        <w:ind w:left="743" w:hanging="743"/>
        <w:spacing w:after="0" w:line="244" w:lineRule="auto"/>
        <w:tabs>
          <w:tab w:leader="none" w:pos="74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73" w:lineRule="exact"/>
        <w:rPr>
          <w:rFonts w:ascii="Times New Roman" w:cs="Times New Roman" w:eastAsia="Times New Roman" w:hAnsi="Times New Roman"/>
          <w:sz w:val="22"/>
          <w:szCs w:val="22"/>
          <w:color w:val="auto"/>
        </w:rPr>
      </w:pPr>
    </w:p>
    <w:p>
      <w:pPr>
        <w:ind w:left="743" w:right="20" w:hanging="743"/>
        <w:spacing w:after="0" w:line="258" w:lineRule="auto"/>
        <w:tabs>
          <w:tab w:leader="none" w:pos="74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Except as otherwise provided in the Plan, this Agreement will not be amended unless the amendment is agreed to in writing by both the Participant and the Company.</w:t>
      </w:r>
    </w:p>
    <w:p>
      <w:pPr>
        <w:spacing w:after="0" w:line="158" w:lineRule="exact"/>
        <w:rPr>
          <w:rFonts w:ascii="Times New Roman" w:cs="Times New Roman" w:eastAsia="Times New Roman" w:hAnsi="Times New Roman"/>
          <w:sz w:val="22"/>
          <w:szCs w:val="22"/>
          <w:color w:val="auto"/>
        </w:rPr>
      </w:pPr>
    </w:p>
    <w:p>
      <w:pPr>
        <w:jc w:val="both"/>
        <w:ind w:left="743" w:hanging="743"/>
        <w:spacing w:after="0" w:line="236" w:lineRule="auto"/>
        <w:tabs>
          <w:tab w:leader="none" w:pos="74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Jurisdiction</w:t>
      </w:r>
      <w:r>
        <w:rPr>
          <w:rFonts w:ascii="Times New Roman" w:cs="Times New Roman" w:eastAsia="Times New Roman" w:hAnsi="Times New Roman"/>
          <w:sz w:val="22"/>
          <w:szCs w:val="22"/>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This Section 8(i) shall not apply to employees residing in Massachusetts, and for those employees the Agreement will be governed by Massachusetts law.</w:t>
      </w:r>
    </w:p>
    <w:p>
      <w:pPr>
        <w:spacing w:after="0" w:line="181" w:lineRule="exact"/>
        <w:rPr>
          <w:rFonts w:ascii="Times New Roman" w:cs="Times New Roman" w:eastAsia="Times New Roman" w:hAnsi="Times New Roman"/>
          <w:sz w:val="22"/>
          <w:szCs w:val="22"/>
          <w:color w:val="auto"/>
        </w:rPr>
      </w:pPr>
    </w:p>
    <w:p>
      <w:pPr>
        <w:jc w:val="both"/>
        <w:ind w:left="743" w:hanging="743"/>
        <w:spacing w:after="0" w:line="236" w:lineRule="auto"/>
        <w:tabs>
          <w:tab w:leader="none" w:pos="74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Restrictive Covenants</w:t>
      </w:r>
      <w:r>
        <w:rPr>
          <w:rFonts w:ascii="Times New Roman" w:cs="Times New Roman" w:eastAsia="Times New Roman" w:hAnsi="Times New Roman"/>
          <w:sz w:val="22"/>
          <w:szCs w:val="22"/>
          <w:color w:val="auto"/>
        </w:rPr>
        <w:t>. Notwithstanding any other language in the Agreement, this Agreement does not preclude the enforceability of any restrictive covenant provision contained in any prior or subsequent agreement entered into by the Participant (any such covenant, an “</w:t>
      </w:r>
      <w:r>
        <w:rPr>
          <w:rFonts w:ascii="Times New Roman" w:cs="Times New Roman" w:eastAsia="Times New Roman" w:hAnsi="Times New Roman"/>
          <w:sz w:val="22"/>
          <w:szCs w:val="22"/>
          <w:u w:val="single" w:color="auto"/>
          <w:color w:val="auto"/>
        </w:rPr>
        <w:t>Other Covenant</w:t>
      </w:r>
      <w:r>
        <w:rPr>
          <w:rFonts w:ascii="Times New Roman" w:cs="Times New Roman" w:eastAsia="Times New Roman" w:hAnsi="Times New Roman"/>
          <w:sz w:val="22"/>
          <w:szCs w:val="22"/>
          <w:color w:val="auto"/>
        </w:rPr>
        <w:t>”). Further, no Other Covenant precludes the enforceability of any provision contained in this Agreement. No subsequent agreement entered into by the Participant may amend, supersede, or override the covenants contained herein unless such subsequent agreement specifically references Section 5 of this Agreement.</w:t>
      </w:r>
    </w:p>
    <w:p>
      <w:pPr>
        <w:spacing w:after="0" w:line="181" w:lineRule="exact"/>
        <w:rPr>
          <w:rFonts w:ascii="Times New Roman" w:cs="Times New Roman" w:eastAsia="Times New Roman" w:hAnsi="Times New Roman"/>
          <w:sz w:val="22"/>
          <w:szCs w:val="22"/>
          <w:color w:val="auto"/>
        </w:rPr>
      </w:pPr>
    </w:p>
    <w:p>
      <w:pPr>
        <w:ind w:left="743" w:hanging="743"/>
        <w:spacing w:after="0" w:line="258" w:lineRule="auto"/>
        <w:tabs>
          <w:tab w:leader="none" w:pos="74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w:t>
      </w:r>
      <w:r>
        <w:rPr>
          <w:rFonts w:ascii="Times New Roman" w:cs="Times New Roman" w:eastAsia="Times New Roman" w:hAnsi="Times New Roman"/>
          <w:sz w:val="22"/>
          <w:szCs w:val="22"/>
          <w:color w:val="auto"/>
        </w:rPr>
        <w:t>. This Agreement may be signed in counterparts, manually or electronically, each of which will be an original, with the same effect as if the signatures to each were upon the same instrument.</w:t>
      </w:r>
    </w:p>
    <w:p>
      <w:pPr>
        <w:spacing w:after="0" w:line="158" w:lineRule="exact"/>
        <w:rPr>
          <w:rFonts w:ascii="Times New Roman" w:cs="Times New Roman" w:eastAsia="Times New Roman" w:hAnsi="Times New Roman"/>
          <w:sz w:val="22"/>
          <w:szCs w:val="22"/>
          <w:color w:val="auto"/>
        </w:rPr>
      </w:pPr>
    </w:p>
    <w:p>
      <w:pPr>
        <w:jc w:val="both"/>
        <w:ind w:left="743" w:hanging="743"/>
        <w:spacing w:after="0" w:line="238" w:lineRule="auto"/>
        <w:tabs>
          <w:tab w:leader="none" w:pos="74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76" w:lineRule="exact"/>
        <w:rPr>
          <w:rFonts w:ascii="Times New Roman" w:cs="Times New Roman" w:eastAsia="Times New Roman" w:hAnsi="Times New Roman"/>
          <w:sz w:val="22"/>
          <w:szCs w:val="22"/>
          <w:color w:val="auto"/>
        </w:rPr>
      </w:pPr>
    </w:p>
    <w:p>
      <w:pPr>
        <w:jc w:val="both"/>
        <w:ind w:left="743" w:hanging="743"/>
        <w:spacing w:after="0" w:line="236" w:lineRule="auto"/>
        <w:tabs>
          <w:tab w:leader="none" w:pos="74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 Compliance</w:t>
      </w:r>
      <w:r>
        <w:rPr>
          <w:rFonts w:ascii="Times New Roman" w:cs="Times New Roman" w:eastAsia="Times New Roman" w:hAnsi="Times New Roman"/>
          <w:sz w:val="22"/>
          <w:szCs w:val="22"/>
          <w:color w:val="auto"/>
        </w:rPr>
        <w:t>. The PSUs are intended to be exempt from, or in the alternative, to comply with, the requirements of Code Section 409A, and this Agreement shall be interpreted accordingly. Notwithstanding any provision of the Plan or this Agreement to the contrary, to the extent that the Committee determines that any portion of the PSUs granted under this Agreement is subject to the requirements of Code Section 409A, the Committee reserves the right to amend, restructure, terminate or replace such portion of the PSUs in order to cause such portion of the PSUs to either not be subject to Code Section 409A or to comply</w:t>
      </w:r>
    </w:p>
    <w:p>
      <w:pPr>
        <w:spacing w:after="0" w:line="181"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220980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98" w:right="339" w:bottom="1440" w:gutter="0" w:footer="0" w:header="0"/>
        </w:sectPr>
      </w:pPr>
    </w:p>
    <w:bookmarkStart w:id="137" w:name="page138"/>
    <w:bookmarkEnd w:id="137"/>
    <w:p>
      <w:pPr>
        <w:jc w:val="both"/>
        <w:ind w:left="743"/>
        <w:spacing w:after="0" w:line="244" w:lineRule="auto"/>
        <w:rPr>
          <w:sz w:val="20"/>
          <w:szCs w:val="20"/>
          <w:color w:val="auto"/>
        </w:rPr>
      </w:pPr>
      <w:r>
        <w:rPr>
          <w:rFonts w:ascii="Times New Roman" w:cs="Times New Roman" w:eastAsia="Times New Roman" w:hAnsi="Times New Roman"/>
          <w:sz w:val="22"/>
          <w:szCs w:val="22"/>
          <w:color w:val="auto"/>
        </w:rPr>
        <w:t>with the applicable provisions of such section. To the extent necessary to cause the PSUs to remain exempt from Code Section 409A, any Earned PSUs will be settled by no later than March 15 of the year following the year in which such Earned PSUs vest.</w:t>
      </w:r>
    </w:p>
    <w:p>
      <w:pPr>
        <w:spacing w:after="0" w:line="173" w:lineRule="exact"/>
        <w:rPr>
          <w:sz w:val="20"/>
          <w:szCs w:val="20"/>
          <w:color w:val="auto"/>
        </w:rPr>
      </w:pPr>
    </w:p>
    <w:p>
      <w:pPr>
        <w:jc w:val="both"/>
        <w:ind w:left="743" w:hanging="743"/>
        <w:spacing w:after="0" w:line="235" w:lineRule="auto"/>
        <w:tabs>
          <w:tab w:leader="none" w:pos="74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Participant hereby acknowledges receipt of a copy of the Plan and this Agreement. The Participant has read and understands the terms and provisions of the Plan and this Agreement, and accepts the PSUs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that prior to signing this Agreement they have a right to consult with counsel and have been afforded the opportunity to consult with an attorney to the extent they wish to do so.</w:t>
      </w:r>
    </w:p>
    <w:p>
      <w:pPr>
        <w:spacing w:after="0" w:line="179" w:lineRule="exact"/>
        <w:rPr>
          <w:sz w:val="20"/>
          <w:szCs w:val="20"/>
          <w:color w:val="auto"/>
        </w:rPr>
      </w:pPr>
    </w:p>
    <w:p>
      <w:pPr>
        <w:ind w:left="3763"/>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220980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98" w:right="339" w:bottom="1440" w:gutter="0" w:footer="0" w:header="0"/>
        </w:sectPr>
      </w:pPr>
    </w:p>
    <w:bookmarkStart w:id="138" w:name="page139"/>
    <w:bookmarkEnd w:id="138"/>
    <w:p>
      <w:pPr>
        <w:ind w:left="10020"/>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49"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22"/>
          <w:szCs w:val="22"/>
          <w:color w:val="auto"/>
        </w:rPr>
        <w:t>IN WITNESS WHEREOF, the Company and the Participant have executed this Restricted Stock Unit Award Agreement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b w:val="1"/>
          <w:bCs w:val="1"/>
          <w:color w:val="auto"/>
        </w:rPr>
        <w:t>PARTICIPANT</w:t>
      </w:r>
      <w:r>
        <w:rPr>
          <w:sz w:val="20"/>
          <w:szCs w:val="20"/>
          <w:color w:val="auto"/>
        </w:rPr>
        <w:tab/>
      </w:r>
      <w:r>
        <w:rPr>
          <w:rFonts w:ascii="Times New Roman" w:cs="Times New Roman" w:eastAsia="Times New Roman" w:hAnsi="Times New Roman"/>
          <w:sz w:val="22"/>
          <w:szCs w:val="22"/>
          <w:b w:val="1"/>
          <w:bCs w:val="1"/>
          <w:color w:val="auto"/>
        </w:rPr>
        <w:t>DEFINITIVE HEALTHCARE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2"/>
          <w:szCs w:val="22"/>
          <w:color w:val="auto"/>
        </w:rPr>
        <w:t>______________________________</w:t>
      </w:r>
      <w:r>
        <w:rPr>
          <w:sz w:val="20"/>
          <w:szCs w:val="20"/>
          <w:color w:val="auto"/>
        </w:rPr>
        <w:tab/>
      </w:r>
      <w:r>
        <w:rPr>
          <w:rFonts w:ascii="Times New Roman" w:cs="Times New Roman" w:eastAsia="Times New Roman" w:hAnsi="Times New Roman"/>
          <w:sz w:val="21"/>
          <w:szCs w:val="21"/>
          <w:color w:val="auto"/>
        </w:rPr>
        <w:t>By: ______________________________</w:t>
      </w:r>
    </w:p>
    <w:p>
      <w:pPr>
        <w:spacing w:after="0" w:line="206"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2"/>
          <w:szCs w:val="22"/>
          <w:color w:val="auto"/>
        </w:rPr>
        <w:t>Date:_________________________</w:t>
      </w:r>
      <w:r>
        <w:rPr>
          <w:sz w:val="20"/>
          <w:szCs w:val="20"/>
          <w:color w:val="auto"/>
        </w:rPr>
        <w:tab/>
      </w:r>
      <w:r>
        <w:rPr>
          <w:rFonts w:ascii="Times New Roman" w:cs="Times New Roman" w:eastAsia="Times New Roman" w:hAnsi="Times New Roman"/>
          <w:sz w:val="21"/>
          <w:szCs w:val="21"/>
          <w:color w:val="auto"/>
        </w:rPr>
        <w:t>Date: 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 Restricted Stock Unit (Performance-Based)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9" w:name="page140"/>
    <w:bookmarkEnd w:id="139"/>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33"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22"/>
          <w:szCs w:val="22"/>
          <w:b w:val="1"/>
          <w:bCs w:val="1"/>
          <w:color w:val="auto"/>
        </w:rPr>
        <w:t>Vesting Conditions and Performance Goals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37" w:right="1440"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t>Exhibit 10.26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David Samuels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[XXXXXXX]</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[XXXXXXXX]</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Separation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David:</w:t>
      </w:r>
    </w:p>
    <w:p>
      <w:pPr>
        <w:spacing w:after="0" w:line="210"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7"/>
          <w:szCs w:val="17"/>
          <w:color w:val="auto"/>
        </w:rPr>
        <w:t>This letter agreement (“Agreement”) sets forth the terms regarding the cessation of your employment with Definitive Healthcare, LLC (the “Company”). The effective date of cessation (i.e., your last day of employment) is the earlier of the Early Cessation Date (as defined below) or December 31, 2022 (with such effective date of cessation referred to as the “Separation Date”).</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1.Full-Time Transition Period. The period between today and November 11, 2022 (subject to earlier termination pursuant to Paragraph 4 below) is the “Full-Time Transition Period.” During the Full-Time Transition Period, you will continue to be employed by the Company on a full-time basis and you will continue to receive your current base salary. During the Full-Time Transition Period, in addition to fulfilling your job duties, you agree to use your best efforts to assist with the smooth transition of your responsibilities.</w:t>
      </w:r>
    </w:p>
    <w:p>
      <w:pPr>
        <w:spacing w:after="0" w:line="169" w:lineRule="exact"/>
        <w:rPr>
          <w:sz w:val="20"/>
          <w:szCs w:val="20"/>
          <w:color w:val="auto"/>
        </w:rPr>
      </w:pPr>
    </w:p>
    <w:p>
      <w:pPr>
        <w:ind w:right="100" w:firstLine="8"/>
        <w:spacing w:after="0" w:line="259" w:lineRule="auto"/>
        <w:tabs>
          <w:tab w:leader="none" w:pos="21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Part-Time Transition Period. The period between November 12, 2022 and December 31, 2022 (subject to earlier termination pursuant to Paragraph 4 below) is the “Part-Time Transition Period.” During the Part-Time Transition Period, you will be employed by the Company on a part-time basis and you will be compensated on an hourly basis at the rate of $210 per hour. During the Part-Time Transition Period, you will perform only such services as directed in writing by the Company’s Chief Financial Officer.</w:t>
      </w:r>
    </w:p>
    <w:p>
      <w:pPr>
        <w:spacing w:after="0" w:line="168" w:lineRule="exact"/>
        <w:rPr>
          <w:rFonts w:ascii="Times New Roman" w:cs="Times New Roman" w:eastAsia="Times New Roman" w:hAnsi="Times New Roman"/>
          <w:sz w:val="17"/>
          <w:szCs w:val="17"/>
          <w:color w:val="auto"/>
        </w:rPr>
      </w:pPr>
    </w:p>
    <w:p>
      <w:pPr>
        <w:ind w:right="20" w:firstLine="8"/>
        <w:spacing w:after="0" w:line="254" w:lineRule="auto"/>
        <w:tabs>
          <w:tab w:leader="none" w:pos="17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w:t>
      </w:r>
      <w:r>
        <w:rPr>
          <w:rFonts w:ascii="Times New Roman" w:cs="Times New Roman" w:eastAsia="Times New Roman" w:hAnsi="Times New Roman"/>
          <w:sz w:val="17"/>
          <w:szCs w:val="17"/>
          <w:color w:val="auto"/>
        </w:rPr>
        <w:t>. You hereby resign, effective as of the Separation Date, from your employment with the Company and from any officer and board member positions that you hold with the Company, Definitive Healthcare Corp. ("Pubco"), or any of their respective subsidiaries and affiliates (collectively, the “Company Group”), and you agree to execute any documents reasonably requested by the Company in order to effectuate such resignations. In addition, and without limiting the foregoing, if requested by the Company or Pubco that you resign from or modify the scope of any officer or director positions with any member of the Company Group prior to your Separation Date (but, for the avoidance of doubt, without terminating your employment with the Company prior to the Separation Date) then you agree to execute any documents reasonably requested by the Company in order to effectuate such resignations or changes. As of the Separation Date, you shall have no further employment relationship with the Company Group.</w:t>
      </w:r>
    </w:p>
    <w:p>
      <w:pPr>
        <w:spacing w:after="0" w:line="171" w:lineRule="exact"/>
        <w:rPr>
          <w:rFonts w:ascii="Times New Roman" w:cs="Times New Roman" w:eastAsia="Times New Roman" w:hAnsi="Times New Roman"/>
          <w:sz w:val="17"/>
          <w:szCs w:val="17"/>
          <w:color w:val="auto"/>
        </w:rPr>
      </w:pPr>
    </w:p>
    <w:p>
      <w:pPr>
        <w:ind w:right="60" w:firstLine="8"/>
        <w:spacing w:after="0" w:line="259" w:lineRule="auto"/>
        <w:tabs>
          <w:tab w:leader="none" w:pos="17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Early Cessation Date</w:t>
      </w:r>
      <w:r>
        <w:rPr>
          <w:rFonts w:ascii="Times New Roman" w:cs="Times New Roman" w:eastAsia="Times New Roman" w:hAnsi="Times New Roman"/>
          <w:sz w:val="17"/>
          <w:szCs w:val="17"/>
          <w:color w:val="auto"/>
        </w:rPr>
        <w:t>. Upon written notice to you, the Company may terminate your employment prior to the December 31, 2022 (the “Early Cessation Date”), for any of the following reasons: (1) if you do not sign this Agreement and return it to the Company on or before 21 days from today, or if you revoke your acceptance of this Agreement within 7 days after you sign it, each in accordance with Paragraph 26 below; (2) if you voluntarily resign from your employment with the Company; or (3) if you fail to comply with the terms and conditions of this Agreement, including Paragraphs 1 and 2 above.</w:t>
      </w:r>
    </w:p>
    <w:p>
      <w:pPr>
        <w:spacing w:after="0" w:line="168" w:lineRule="exact"/>
        <w:rPr>
          <w:rFonts w:ascii="Times New Roman" w:cs="Times New Roman" w:eastAsia="Times New Roman" w:hAnsi="Times New Roman"/>
          <w:sz w:val="17"/>
          <w:szCs w:val="17"/>
          <w:color w:val="auto"/>
        </w:rPr>
      </w:pPr>
    </w:p>
    <w:p>
      <w:pPr>
        <w:ind w:right="160" w:firstLine="8"/>
        <w:spacing w:after="0" w:line="281" w:lineRule="auto"/>
        <w:tabs>
          <w:tab w:leader="none" w:pos="21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Accrued Compensation</w:t>
      </w:r>
      <w:r>
        <w:rPr>
          <w:rFonts w:ascii="Times New Roman" w:cs="Times New Roman" w:eastAsia="Times New Roman" w:hAnsi="Times New Roman"/>
          <w:sz w:val="17"/>
          <w:szCs w:val="17"/>
          <w:color w:val="auto"/>
        </w:rPr>
        <w:t>. Payment of your salary will cease as of the Separation Date. On the Separation Date, the Company will pay to you all of your accrued salary and unused vacation time through the Separation Date, subject to standard deductions and withholdings.</w:t>
      </w:r>
    </w:p>
    <w:p>
      <w:pPr>
        <w:spacing w:after="0" w:line="149" w:lineRule="exact"/>
        <w:rPr>
          <w:rFonts w:ascii="Times New Roman" w:cs="Times New Roman" w:eastAsia="Times New Roman" w:hAnsi="Times New Roman"/>
          <w:sz w:val="17"/>
          <w:szCs w:val="17"/>
          <w:color w:val="auto"/>
        </w:rPr>
      </w:pPr>
    </w:p>
    <w:p>
      <w:pPr>
        <w:ind w:firstLine="8"/>
        <w:spacing w:after="0" w:line="265" w:lineRule="auto"/>
        <w:tabs>
          <w:tab w:leader="none" w:pos="17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Contingent Non-Equity Severance Benefits</w:t>
      </w:r>
      <w:r>
        <w:rPr>
          <w:rFonts w:ascii="Times New Roman" w:cs="Times New Roman" w:eastAsia="Times New Roman" w:hAnsi="Times New Roman"/>
          <w:sz w:val="17"/>
          <w:szCs w:val="17"/>
          <w:color w:val="auto"/>
        </w:rPr>
        <w:t>. In exchange for your obligations and promises in this Agreement, the Company is offering you the following severance benefits, for which you would not be eligible but for your signing this Agreement and not revoking it within the timeframe set forth below and complying with all of its terms:</w:t>
      </w:r>
    </w:p>
    <w:p>
      <w:pPr>
        <w:spacing w:after="0" w:line="162" w:lineRule="exact"/>
        <w:rPr>
          <w:rFonts w:ascii="Times New Roman" w:cs="Times New Roman" w:eastAsia="Times New Roman" w:hAnsi="Times New Roman"/>
          <w:sz w:val="17"/>
          <w:szCs w:val="17"/>
          <w:color w:val="auto"/>
        </w:rPr>
      </w:pPr>
    </w:p>
    <w:p>
      <w:pPr>
        <w:ind w:right="140" w:firstLine="757"/>
        <w:spacing w:after="0" w:line="265" w:lineRule="auto"/>
        <w:tabs>
          <w:tab w:leader="none" w:pos="91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Salary continuation for thirty-nine (39) weeks at the same base salary rate you were receiving as of the Separation Date, less applicable withholdings and deductions, payable in a lump sum on the Company’s next regularly scheduled payroll date following the Effective Date of this Agreement, as defined in Paragraph 26 below.</w:t>
      </w:r>
    </w:p>
    <w:p>
      <w:pPr>
        <w:spacing w:after="0" w:line="162" w:lineRule="exact"/>
        <w:rPr>
          <w:rFonts w:ascii="Times New Roman" w:cs="Times New Roman" w:eastAsia="Times New Roman" w:hAnsi="Times New Roman"/>
          <w:sz w:val="17"/>
          <w:szCs w:val="17"/>
          <w:color w:val="auto"/>
        </w:rPr>
      </w:pPr>
    </w:p>
    <w:p>
      <w:pPr>
        <w:ind w:right="260" w:firstLine="757"/>
        <w:spacing w:after="0" w:line="256" w:lineRule="auto"/>
        <w:tabs>
          <w:tab w:leader="none" w:pos="92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be eligible to receive a cash bonus for 2022 (“Bonus”), based on the Company achieving specified performance targets and other requirements which will be determined reasonably and in good faith by the Company’s CEO and the Compensation Committee of the Board of Directors, which targets and requirements will be applied equally</w:t>
      </w:r>
    </w:p>
    <w:p>
      <w:pPr>
        <w:jc w:val="center"/>
        <w:spacing w:after="0" w:line="217" w:lineRule="auto"/>
        <w:rPr>
          <w:sz w:val="20"/>
          <w:szCs w:val="20"/>
          <w:color w:val="auto"/>
        </w:rPr>
      </w:pPr>
      <w:r>
        <w:rPr>
          <w:rFonts w:ascii="Calibri" w:cs="Calibri" w:eastAsia="Calibri" w:hAnsi="Calibri"/>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1" w:name="page142"/>
    <w:bookmarkEnd w:id="141"/>
    <w:p>
      <w:pPr>
        <w:ind w:right="80"/>
        <w:spacing w:after="0" w:line="259" w:lineRule="auto"/>
        <w:rPr>
          <w:sz w:val="20"/>
          <w:szCs w:val="20"/>
          <w:color w:val="auto"/>
        </w:rPr>
      </w:pPr>
      <w:r>
        <w:rPr>
          <w:rFonts w:ascii="Times New Roman" w:cs="Times New Roman" w:eastAsia="Times New Roman" w:hAnsi="Times New Roman"/>
          <w:sz w:val="17"/>
          <w:szCs w:val="17"/>
          <w:color w:val="auto"/>
        </w:rPr>
        <w:t>to the calculation of 2022 bonuses, if any, payable to the Company’s executive team. Any Bonus will be paid to you, less applicable deductions and withholdings, at the same time as any 2022 bonuses are paid to the Company’s executive team.</w:t>
      </w:r>
    </w:p>
    <w:p>
      <w:pPr>
        <w:spacing w:after="0" w:line="1" w:lineRule="exact"/>
        <w:rPr>
          <w:sz w:val="20"/>
          <w:szCs w:val="20"/>
          <w:color w:val="auto"/>
        </w:rPr>
      </w:pPr>
    </w:p>
    <w:p>
      <w:pPr>
        <w:ind w:right="80" w:firstLine="749"/>
        <w:spacing w:after="0" w:line="251" w:lineRule="auto"/>
        <w:rPr>
          <w:sz w:val="20"/>
          <w:szCs w:val="20"/>
          <w:color w:val="auto"/>
        </w:rPr>
      </w:pPr>
      <w:r>
        <w:rPr>
          <w:rFonts w:ascii="Times New Roman" w:cs="Times New Roman" w:eastAsia="Times New Roman" w:hAnsi="Times New Roman"/>
          <w:sz w:val="17"/>
          <w:szCs w:val="17"/>
          <w:color w:val="auto"/>
        </w:rPr>
        <w:t>c. Should you timely elect and be eligible to continue receiving group medical insurance pursuant COBRA, the Company will, for a period of nine (9) months, pay the entire amount of the premiums for such coverage or until such earlier time as you become eligible for coverage through another employer. After the 9-month period (or until such earlier time as you become eligible for coverage through another employer) during which the Company will pay the premiums, you will be eligible to continue coverage for the remainder of your legally-required COBRA period, but the continuation of this remaining coverage will be at your expense.</w:t>
      </w:r>
    </w:p>
    <w:p>
      <w:pPr>
        <w:spacing w:after="0" w:line="175" w:lineRule="exact"/>
        <w:rPr>
          <w:sz w:val="20"/>
          <w:szCs w:val="20"/>
          <w:color w:val="auto"/>
        </w:rPr>
      </w:pPr>
    </w:p>
    <w:p>
      <w:pPr>
        <w:ind w:right="240" w:firstLine="749"/>
        <w:spacing w:after="0" w:line="281" w:lineRule="auto"/>
        <w:rPr>
          <w:sz w:val="20"/>
          <w:szCs w:val="20"/>
          <w:color w:val="auto"/>
        </w:rPr>
      </w:pPr>
      <w:r>
        <w:rPr>
          <w:rFonts w:ascii="Times New Roman" w:cs="Times New Roman" w:eastAsia="Times New Roman" w:hAnsi="Times New Roman"/>
          <w:sz w:val="17"/>
          <w:szCs w:val="17"/>
          <w:color w:val="auto"/>
        </w:rPr>
        <w:t>d. The Company will provide you with six (6) months of outplacement assistance with the Company’s provider, at the Company’s expense, to be used within twelve (12) months of your departure.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benefits described in subparagraphs 6.a-6.d. are collectively referred to as the “Non-Equity Severance Benefits.”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Non-Equity Severance Benefits will be provided to you by the Company if and only if you:</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 sign this Agreement and return it to the Company in accordance with Paragraph 25 below, no later than 21 days after receipt of the Agreement;</w:t>
      </w:r>
    </w:p>
    <w:p>
      <w:pPr>
        <w:spacing w:after="0" w:line="210" w:lineRule="exact"/>
        <w:rPr>
          <w:sz w:val="20"/>
          <w:szCs w:val="20"/>
          <w:color w:val="auto"/>
        </w:rPr>
      </w:pPr>
    </w:p>
    <w:p>
      <w:pPr>
        <w:ind w:left="940" w:hanging="183"/>
        <w:spacing w:after="0"/>
        <w:tabs>
          <w:tab w:leader="none" w:pos="9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revoke your acceptance of this Agreement within the timeframe and otherwise in accordance with the terms set forth in Paragraph 26 5 below;</w:t>
      </w:r>
    </w:p>
    <w:p>
      <w:pPr>
        <w:spacing w:after="0" w:line="209" w:lineRule="exact"/>
        <w:rPr>
          <w:rFonts w:ascii="Times New Roman" w:cs="Times New Roman" w:eastAsia="Times New Roman" w:hAnsi="Times New Roman"/>
          <w:sz w:val="17"/>
          <w:szCs w:val="17"/>
          <w:color w:val="auto"/>
        </w:rPr>
      </w:pPr>
    </w:p>
    <w:p>
      <w:pPr>
        <w:ind w:left="980" w:hanging="223"/>
        <w:spacing w:after="0"/>
        <w:tabs>
          <w:tab w:leader="none" w:pos="9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voluntarily terminate your employment with the Company before December 31, 2022; and</w:t>
      </w:r>
    </w:p>
    <w:p>
      <w:pPr>
        <w:spacing w:after="0" w:line="209" w:lineRule="exact"/>
        <w:rPr>
          <w:rFonts w:ascii="Times New Roman" w:cs="Times New Roman" w:eastAsia="Times New Roman" w:hAnsi="Times New Roman"/>
          <w:sz w:val="17"/>
          <w:szCs w:val="17"/>
          <w:color w:val="auto"/>
        </w:rPr>
      </w:pPr>
    </w:p>
    <w:p>
      <w:pPr>
        <w:ind w:left="960" w:hanging="203"/>
        <w:spacing w:after="0"/>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all of the terms of this Agreement.</w:t>
      </w:r>
    </w:p>
    <w:p>
      <w:pPr>
        <w:spacing w:after="0" w:line="210" w:lineRule="exact"/>
        <w:rPr>
          <w:sz w:val="20"/>
          <w:szCs w:val="20"/>
          <w:color w:val="auto"/>
        </w:rPr>
      </w:pPr>
    </w:p>
    <w:p>
      <w:pPr>
        <w:ind w:right="40" w:firstLine="8"/>
        <w:spacing w:after="0" w:line="254" w:lineRule="auto"/>
        <w:tabs>
          <w:tab w:leader="none" w:pos="17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Contingent Equity Severance Benefit</w:t>
      </w:r>
      <w:r>
        <w:rPr>
          <w:rFonts w:ascii="Times New Roman" w:cs="Times New Roman" w:eastAsia="Times New Roman" w:hAnsi="Times New Roman"/>
          <w:sz w:val="17"/>
          <w:szCs w:val="17"/>
          <w:color w:val="auto"/>
        </w:rPr>
        <w:t>. Any incentive compensation award you received from Pubco, the Company or one of their affiliated entities before the Separation Date is subject to and governed by the plan document and grant agreement under which the award was granted. This includes (i) (A) the AIDH TopCo, LLC to the AIDH Topco, LLC Class B Unit Grant Agreement dated April 21, 2021, and (B) AIDH Management Holdings, LLC to the AIDH Management Holdings, LLC Class B Unit Grant Agreement April 21, 2021 (collectively, the “MIU Award Agreements”); and (ii) the Restricted Stock Unit Award Agreement you signed on October 21, 2021 (“RSU Agreement” and, together with the MIU Award Agreements and any other equity-based award you may have received from Pubco, the Company or one of their affiliated entities before the Separation Date, the “Equity Awards”), the AIDH Topco, LLC 2019 Equity Incentive Plan and the Definitive Healthcare Corp. 2021 Equity Incentive Plan (as applicable).</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Up to the Separation Date, the Equity Awards shall continue to vest subject to the terms of the underlying existing awards agreements and equity incentive plans and subject to your continued service through such date with the Company.</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exchange for your obligations and promises in this Agreement, the Company is offering you the following benefit related to the Equity Awards (the “Equity Severance Benefit”) for which you would not be eligible but for your signing this Agreement and not revoking it within the timeframe set forth below and complying with all of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-294005</wp:posOffset>
            </wp:positionV>
            <wp:extent cx="3556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5">
                      <a:extLst>
                        <a:ext uri="{28A0092B-C50C-407E-A947-70E740481C1C}"/>
                      </a:extLst>
                    </a:blip>
                    <a:srcRect/>
                    <a:stretch>
                      <a:fillRect/>
                    </a:stretch>
                  </pic:blipFill>
                  <pic:spPr bwMode="auto">
                    <a:xfrm>
                      <a:off x="0" y="0"/>
                      <a:ext cx="35560" cy="8890"/>
                    </a:xfrm>
                    <a:prstGeom prst="rect">
                      <a:avLst/>
                    </a:prstGeom>
                    <a:noFill/>
                  </pic:spPr>
                </pic:pic>
              </a:graphicData>
            </a:graphic>
          </wp:anchor>
        </w:drawing>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As of the Separation Date, the vesting of your Equity Awards will be accelerated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right w:val="single" w:sz="8" w:color="auto"/>
            </w:tcBorders>
          </w:tcPr>
          <w:p>
            <w:pPr>
              <w:spacing w:after="0"/>
              <w:rPr>
                <w:sz w:val="17"/>
                <w:szCs w:val="17"/>
                <w:color w:val="auto"/>
              </w:rPr>
            </w:pPr>
          </w:p>
        </w:tc>
        <w:tc>
          <w:tcPr>
            <w:tcW w:w="3480" w:type="dxa"/>
            <w:vAlign w:val="bottom"/>
            <w:tcBorders>
              <w:top w:val="single" w:sz="8" w:color="auto"/>
              <w:right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40" w:type="dxa"/>
            <w:vAlign w:val="bottom"/>
            <w:tcBorders>
              <w:top w:val="single" w:sz="8" w:color="auto"/>
              <w:right w:val="single" w:sz="8" w:color="auto"/>
            </w:tcBorders>
          </w:tcPr>
          <w:p>
            <w:pPr>
              <w:spacing w:after="0"/>
              <w:rPr>
                <w:sz w:val="17"/>
                <w:szCs w:val="17"/>
                <w:color w:val="auto"/>
              </w:rPr>
            </w:pPr>
          </w:p>
        </w:tc>
        <w:tc>
          <w:tcPr>
            <w:tcW w:w="2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Remaining Unvested</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 Shares/Units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right w:val="single" w:sz="8" w:color="auto"/>
            </w:tcBorders>
          </w:tcPr>
          <w:p>
            <w:pPr>
              <w:spacing w:after="0"/>
              <w:rPr>
                <w:sz w:val="17"/>
                <w:szCs w:val="17"/>
                <w:color w:val="auto"/>
              </w:rPr>
            </w:pPr>
          </w:p>
        </w:tc>
        <w:tc>
          <w:tcPr>
            <w:tcW w:w="348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Shares/Units as of [the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Accelerated Pursuant to this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80" w:type="dxa"/>
            <w:vAlign w:val="bottom"/>
            <w:tcBorders>
              <w:right w:val="single" w:sz="8" w:color="auto"/>
            </w:tcBorders>
          </w:tcPr>
          <w:p>
            <w:pPr>
              <w:spacing w:after="0"/>
              <w:rPr>
                <w:sz w:val="22"/>
                <w:szCs w:val="22"/>
                <w:color w:val="auto"/>
              </w:rPr>
            </w:pPr>
          </w:p>
        </w:tc>
        <w:tc>
          <w:tcPr>
            <w:tcW w:w="3480" w:type="dxa"/>
            <w:vAlign w:val="bottom"/>
            <w:tcBorders>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7"/>
                <w:szCs w:val="17"/>
                <w:b w:val="1"/>
                <w:bCs w:val="1"/>
                <w:color w:val="auto"/>
              </w:rPr>
              <w:t>Award</w:t>
            </w:r>
          </w:p>
        </w:tc>
        <w:tc>
          <w:tcPr>
            <w:tcW w:w="14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340" w:type="dxa"/>
            <w:vAlign w:val="bottom"/>
            <w:tcBorders>
              <w:bottom w:val="single" w:sz="8" w:color="auto"/>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Separation Date]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Paragraph</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580" w:type="dxa"/>
            <w:vAlign w:val="bottom"/>
            <w:tcBorders>
              <w:right w:val="single" w:sz="8" w:color="auto"/>
            </w:tcBorders>
          </w:tcPr>
          <w:p>
            <w:pPr>
              <w:spacing w:after="0"/>
              <w:rPr>
                <w:sz w:val="15"/>
                <w:szCs w:val="15"/>
                <w:color w:val="auto"/>
              </w:rPr>
            </w:pPr>
          </w:p>
        </w:tc>
        <w:tc>
          <w:tcPr>
            <w:tcW w:w="3480" w:type="dxa"/>
            <w:vAlign w:val="bottom"/>
            <w:tcBorders>
              <w:right w:val="single" w:sz="8" w:color="auto"/>
            </w:tcBorders>
          </w:tcPr>
          <w:p>
            <w:pPr>
              <w:ind w:left="100"/>
              <w:spacing w:after="0" w:line="174" w:lineRule="exact"/>
              <w:rPr>
                <w:sz w:val="20"/>
                <w:szCs w:val="20"/>
                <w:color w:val="auto"/>
              </w:rPr>
            </w:pPr>
            <w:r>
              <w:rPr>
                <w:rFonts w:ascii="Times New Roman" w:cs="Times New Roman" w:eastAsia="Times New Roman" w:hAnsi="Times New Roman"/>
                <w:sz w:val="17"/>
                <w:szCs w:val="17"/>
                <w:color w:val="auto"/>
              </w:rPr>
              <w:t>Management Incentive Units under the AIDH</w:t>
            </w:r>
          </w:p>
        </w:tc>
        <w:tc>
          <w:tcPr>
            <w:tcW w:w="1480" w:type="dxa"/>
            <w:vAlign w:val="bottom"/>
          </w:tcPr>
          <w:p>
            <w:pPr>
              <w:ind w:left="80"/>
              <w:spacing w:after="0" w:line="174" w:lineRule="exact"/>
              <w:rPr>
                <w:sz w:val="20"/>
                <w:szCs w:val="20"/>
                <w:color w:val="auto"/>
              </w:rPr>
            </w:pPr>
            <w:r>
              <w:rPr>
                <w:rFonts w:ascii="Times New Roman" w:cs="Times New Roman" w:eastAsia="Times New Roman" w:hAnsi="Times New Roman"/>
                <w:sz w:val="17"/>
                <w:szCs w:val="17"/>
                <w:color w:val="auto"/>
              </w:rPr>
              <w:t>April 21, 2021</w:t>
            </w:r>
          </w:p>
        </w:tc>
        <w:tc>
          <w:tcPr>
            <w:tcW w:w="34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ind w:left="100"/>
              <w:spacing w:after="0" w:line="174" w:lineRule="exact"/>
              <w:rPr>
                <w:sz w:val="20"/>
                <w:szCs w:val="20"/>
                <w:color w:val="auto"/>
              </w:rPr>
            </w:pPr>
            <w:r>
              <w:rPr>
                <w:rFonts w:ascii="Times New Roman" w:cs="Times New Roman" w:eastAsia="Times New Roman" w:hAnsi="Times New Roman"/>
                <w:sz w:val="17"/>
                <w:szCs w:val="17"/>
                <w:color w:val="auto"/>
              </w:rPr>
              <w:t>Time-Based: 85,575.00</w:t>
            </w:r>
          </w:p>
        </w:tc>
        <w:tc>
          <w:tcPr>
            <w:tcW w:w="2380" w:type="dxa"/>
            <w:vAlign w:val="bottom"/>
            <w:tcBorders>
              <w:right w:val="single" w:sz="8" w:color="auto"/>
            </w:tcBorders>
          </w:tcPr>
          <w:p>
            <w:pPr>
              <w:ind w:left="80"/>
              <w:spacing w:after="0" w:line="174" w:lineRule="exact"/>
              <w:rPr>
                <w:sz w:val="20"/>
                <w:szCs w:val="20"/>
                <w:color w:val="auto"/>
              </w:rPr>
            </w:pPr>
            <w:r>
              <w:rPr>
                <w:rFonts w:ascii="Times New Roman" w:cs="Times New Roman" w:eastAsia="Times New Roman" w:hAnsi="Times New Roman"/>
                <w:sz w:val="17"/>
                <w:szCs w:val="17"/>
                <w:color w:val="auto"/>
              </w:rPr>
              <w:t>Time-Based: 31,948.00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580" w:type="dxa"/>
            <w:vAlign w:val="bottom"/>
            <w:tcBorders>
              <w:right w:val="single" w:sz="8" w:color="auto"/>
            </w:tcBorders>
          </w:tcPr>
          <w:p>
            <w:pPr>
              <w:spacing w:after="0"/>
              <w:rPr>
                <w:sz w:val="7"/>
                <w:szCs w:val="7"/>
                <w:color w:val="auto"/>
              </w:rPr>
            </w:pPr>
          </w:p>
        </w:tc>
        <w:tc>
          <w:tcPr>
            <w:tcW w:w="3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Topco, LLC 2019 Equity Incentive Plan</w:t>
            </w:r>
          </w:p>
        </w:tc>
        <w:tc>
          <w:tcPr>
            <w:tcW w:w="148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2400" w:type="dxa"/>
            <w:vAlign w:val="bottom"/>
            <w:tcBorders>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480" w:type="dxa"/>
            <w:vAlign w:val="bottom"/>
            <w:tcBorders>
              <w:right w:val="single" w:sz="8" w:color="auto"/>
            </w:tcBorders>
            <w:vMerge w:val="continue"/>
          </w:tcPr>
          <w:p>
            <w:pPr>
              <w:spacing w:after="0"/>
              <w:rPr>
                <w:sz w:val="8"/>
                <w:szCs w:val="8"/>
                <w:color w:val="auto"/>
              </w:rPr>
            </w:pPr>
          </w:p>
        </w:tc>
        <w:tc>
          <w:tcPr>
            <w:tcW w:w="148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Performance-Based: 76,066.00</w:t>
            </w: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Performance-Based: 76,066.00</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580" w:type="dxa"/>
            <w:vAlign w:val="bottom"/>
            <w:tcBorders>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pursuant to the MIU Award Agreements</w:t>
            </w:r>
          </w:p>
        </w:tc>
        <w:tc>
          <w:tcPr>
            <w:tcW w:w="14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vMerge w:val="continue"/>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8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7"/>
                <w:szCs w:val="17"/>
                <w:color w:val="auto"/>
              </w:rPr>
              <w:t>Restricted Stock Units under the Definitive</w:t>
            </w:r>
          </w:p>
        </w:tc>
        <w:tc>
          <w:tcPr>
            <w:tcW w:w="148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September 14, 2021</w:t>
            </w:r>
          </w:p>
        </w:tc>
        <w:tc>
          <w:tcPr>
            <w:tcW w:w="34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7"/>
                <w:szCs w:val="17"/>
                <w:color w:val="auto"/>
              </w:rPr>
              <w:t>Time-Based: 17,189.00</w:t>
            </w:r>
          </w:p>
        </w:tc>
        <w:tc>
          <w:tcPr>
            <w:tcW w:w="238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7"/>
                <w:szCs w:val="17"/>
                <w:color w:val="auto"/>
              </w:rPr>
              <w:t>Time Based: 4,688.00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580" w:type="dxa"/>
            <w:vAlign w:val="bottom"/>
            <w:tcBorders>
              <w:right w:val="single" w:sz="8" w:color="auto"/>
            </w:tcBorders>
          </w:tcPr>
          <w:p>
            <w:pPr>
              <w:spacing w:after="0"/>
              <w:rPr>
                <w:sz w:val="3"/>
                <w:szCs w:val="3"/>
                <w:color w:val="auto"/>
              </w:rPr>
            </w:pPr>
          </w:p>
        </w:tc>
        <w:tc>
          <w:tcPr>
            <w:tcW w:w="3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Healthcare Corp. 2021 Equity Incentive Plan</w:t>
            </w:r>
          </w:p>
        </w:tc>
        <w:tc>
          <w:tcPr>
            <w:tcW w:w="1480" w:type="dxa"/>
            <w:vAlign w:val="bottom"/>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80" w:type="dxa"/>
            <w:vAlign w:val="bottom"/>
            <w:tcBorders>
              <w:right w:val="single" w:sz="8" w:color="auto"/>
            </w:tcBorders>
          </w:tcPr>
          <w:p>
            <w:pPr>
              <w:spacing w:after="0"/>
              <w:rPr>
                <w:sz w:val="19"/>
                <w:szCs w:val="19"/>
                <w:color w:val="auto"/>
              </w:rPr>
            </w:pPr>
          </w:p>
        </w:tc>
        <w:tc>
          <w:tcPr>
            <w:tcW w:w="3480" w:type="dxa"/>
            <w:vAlign w:val="bottom"/>
            <w:tcBorders>
              <w:bottom w:val="single" w:sz="8" w:color="auto"/>
              <w:right w:val="single" w:sz="8" w:color="auto"/>
            </w:tcBorders>
            <w:vMerge w:val="continue"/>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Performance-Based: 8,333.00</w:t>
            </w:r>
          </w:p>
        </w:tc>
        <w:tc>
          <w:tcPr>
            <w:tcW w:w="2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Performance-Based: 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0" w:type="dxa"/>
            <w:vAlign w:val="bottom"/>
            <w:tcBorders>
              <w:right w:val="single" w:sz="8" w:color="auto"/>
            </w:tcBorders>
          </w:tcPr>
          <w:p>
            <w:pPr>
              <w:spacing w:after="0"/>
              <w:rPr>
                <w:sz w:val="19"/>
                <w:szCs w:val="19"/>
                <w:color w:val="auto"/>
              </w:rPr>
            </w:pPr>
          </w:p>
        </w:tc>
        <w:tc>
          <w:tcPr>
            <w:tcW w:w="3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Borders>
              <w:right w:val="single" w:sz="8" w:color="auto"/>
            </w:tcBorders>
          </w:tcPr>
          <w:p>
            <w:pPr>
              <w:ind w:left="1880"/>
              <w:spacing w:after="0"/>
              <w:rPr>
                <w:sz w:val="20"/>
                <w:szCs w:val="20"/>
                <w:color w:val="auto"/>
              </w:rPr>
            </w:pPr>
            <w:r>
              <w:rPr>
                <w:rFonts w:ascii="Times New Roman" w:cs="Times New Roman" w:eastAsia="Times New Roman" w:hAnsi="Times New Roman"/>
                <w:sz w:val="17"/>
                <w:szCs w:val="17"/>
                <w:color w:val="auto"/>
              </w:rPr>
              <w:t>Total:</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112,702.00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80" w:type="dxa"/>
            <w:vAlign w:val="bottom"/>
            <w:tcBorders>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jc w:val="right"/>
              <w:ind w:right="154"/>
              <w:spacing w:after="0"/>
              <w:rPr>
                <w:sz w:val="20"/>
                <w:szCs w:val="20"/>
                <w:color w:val="auto"/>
              </w:rPr>
            </w:pPr>
            <w:r>
              <w:rPr>
                <w:rFonts w:ascii="Calibri" w:cs="Calibri" w:eastAsia="Calibri" w:hAnsi="Calibri"/>
                <w:sz w:val="13"/>
                <w:szCs w:val="13"/>
                <w:color w:val="auto"/>
              </w:rPr>
              <w:t>2</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8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ind w:right="40"/>
        <w:spacing w:after="0" w:line="255" w:lineRule="auto"/>
        <w:rPr>
          <w:sz w:val="20"/>
          <w:szCs w:val="20"/>
          <w:color w:val="auto"/>
        </w:rPr>
      </w:pPr>
      <w:r>
        <w:rPr>
          <w:rFonts w:ascii="Times New Roman" w:cs="Times New Roman" w:eastAsia="Times New Roman" w:hAnsi="Times New Roman"/>
          <w:sz w:val="17"/>
          <w:szCs w:val="17"/>
          <w:color w:val="auto"/>
        </w:rPr>
        <w:t>Any shares of Pubco stock that vest pursuant to this paragraph shall be settled and issued and delivered to you promptly, and in any event no later than 30 business days after the Separation Date, and such shares shall be subject to applicable tax withholding. To the extent that the Company is unable or does not fully withhold all required withholding tax on your behalf via net share issuance or otherwise, you shall be responsible for the payment or reimbursement necessary to satisfy such amounts. With respect to LLC units that result from the vesting of the awards under the MIU Award Agreements pursuant to this paragraph 7. You acknowledge that, as of the Separation Date, and after application of the acceleration set forth in this paragraph (subject to the terms and conditions set forth in this Agreement), you will have vested into the number of shares or other equity instruments subject to any Equity Awards and no more.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Equity Severance Benefit will be provided to you by the Company if and only if you:</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 sign this Agreement and return it to the Company in accordance with Paragraph 26 below, no later than 21 days after receipt of the Agreement;</w:t>
      </w:r>
    </w:p>
    <w:p>
      <w:pPr>
        <w:spacing w:after="0" w:line="210" w:lineRule="exact"/>
        <w:rPr>
          <w:sz w:val="20"/>
          <w:szCs w:val="20"/>
          <w:color w:val="auto"/>
        </w:rPr>
      </w:pPr>
    </w:p>
    <w:p>
      <w:pPr>
        <w:ind w:left="940" w:hanging="183"/>
        <w:spacing w:after="0"/>
        <w:tabs>
          <w:tab w:leader="none" w:pos="9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revoke your acceptance of this Agreement within the timeframe and otherwise in accordance with the terms set forth in Paragraph 26 below;</w:t>
      </w:r>
    </w:p>
    <w:p>
      <w:pPr>
        <w:spacing w:after="0" w:line="209" w:lineRule="exact"/>
        <w:rPr>
          <w:rFonts w:ascii="Times New Roman" w:cs="Times New Roman" w:eastAsia="Times New Roman" w:hAnsi="Times New Roman"/>
          <w:sz w:val="17"/>
          <w:szCs w:val="17"/>
          <w:color w:val="auto"/>
        </w:rPr>
      </w:pPr>
    </w:p>
    <w:p>
      <w:pPr>
        <w:ind w:left="980" w:hanging="223"/>
        <w:spacing w:after="0"/>
        <w:tabs>
          <w:tab w:leader="none" w:pos="9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voluntarily terminate your employment with the Company before December 31, 2022; and</w:t>
      </w:r>
    </w:p>
    <w:p>
      <w:pPr>
        <w:spacing w:after="0" w:line="209" w:lineRule="exact"/>
        <w:rPr>
          <w:rFonts w:ascii="Times New Roman" w:cs="Times New Roman" w:eastAsia="Times New Roman" w:hAnsi="Times New Roman"/>
          <w:sz w:val="17"/>
          <w:szCs w:val="17"/>
          <w:color w:val="auto"/>
        </w:rPr>
      </w:pPr>
    </w:p>
    <w:p>
      <w:pPr>
        <w:ind w:left="960" w:hanging="203"/>
        <w:spacing w:after="0"/>
        <w:tabs>
          <w:tab w:leader="none" w:pos="9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all of the terms of this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Together, the Non-Equity Severance Benefits and the Equity Severance Benefit are referred to as the “Severance Benefits.”</w:t>
      </w:r>
    </w:p>
    <w:p>
      <w:pPr>
        <w:spacing w:after="0" w:line="156" w:lineRule="exact"/>
        <w:rPr>
          <w:sz w:val="20"/>
          <w:szCs w:val="20"/>
          <w:color w:val="auto"/>
        </w:rPr>
      </w:pPr>
    </w:p>
    <w:p>
      <w:pPr>
        <w:ind w:firstLine="8"/>
        <w:spacing w:after="0" w:line="251" w:lineRule="auto"/>
        <w:tabs>
          <w:tab w:leader="none" w:pos="17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 of Company Property</w:t>
      </w:r>
      <w:r>
        <w:rPr>
          <w:rFonts w:ascii="Times New Roman" w:cs="Times New Roman" w:eastAsia="Times New Roman" w:hAnsi="Times New Roman"/>
          <w:sz w:val="17"/>
          <w:szCs w:val="17"/>
          <w:color w:val="auto"/>
        </w:rPr>
        <w:t>. You must return by the close of business on the Separation Date, all property and documents of the Company Group in your possession, custody or control, including, without limitation, all correspondence, drawings, manuals, letters, notes, notebooks, reports, programs, plans, proposals, financial documents, or any other documents containing any Confidential Information (as defined in Employment Agreement, dated February 1, 2021, between you and the Company (the “Employment Agreement”)) or otherwise concerning the Company Group’s customers, business plans, marketing strategies, products or processes, any Company Group-owned or issued cell phone, computer, tablet, printer, keyboard, mouse, monitor, laminator, customer gifts, marketing materials, stationery, instructional and policy manuals, mailing lists, computer software, financial and accounting records, reports and files, portable media and devices (such as flash drives, external hard drives, CDs, and DVDs) and any other physical or personal property which you obtained in the course of your employment by the Company, and you further agree not to retain copies of any such documents of the Company Group in any form, excluding publicly available documents and documents relating directly to your own compensation and employee benefits. You also represent that, to the extent you have possession or control of any electronic documents which contain any information relating to the business of the Company Group, you have identified such documents to the Company and delivered an identical copy of any or all such documents to the Company, and will follow the Company’s instructions regarding the permanent deletion of any or all such documents, or the preservation of any or all such documents for any potential use by the Company Group in the future.</w:t>
      </w:r>
    </w:p>
    <w:p>
      <w:pPr>
        <w:spacing w:after="0" w:line="179" w:lineRule="exact"/>
        <w:rPr>
          <w:rFonts w:ascii="Times New Roman" w:cs="Times New Roman" w:eastAsia="Times New Roman" w:hAnsi="Times New Roman"/>
          <w:sz w:val="17"/>
          <w:szCs w:val="17"/>
          <w:color w:val="auto"/>
        </w:rPr>
      </w:pPr>
    </w:p>
    <w:p>
      <w:pPr>
        <w:ind w:right="180" w:firstLine="8"/>
        <w:spacing w:after="0" w:line="259" w:lineRule="auto"/>
        <w:tabs>
          <w:tab w:leader="none" w:pos="17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Protection of Confidential Information</w:t>
      </w:r>
      <w:r>
        <w:rPr>
          <w:rFonts w:ascii="Times New Roman" w:cs="Times New Roman" w:eastAsia="Times New Roman" w:hAnsi="Times New Roman"/>
          <w:sz w:val="17"/>
          <w:szCs w:val="17"/>
          <w:color w:val="auto"/>
        </w:rPr>
        <w:t>. You acknowledge that in the course of your employment at the Company, you have had access to certain confidential information and trade secrets relating to the business affairs of the Company Group, including but not limited to Company financial information, and confidential payroll and human resources information concerning Company Group employees (“Confidential Information”). You agree to maintain the confidentiality of the Confidential Information and not disclose it to any third party.</w:t>
      </w:r>
    </w:p>
    <w:p>
      <w:pPr>
        <w:spacing w:after="0" w:line="168"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Release and Covenant Not to Sue</w:t>
      </w:r>
      <w:r>
        <w:rPr>
          <w:rFonts w:ascii="Times New Roman" w:cs="Times New Roman" w:eastAsia="Times New Roman" w:hAnsi="Times New Roman"/>
          <w:sz w:val="17"/>
          <w:szCs w:val="17"/>
          <w:color w:val="auto"/>
        </w:rPr>
        <w:t>.</w:t>
      </w:r>
    </w:p>
    <w:p>
      <w:pPr>
        <w:spacing w:after="0" w:line="209" w:lineRule="exact"/>
        <w:rPr>
          <w:rFonts w:ascii="Times New Roman" w:cs="Times New Roman" w:eastAsia="Times New Roman" w:hAnsi="Times New Roman"/>
          <w:sz w:val="17"/>
          <w:szCs w:val="17"/>
          <w:color w:val="auto"/>
        </w:rPr>
      </w:pPr>
    </w:p>
    <w:p>
      <w:pPr>
        <w:ind w:right="80" w:firstLine="74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Release and Covenant Not to Sue</w:t>
      </w:r>
      <w:r>
        <w:rPr>
          <w:rFonts w:ascii="Times New Roman" w:cs="Times New Roman" w:eastAsia="Times New Roman" w:hAnsi="Times New Roman"/>
          <w:sz w:val="17"/>
          <w:szCs w:val="17"/>
          <w:color w:val="auto"/>
        </w:rPr>
        <w:t>. Except as specifically set forth in this Agreement, in consideration and exchange for the Severance Benefits set forth above and other good and valuable consideration described herein, you, on behalf of yourself, your heirs, next of kin, executors, administrators, agents, representatives, attorneys and assigns, knowingly and voluntarily forever release and discharge the Company, and its respective past and present affiliates, subsidiaries, parent companies, predecessors, successors and assigns, and its and their respective past and present officers and, directors, employees, attorneys, fiduciaries, insurers, representatives and agents, both individually and in their business capacities (collectively, the “Releasees”), of and from, and waive any rights in and to, all claims, complaints, demands, contracts, grants, lawsuits, causes of action or expenses of any kind (including attorney’s fees and costs), (collectively,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“Claims”), whether known or unknown, that you now have or ever had against the Releasees or any of them</w:t>
      </w:r>
    </w:p>
    <w:p>
      <w:pPr>
        <w:jc w:val="center"/>
        <w:ind w:right="-19"/>
        <w:spacing w:after="0" w:line="228" w:lineRule="auto"/>
        <w:rPr>
          <w:sz w:val="20"/>
          <w:szCs w:val="20"/>
          <w:color w:val="auto"/>
        </w:rPr>
      </w:pPr>
      <w:r>
        <w:rPr>
          <w:rFonts w:ascii="Calibri" w:cs="Calibri" w:eastAsia="Calibri" w:hAnsi="Calibri"/>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3" w:name="page144"/>
    <w:bookmarkEnd w:id="143"/>
    <w:p>
      <w:pPr>
        <w:spacing w:after="0" w:line="250" w:lineRule="auto"/>
        <w:rPr>
          <w:sz w:val="20"/>
          <w:szCs w:val="20"/>
          <w:color w:val="auto"/>
        </w:rPr>
      </w:pPr>
      <w:r>
        <w:rPr>
          <w:rFonts w:ascii="Times New Roman" w:cs="Times New Roman" w:eastAsia="Times New Roman" w:hAnsi="Times New Roman"/>
          <w:sz w:val="17"/>
          <w:szCs w:val="17"/>
          <w:color w:val="auto"/>
        </w:rPr>
        <w:t>up to your signing this Agreement, including but not limited to Claims related to or arising from your employment with the Company and/or the termination thereof; Claims related to or arising from the Employment Agreement (including but not limited to Claims for severance benefits thereunder); Claims arising under common law; Claims for breach of contract and in tort; Claims for unpaid compensation, unpaid bonuses, equity or any employee benefits; Claims for attorney’s fees and costs; and Claims arising under federal, state or local labor law, employment laws and laws prohibiting employment discrimination (based on age, gender, race, religion, national origin, sexual orientation, disability, veteran status and other protected classes), including but not limited to: Title VII of the Civil Rights Act of 1964, the Equal Pay Act of 1963, the Fair Labor Standards Act of 1938, the Family and Medical Leave Act of 1993, the Employee Retirement Income Security Act of 1974, the Americans with Disabilities Act, the Families First Coronavirus Response Act (“FFCRA”), the Massachusetts Fair Employment Practices Act, the Massachusetts Civil Rights Act, the Massachusetts Overtime Law, the Massachusetts Weekly Payment of Wages Act, and the Massachusetts Earned Sick Time Law, or any other federal, state or local laws, regulations, rules, ordinances or orders related to employment or termination thereof, each as amended, and all related regulations, rules or orders, and similar federal, state or local statutes, regulations, rules or ordinances, including but not limited to the Massachusetts Fair Employment Practices Act, the Massachusetts Civil Rights Act, the Massachusetts Equal Rights Law, the Massachusetts Weekly Payment of Wages Act, Massachusetts Equal Pay Act, each as amended. You further covenant not to sue the Releasees, or any of them, for any Claims described above. For avoidance of doubt, this means that you have released the Releasees from liability from any Claims, and additionally, separately agree not to commence any legal action for any Claims described above. You understand that the release contained herein is a GENERAL RELEASE and acknowledge that the Severance Benefits and other benefits in this Agreement are sufficient consideration for your obligations and release in this Agreement. Notwithstanding the foregoing, this Release does not include, and you do not release and specifically reserve the following claims: i) continuation of existing participation in Company-sponsored group health benefit plans under COBRA; (ii) any benefit entitlements vested as of the Separation Date pursuant to the terms of a Company-sponsored benefit plan; (iii) violation of any federal, state or local statutory and/or public policy right or entitlement that, by applicable law, is not waivable; (iv) your rights to defense and indemnification for any claim made directly against you by a third party for conduct during your employment with the Company, under applicable by-laws, common law, or any applicable contract of insurance; and (v) rights to enforce this Agreement.</w:t>
      </w:r>
    </w:p>
    <w:p>
      <w:pPr>
        <w:spacing w:after="0" w:line="180" w:lineRule="exact"/>
        <w:rPr>
          <w:sz w:val="20"/>
          <w:szCs w:val="20"/>
          <w:color w:val="auto"/>
        </w:rPr>
      </w:pPr>
    </w:p>
    <w:p>
      <w:pPr>
        <w:ind w:right="20" w:firstLine="757"/>
        <w:spacing w:after="0" w:line="252" w:lineRule="auto"/>
        <w:tabs>
          <w:tab w:leader="none" w:pos="109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Acknowledgements</w:t>
      </w:r>
      <w:r>
        <w:rPr>
          <w:rFonts w:ascii="Times New Roman" w:cs="Times New Roman" w:eastAsia="Times New Roman" w:hAnsi="Times New Roman"/>
          <w:sz w:val="17"/>
          <w:szCs w:val="17"/>
          <w:color w:val="auto"/>
        </w:rPr>
        <w:t>. You acknowledge that with your final paycheck, you will have been paid any and all wages (including all base compensation and, if applicable, any and all overtime, commissions and bonuses) to which you are or were entitled by virtue of your employment with the Company, and that you are unaware of any facts or circumstances indicating that you may have an outstanding claim for unpaid wages, improper deductions from pay, or any violation of the Massachusetts Weekly Payment of Wages Act, or any other federal, state or local laws, regulations, rules, ordinances or orders that are related to payment of wages. You acknowledge that you have not suffered an injury in the workplace which has not been reported to the Company and are not aware of any facts or circumstances that would give rise to a claim that you suffered a workplace injury. You acknowledge that you have received any leaves of absence and any reasonable accommodations to which you were entitled under the Family and Medical Leave Act, the Americans with Disabilities Act, the FFCRA, the Massachusetts Domestic Violence Leave Act, the Massachusetts Earned Sick Time Law, the Massachusetts Small Necessities Leave Act, the Massachusetts Parental Leave Act, or any other laws, regulations, rules or ordinances relating to medical leaves and accommodations and are not aware of any facts or circumstances that would give rise to a claim that you were denied any rights under such laws, regulations, rules or ordinances.</w:t>
      </w:r>
    </w:p>
    <w:p>
      <w:pPr>
        <w:spacing w:after="0" w:line="174" w:lineRule="exact"/>
        <w:rPr>
          <w:rFonts w:ascii="Times New Roman" w:cs="Times New Roman" w:eastAsia="Times New Roman" w:hAnsi="Times New Roman"/>
          <w:sz w:val="17"/>
          <w:szCs w:val="17"/>
          <w:color w:val="auto"/>
        </w:rPr>
      </w:pPr>
    </w:p>
    <w:p>
      <w:pPr>
        <w:ind w:right="60" w:firstLine="757"/>
        <w:spacing w:after="0" w:line="255" w:lineRule="auto"/>
        <w:tabs>
          <w:tab w:leader="none" w:pos="109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Excepted Activity</w:t>
      </w:r>
      <w:r>
        <w:rPr>
          <w:rFonts w:ascii="Times New Roman" w:cs="Times New Roman" w:eastAsia="Times New Roman" w:hAnsi="Times New Roman"/>
          <w:sz w:val="17"/>
          <w:szCs w:val="17"/>
          <w:color w:val="auto"/>
        </w:rPr>
        <w:t>. Nothing in this Agreement shall prohibit you from filing a charge with the Equal Employment Opportunity Commission (“EEOC”) or with any other federal, state or local government agency, including the National Labor Relations Board (“NLRB”) or from participating in an investigation or proceeding of the EEOC or other federal, state or local government agency, including the NLRB; provided that, if you file charges or participate in any investigation or proceeding before any such government agency, to the fullest extent permitted by law, you waive the right to any personal monetary recovery or other personal relief should the EEOC or any other federal, state or local government agency pursue any class or individual charges in part or entirely on your behalf, on the basis that any such Claims have been fully and completely satisfied by the payments you are receiving under this Agreement.</w:t>
      </w:r>
    </w:p>
    <w:p>
      <w:pPr>
        <w:spacing w:after="0" w:line="171" w:lineRule="exact"/>
        <w:rPr>
          <w:rFonts w:ascii="Times New Roman" w:cs="Times New Roman" w:eastAsia="Times New Roman" w:hAnsi="Times New Roman"/>
          <w:sz w:val="17"/>
          <w:szCs w:val="17"/>
          <w:color w:val="auto"/>
        </w:rPr>
      </w:pPr>
    </w:p>
    <w:p>
      <w:pPr>
        <w:ind w:firstLine="8"/>
        <w:spacing w:after="0" w:line="252" w:lineRule="auto"/>
        <w:tabs>
          <w:tab w:leader="none" w:pos="25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Protected Activities</w:t>
      </w:r>
      <w:r>
        <w:rPr>
          <w:rFonts w:ascii="Times New Roman" w:cs="Times New Roman" w:eastAsia="Times New Roman" w:hAnsi="Times New Roman"/>
          <w:sz w:val="17"/>
          <w:szCs w:val="17"/>
          <w:color w:val="auto"/>
        </w:rPr>
        <w:t>. You acknowledge that neither this Agreement nor any other agreement or policy of the Company or its affiliates shall be construed or applied in a manner which limits or interferes with your right, without notice to or authorization of the Company to communicate and cooperate in good faith with a government agency for the purpose of (i) reporting a possible violation of any U.S. federal, state, or local law or regulation, (ii) participating in any investigation or proceeding that may be conducted or managed by any government agency, including by providing documents or other information, or (iii) filing a charge or complaint with a government agency. Additionally, you shall not be held criminally or civilly liable under any federal or state trade secret law for the disclosure of a trade secret that is made (a) in confidence to a federal, state, or local government official, or to an attorney, solely for the purpose of reporting or investigating a</w:t>
      </w:r>
    </w:p>
    <w:p>
      <w:pPr>
        <w:jc w:val="center"/>
        <w:ind w:right="-19"/>
        <w:spacing w:after="0" w:line="219" w:lineRule="auto"/>
        <w:rPr>
          <w:sz w:val="20"/>
          <w:szCs w:val="20"/>
          <w:color w:val="auto"/>
        </w:rPr>
      </w:pPr>
      <w:r>
        <w:rPr>
          <w:rFonts w:ascii="Calibri" w:cs="Calibri" w:eastAsia="Calibri" w:hAnsi="Calibri"/>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4" w:name="page145"/>
    <w:bookmarkEnd w:id="144"/>
    <w:p>
      <w:pPr>
        <w:ind w:right="60"/>
        <w:spacing w:after="0" w:line="253" w:lineRule="auto"/>
        <w:rPr>
          <w:sz w:val="20"/>
          <w:szCs w:val="20"/>
          <w:color w:val="auto"/>
        </w:rPr>
      </w:pPr>
      <w:r>
        <w:rPr>
          <w:rFonts w:ascii="Times New Roman" w:cs="Times New Roman" w:eastAsia="Times New Roman" w:hAnsi="Times New Roman"/>
          <w:sz w:val="17"/>
          <w:szCs w:val="17"/>
          <w:color w:val="auto"/>
        </w:rPr>
        <w:t>suspected violation of law, (b) in a complaint or other document filed in a lawsuit or other proceeding, if such filing is made under seal; or (c) in court proceedings if you file a lawsuit for retaliation by an employer for reporting a suspected violation of law, or to your attorney in such lawsuit, provided that you must file any document containing the trade secret under seal, and you may not disclose the trade secret, except pursuant to court order. Notwithstanding the foregoing, in accordance with the standards set forth in 17 C.F.R. § 240.21F-4(b)(4), you shall not be authorized to make any disclosures as to which the Company and/or its affiliates may reasonably assert protections from disclosure under the attorney-client privilege or the attorney work product doctrine, without prior written consent of an authorized officer designated by the Company, provided, however, that you may, without authorization from the Company, disclose information to a government agency to the extent permitted under 17 C.F.R. § 205.3(d)(2), applicable state attorney conduct rules, or any other law or regulation permitting disclosure of such otherwise privileged communications.</w:t>
      </w:r>
    </w:p>
    <w:p>
      <w:pPr>
        <w:spacing w:after="0" w:line="174" w:lineRule="exact"/>
        <w:rPr>
          <w:sz w:val="20"/>
          <w:szCs w:val="20"/>
          <w:color w:val="auto"/>
        </w:rPr>
      </w:pPr>
    </w:p>
    <w:p>
      <w:pPr>
        <w:jc w:val="both"/>
        <w:ind w:right="40" w:firstLine="8"/>
        <w:spacing w:after="0" w:line="255" w:lineRule="auto"/>
        <w:tabs>
          <w:tab w:leader="none" w:pos="25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Restrictive Covenants</w:t>
      </w:r>
      <w:r>
        <w:rPr>
          <w:rFonts w:ascii="Times New Roman" w:cs="Times New Roman" w:eastAsia="Times New Roman" w:hAnsi="Times New Roman"/>
          <w:sz w:val="17"/>
          <w:szCs w:val="17"/>
          <w:color w:val="auto"/>
        </w:rPr>
        <w:t>. This Agreement does not amend, modify, waive, or affect in any way the Company’s and/or its affiliates’ rights or your obligations under the Employment Agreement, and you acknowledge and agree that such rights and obligations shall survive and continue in full force and effect after the Separation Date for the periods provided in the Employment Agreement. Unless, until (and then, only to the extent) that the Company publicly discloses the terms of this Agreement with the Securities and Exchange Commission, you further agree to maintain the terms of this Agreement confidential unless otherwise required by law; provided, however, that you may disclose the terms of this Agreement to your spouse and immediate family members living in the same house and to your and your spouse’s attorneys, accountants, financial or tax advisors.</w:t>
      </w:r>
    </w:p>
    <w:p>
      <w:pPr>
        <w:spacing w:after="0" w:line="171" w:lineRule="exact"/>
        <w:rPr>
          <w:rFonts w:ascii="Times New Roman" w:cs="Times New Roman" w:eastAsia="Times New Roman" w:hAnsi="Times New Roman"/>
          <w:sz w:val="17"/>
          <w:szCs w:val="17"/>
          <w:color w:val="auto"/>
        </w:rPr>
      </w:pPr>
    </w:p>
    <w:p>
      <w:pPr>
        <w:ind w:firstLine="8"/>
        <w:spacing w:after="0" w:line="254" w:lineRule="auto"/>
        <w:tabs>
          <w:tab w:leader="none" w:pos="25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Non-Disparagement</w:t>
      </w:r>
      <w:r>
        <w:rPr>
          <w:rFonts w:ascii="Times New Roman" w:cs="Times New Roman" w:eastAsia="Times New Roman" w:hAnsi="Times New Roman"/>
          <w:sz w:val="17"/>
          <w:szCs w:val="17"/>
          <w:color w:val="auto"/>
        </w:rPr>
        <w:t>: You will not make any statement, written or verbal, to any person or entity, including in any forum or media, or take any action, negative to or in disparagement of the Company Group, or any of their respective directors, officers, or employees (each, a “Company Party”) or take any other action that may disparage any Company Party to the general public. The Company shall instruct those of its officers and other employees whom it informs of the terms of this Agreement not to disparage you. In the event that the Company’s Human Resources Department receives an inquiry regarding your employment, a representative of the Company’s Human Resources Department shall respond by confirming your dates of employment, position held with the Company, and stating that it is Company’s policy not to divulge any further information. Notwithstanding anything in this provision to the contrary, you and the Company may accurately and fully respond to any question, inquiry, or request for information when required by legal process.</w:t>
      </w:r>
    </w:p>
    <w:p>
      <w:pPr>
        <w:spacing w:after="0" w:line="171" w:lineRule="exact"/>
        <w:rPr>
          <w:rFonts w:ascii="Times New Roman" w:cs="Times New Roman" w:eastAsia="Times New Roman" w:hAnsi="Times New Roman"/>
          <w:sz w:val="17"/>
          <w:szCs w:val="17"/>
          <w:color w:val="auto"/>
        </w:rPr>
      </w:pPr>
    </w:p>
    <w:p>
      <w:pPr>
        <w:ind w:right="220" w:firstLine="8"/>
        <w:spacing w:after="0" w:line="259" w:lineRule="auto"/>
        <w:tabs>
          <w:tab w:leader="none" w:pos="25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Acknowledgments</w:t>
      </w:r>
      <w:r>
        <w:rPr>
          <w:rFonts w:ascii="Times New Roman" w:cs="Times New Roman" w:eastAsia="Times New Roman" w:hAnsi="Times New Roman"/>
          <w:sz w:val="17"/>
          <w:szCs w:val="17"/>
          <w:color w:val="auto"/>
        </w:rPr>
        <w:t>. You acknowledge that you were an employee at-will, that the Company does not need any reason to terminate your employment. You understand and agree that by entering into this Agreement, you are waiving any and all rights or claims you might have under the Age Discrimination in Employment Act, as amended by the Older Workers Benefit Protection Act, and that you have received consideration beyond that to which you were previously entitled.</w:t>
      </w:r>
    </w:p>
    <w:p>
      <w:pPr>
        <w:spacing w:after="0" w:line="168"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Advice of Counsel</w:t>
      </w:r>
      <w:r>
        <w:rPr>
          <w:rFonts w:ascii="Times New Roman" w:cs="Times New Roman" w:eastAsia="Times New Roman" w:hAnsi="Times New Roman"/>
          <w:sz w:val="17"/>
          <w:szCs w:val="17"/>
          <w:color w:val="auto"/>
        </w:rPr>
        <w:t>. You are advised to consult with an attorney before signing this Agreement.</w:t>
      </w:r>
    </w:p>
    <w:p>
      <w:pPr>
        <w:spacing w:after="0" w:line="209" w:lineRule="exact"/>
        <w:rPr>
          <w:rFonts w:ascii="Times New Roman" w:cs="Times New Roman" w:eastAsia="Times New Roman" w:hAnsi="Times New Roman"/>
          <w:sz w:val="17"/>
          <w:szCs w:val="17"/>
          <w:color w:val="auto"/>
        </w:rPr>
      </w:pPr>
    </w:p>
    <w:p>
      <w:pPr>
        <w:ind w:right="420" w:firstLine="8"/>
        <w:spacing w:after="0" w:line="281" w:lineRule="auto"/>
        <w:tabs>
          <w:tab w:leader="none" w:pos="25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 Party Beneficiaries</w:t>
      </w:r>
      <w:r>
        <w:rPr>
          <w:rFonts w:ascii="Times New Roman" w:cs="Times New Roman" w:eastAsia="Times New Roman" w:hAnsi="Times New Roman"/>
          <w:sz w:val="17"/>
          <w:szCs w:val="17"/>
          <w:color w:val="auto"/>
        </w:rPr>
        <w:t>. You agree that the affiliates of the Company shall be third party beneficiaries of your obligations under this Agreement that are applicable to such affiliates.</w:t>
      </w:r>
    </w:p>
    <w:p>
      <w:pPr>
        <w:spacing w:after="0" w:line="149" w:lineRule="exact"/>
        <w:rPr>
          <w:rFonts w:ascii="Times New Roman" w:cs="Times New Roman" w:eastAsia="Times New Roman" w:hAnsi="Times New Roman"/>
          <w:sz w:val="17"/>
          <w:szCs w:val="17"/>
          <w:color w:val="auto"/>
        </w:rPr>
      </w:pPr>
    </w:p>
    <w:p>
      <w:pPr>
        <w:ind w:right="60" w:firstLine="8"/>
        <w:spacing w:after="0" w:line="281" w:lineRule="auto"/>
        <w:tabs>
          <w:tab w:leader="none" w:pos="25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Admission of Wrongdoing</w:t>
      </w:r>
      <w:r>
        <w:rPr>
          <w:rFonts w:ascii="Times New Roman" w:cs="Times New Roman" w:eastAsia="Times New Roman" w:hAnsi="Times New Roman"/>
          <w:sz w:val="17"/>
          <w:szCs w:val="17"/>
          <w:color w:val="auto"/>
        </w:rPr>
        <w:t>: Neither by offering to make nor by making this Agreement does either party admit any failure of performance, wrongdoing, or violation of law.</w:t>
      </w:r>
    </w:p>
    <w:p>
      <w:pPr>
        <w:spacing w:after="0" w:line="149" w:lineRule="exact"/>
        <w:rPr>
          <w:rFonts w:ascii="Times New Roman" w:cs="Times New Roman" w:eastAsia="Times New Roman" w:hAnsi="Times New Roman"/>
          <w:sz w:val="17"/>
          <w:szCs w:val="17"/>
          <w:color w:val="auto"/>
        </w:rPr>
      </w:pPr>
    </w:p>
    <w:p>
      <w:pPr>
        <w:ind w:right="40" w:firstLine="51"/>
        <w:spacing w:after="0" w:line="255" w:lineRule="auto"/>
        <w:tabs>
          <w:tab w:leader="none" w:pos="299"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 Amendments; Successors and Assigns</w:t>
      </w:r>
      <w:r>
        <w:rPr>
          <w:rFonts w:ascii="Times New Roman" w:cs="Times New Roman" w:eastAsia="Times New Roman" w:hAnsi="Times New Roman"/>
          <w:sz w:val="17"/>
          <w:szCs w:val="17"/>
          <w:color w:val="auto"/>
        </w:rPr>
        <w:t>. This Agreement sets forth the entire understanding of the parties and supersedes any and all prior agreements, oral or written, relating to your employment by the Company or the termination of your employment, provided, however, that Paragraphs 5 -7, 13, 15 and 19-23 of the Employment Agreement shall continue in full force and effect after the Separation Date. This Agreement may not be modified except by a writing, signed by you and by a duly authorized officer of the Company. This Agreement shall be binding upon your heirs and personal representatives, and the successors and assigns of the Company. You acknowledge that in entering into this Agreement, you are not relying upon any representation that is not specified in this Agreement, including without limitation any representations concerning future employment or additional payments.</w:t>
      </w:r>
    </w:p>
    <w:p>
      <w:pPr>
        <w:spacing w:after="0" w:line="171" w:lineRule="exact"/>
        <w:rPr>
          <w:rFonts w:ascii="Times New Roman" w:cs="Times New Roman" w:eastAsia="Times New Roman" w:hAnsi="Times New Roman"/>
          <w:sz w:val="17"/>
          <w:szCs w:val="17"/>
          <w:color w:val="auto"/>
        </w:rPr>
      </w:pPr>
    </w:p>
    <w:p>
      <w:pPr>
        <w:ind w:right="600" w:firstLine="51"/>
        <w:spacing w:after="0" w:line="281" w:lineRule="auto"/>
        <w:tabs>
          <w:tab w:leader="none" w:pos="299"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Should any provision of this Agreement be declared or be determined by a Massachusetts court to be illegal or invalid, the validity of the remaining provisions shall not be affected thereby. Such illegal or invalid provision shall be deemed not to be part of this Agreement.</w:t>
      </w:r>
    </w:p>
    <w:p>
      <w:pPr>
        <w:spacing w:after="0" w:line="150" w:lineRule="exact"/>
        <w:rPr>
          <w:sz w:val="20"/>
          <w:szCs w:val="20"/>
          <w:color w:val="auto"/>
        </w:rPr>
      </w:pPr>
    </w:p>
    <w:p>
      <w:pPr>
        <w:ind w:right="40" w:firstLine="8"/>
        <w:spacing w:after="0" w:line="256" w:lineRule="auto"/>
        <w:tabs>
          <w:tab w:leader="none" w:pos="25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Jurisdiction and Venue</w:t>
      </w:r>
      <w:r>
        <w:rPr>
          <w:rFonts w:ascii="Times New Roman" w:cs="Times New Roman" w:eastAsia="Times New Roman" w:hAnsi="Times New Roman"/>
          <w:sz w:val="17"/>
          <w:szCs w:val="17"/>
          <w:color w:val="auto"/>
        </w:rPr>
        <w:t>. This Agreement shall be governed by and construed in accordance with the laws of the Commonwealth of Massachusetts without regard to its choice of law rules. Any action or proceeding by either you or the Company to enforce this Agreement shall be brought in any state or federal court in Middlesex or Suffolk</w:t>
      </w:r>
    </w:p>
    <w:p>
      <w:pPr>
        <w:jc w:val="center"/>
        <w:ind w:right="-59"/>
        <w:spacing w:after="0" w:line="217" w:lineRule="auto"/>
        <w:rPr>
          <w:sz w:val="20"/>
          <w:szCs w:val="20"/>
          <w:color w:val="auto"/>
        </w:rPr>
      </w:pPr>
      <w:r>
        <w:rPr>
          <w:rFonts w:ascii="Calibri" w:cs="Calibri" w:eastAsia="Calibri" w:hAnsi="Calibri"/>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45" w:name="page146"/>
    <w:bookmarkEnd w:id="145"/>
    <w:p>
      <w:pPr>
        <w:ind w:right="80"/>
        <w:spacing w:after="0" w:line="281" w:lineRule="auto"/>
        <w:rPr>
          <w:sz w:val="20"/>
          <w:szCs w:val="20"/>
          <w:color w:val="auto"/>
        </w:rPr>
      </w:pPr>
      <w:r>
        <w:rPr>
          <w:rFonts w:ascii="Times New Roman" w:cs="Times New Roman" w:eastAsia="Times New Roman" w:hAnsi="Times New Roman"/>
          <w:sz w:val="17"/>
          <w:szCs w:val="17"/>
          <w:color w:val="auto"/>
        </w:rPr>
        <w:t>County, Massachusetts. You and the Company hereby irrevocably submit to the exclusive jurisdiction of these courts and waive the defense of inconvenient forum to the maintenance of any action or proceeding in such venue.</w:t>
      </w:r>
    </w:p>
    <w:p>
      <w:pPr>
        <w:spacing w:after="0" w:line="150" w:lineRule="exact"/>
        <w:rPr>
          <w:sz w:val="20"/>
          <w:szCs w:val="20"/>
          <w:color w:val="auto"/>
        </w:rPr>
      </w:pPr>
    </w:p>
    <w:p>
      <w:pPr>
        <w:jc w:val="both"/>
        <w:ind w:right="200" w:firstLine="8"/>
        <w:spacing w:after="0" w:line="265" w:lineRule="auto"/>
        <w:tabs>
          <w:tab w:leader="none" w:pos="25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NOTWITHSTANDING ANY OTHER PROVISION IN THIS AGREEMENT, YOU AND THE COMPANY SHALL, AND HEREBY DO, IRREVOCABLY WAIVE THE RIGHT TO TRIAL BY JURY WITH RESPECT TO ANY DISPUTE. IN ADDITION, YOU SHALL, AND HEREBY DO, IRREVOCABLY WAIVE THE RIGHT TO PARTICIPATE IN ANY CLASS OR COLLECTIVE ACTION WITH RESPECT TO ANY DISPUTE.</w:t>
      </w:r>
    </w:p>
    <w:p>
      <w:pPr>
        <w:spacing w:after="0" w:line="16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Voluntary Agreement</w:t>
      </w:r>
      <w:r>
        <w:rPr>
          <w:rFonts w:ascii="Times New Roman" w:cs="Times New Roman" w:eastAsia="Times New Roman" w:hAnsi="Times New Roman"/>
          <w:sz w:val="17"/>
          <w:szCs w:val="17"/>
          <w:color w:val="auto"/>
        </w:rPr>
        <w:t>. You acknowledge that before entering into this Agreement, you have had the opportunity to consult with any attorney or other advisor of your choice. You further acknowledge that you have entered into this Agreement of your own free will, and that no promises or representations have been made to you by any person to induce you to enter into this Agreement other than the express terms set forth herein. You further acknowledge that you have read this Agreement and understand all of its terms, including the waiver and release of claims set forth in Paragraph 10 above.</w:t>
      </w:r>
    </w:p>
    <w:p>
      <w:pPr>
        <w:spacing w:after="0" w:line="169" w:lineRule="exact"/>
        <w:rPr>
          <w:sz w:val="20"/>
          <w:szCs w:val="20"/>
          <w:color w:val="auto"/>
        </w:rPr>
      </w:pPr>
    </w:p>
    <w:p>
      <w:pPr>
        <w:ind w:right="100" w:firstLine="8"/>
        <w:spacing w:after="0" w:line="259" w:lineRule="auto"/>
        <w:tabs>
          <w:tab w:leader="none" w:pos="25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xml:space="preserve">: This Agreement may be executed in one or more counterparts, each of which will be deemed to be an original copy of this Agreement and all of which, when taken together, will be deemed to constitute one and the same Agreement. Counterparts may be delivered via facsimile, electronic mail (including PDF or any electronic signature complying with the U.S. federal ESIGN Act of 2000, e.g., </w:t>
      </w:r>
      <w:r>
        <w:rPr>
          <w:rFonts w:ascii="Times New Roman" w:cs="Times New Roman" w:eastAsia="Times New Roman" w:hAnsi="Times New Roman"/>
          <w:sz w:val="17"/>
          <w:szCs w:val="17"/>
          <w:u w:val="single" w:color="auto"/>
          <w:color w:val="4472C4"/>
        </w:rPr>
        <w:t>www.docusign.com</w:t>
      </w:r>
      <w:r>
        <w:rPr>
          <w:rFonts w:ascii="Times New Roman" w:cs="Times New Roman" w:eastAsia="Times New Roman" w:hAnsi="Times New Roman"/>
          <w:sz w:val="17"/>
          <w:szCs w:val="17"/>
          <w:color w:val="auto"/>
        </w:rPr>
        <w:t>) or other transmission method, and any counterpart so delivered shall be deemed to have been duly and validly delivered and be valid and effective for all purposes.</w:t>
      </w:r>
    </w:p>
    <w:p>
      <w:pPr>
        <w:spacing w:after="0" w:line="168" w:lineRule="exact"/>
        <w:rPr>
          <w:rFonts w:ascii="Times New Roman" w:cs="Times New Roman" w:eastAsia="Times New Roman" w:hAnsi="Times New Roman"/>
          <w:sz w:val="17"/>
          <w:szCs w:val="17"/>
          <w:color w:val="auto"/>
        </w:rPr>
      </w:pPr>
    </w:p>
    <w:p>
      <w:pPr>
        <w:ind w:right="160" w:firstLine="8"/>
        <w:spacing w:after="0" w:line="265" w:lineRule="auto"/>
        <w:tabs>
          <w:tab w:leader="none" w:pos="25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Cooperation</w:t>
      </w:r>
      <w:r>
        <w:rPr>
          <w:rFonts w:ascii="Times New Roman" w:cs="Times New Roman" w:eastAsia="Times New Roman" w:hAnsi="Times New Roman"/>
          <w:sz w:val="17"/>
          <w:szCs w:val="17"/>
          <w:color w:val="auto"/>
        </w:rPr>
        <w:t>. After the Separation Date, you agree to cooperate reasonably with the Company with respect to all matters arising during or related to your employment, including, but not limited to, all matters (formal or informal) in connection with any litigation (potential or ongoing) or other proceeding which may have arisen prior to or which may arise following the signing of this Agreement.</w:t>
      </w:r>
    </w:p>
    <w:p>
      <w:pPr>
        <w:spacing w:after="0" w:line="162" w:lineRule="exact"/>
        <w:rPr>
          <w:rFonts w:ascii="Times New Roman" w:cs="Times New Roman" w:eastAsia="Times New Roman" w:hAnsi="Times New Roman"/>
          <w:sz w:val="17"/>
          <w:szCs w:val="17"/>
          <w:color w:val="auto"/>
        </w:rPr>
      </w:pPr>
    </w:p>
    <w:p>
      <w:pPr>
        <w:ind w:firstLine="8"/>
        <w:spacing w:after="0" w:line="252" w:lineRule="auto"/>
        <w:tabs>
          <w:tab w:leader="none" w:pos="25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This Agreement is intended to comply with Section 409A of the Internal Revenue Code of 1986, as amended (“Section 409A”),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maximum extent possible. For purposes of Section 409A, any installment payments provided under this Agreement shall each be treated as a separate payment. To the extent required under Section 409A, any payments to be made under this Agreement in connection with a termination of employment shall only be made if such termination constitutes a “separation from service” under Section 409A. Notwithstanding the foregoing, the Company and its affiliates make no representations that the payments and benefits provided under this Agreement comply with Section 409A and in no event shall the Company or its affiliates be liable for all or any portion of any taxes, penalties, interest, or other expenses that may be incurred by you on account of non-compliance with Section 409A.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Opportunity to Consider and Right to</w:t>
      </w:r>
    </w:p>
    <w:p>
      <w:pPr>
        <w:spacing w:after="0" w:line="25" w:lineRule="exact"/>
        <w:rPr>
          <w:sz w:val="20"/>
          <w:szCs w:val="20"/>
          <w:color w:val="auto"/>
        </w:rPr>
      </w:pPr>
    </w:p>
    <w:p>
      <w:pPr>
        <w:ind w:right="200" w:firstLine="8"/>
        <w:spacing w:after="0" w:line="249" w:lineRule="auto"/>
        <w:tabs>
          <w:tab w:leader="none" w:pos="25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Opportunity to Consider and Right to </w:t>
      </w:r>
      <w:r>
        <w:rPr>
          <w:rFonts w:ascii="Times New Roman" w:cs="Times New Roman" w:eastAsia="Times New Roman" w:hAnsi="Times New Roman"/>
          <w:sz w:val="17"/>
          <w:szCs w:val="17"/>
          <w:u w:val="single" w:color="auto"/>
          <w:color w:val="auto"/>
        </w:rPr>
        <w:t>Revoke</w:t>
      </w:r>
      <w:r>
        <w:rPr>
          <w:rFonts w:ascii="Times New Roman" w:cs="Times New Roman" w:eastAsia="Times New Roman" w:hAnsi="Times New Roman"/>
          <w:sz w:val="17"/>
          <w:szCs w:val="17"/>
          <w:color w:val="auto"/>
        </w:rPr>
        <w:t xml:space="preserve">. You have twenty-one (21) days in which to consider and accept the terms of this Agreement by signing below and returning it to the Company. You may choose to accept this Agreement sooner than the twenty-one (21) days provided. If you do not sign and return this Agreement to the Company, by delivering it by Federal Express or email, to Tom Penque, Chief Talent Officer, Definitive Healthcare, LLC, 492 Old Connecticut Path, Framingham MA 01701, </w:t>
      </w:r>
      <w:r>
        <w:rPr>
          <w:rFonts w:ascii="Times New Roman" w:cs="Times New Roman" w:eastAsia="Times New Roman" w:hAnsi="Times New Roman"/>
          <w:sz w:val="17"/>
          <w:szCs w:val="17"/>
          <w:u w:val="single" w:color="auto"/>
          <w:color w:val="4472C4"/>
        </w:rPr>
        <w:t>tpenque@definitivehc.com</w:t>
      </w:r>
      <w:r>
        <w:rPr>
          <w:rFonts w:ascii="Times New Roman" w:cs="Times New Roman" w:eastAsia="Times New Roman" w:hAnsi="Times New Roman"/>
          <w:sz w:val="17"/>
          <w:szCs w:val="17"/>
          <w:color w:val="auto"/>
        </w:rPr>
        <w:t>, by the end of that twenty-one (21) day period, the offer of Severance Benefits described above will expire. You have the right to revoke this Agreement within seven (7) days of the date you sign it. Unless you revoke your acceptance within seven (7) days of signing this Agreement, the eighth day after the Company receives a signed copy of this Agreement shall be deemed the effective date of this Agreement. To be effective, any revocation hereunder must be in writing, delivered by Federal Express or email, and received by Tom Penque, Chief Talent Officer, Definitive Healthcare, LLC, 492 Old Connecticut Path, Framingham MA 01701, tpenque@definitivehc.com. You agree that any changes or revisions to this Agreement, whether material or not, made prior to its execution by you will not restart the review period for this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acknowledge your acceptance of the terms of this Agreement signing below.</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Calibri" w:cs="Calibri" w:eastAsia="Calibri" w:hAnsi="Calibri"/>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Definitive Healthcare, LLC</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Robert Musslewhite</w:t>
      </w:r>
      <w:r>
        <w:rPr>
          <w:rFonts w:ascii="Times New Roman" w:cs="Times New Roman" w:eastAsia="Times New Roman" w:hAnsi="Times New Roman"/>
          <w:sz w:val="17"/>
          <w:szCs w:val="17"/>
          <w:color w:val="auto"/>
        </w:rPr>
        <w:t>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Robert Musslewhite, CEO</w:t>
      </w:r>
    </w:p>
    <w:p>
      <w:pPr>
        <w:spacing w:after="0" w:line="1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 have read and understood all of the terms of this Agreement. I have been advised to consult with an attorney. I hereby agree to the terms and conditions set forth above. I intend that this Agreement become a binding agreement between Definitive Healthcare, LLC and me.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_/s/ David Samuels</w:t>
      </w:r>
      <w:r>
        <w:rPr>
          <w:rFonts w:ascii="Times New Roman" w:cs="Times New Roman" w:eastAsia="Times New Roman" w:hAnsi="Times New Roman"/>
          <w:sz w:val="17"/>
          <w:szCs w:val="17"/>
          <w:color w:val="auto"/>
        </w:rPr>
        <w:t>______________________________________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David Samuels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Dated: </w:t>
      </w:r>
      <w:r>
        <w:rPr>
          <w:rFonts w:ascii="Times New Roman" w:cs="Times New Roman" w:eastAsia="Times New Roman" w:hAnsi="Times New Roman"/>
          <w:sz w:val="17"/>
          <w:szCs w:val="17"/>
          <w:u w:val="single" w:color="auto"/>
          <w:color w:val="auto"/>
        </w:rPr>
        <w:t>11/1/2022</w:t>
      </w:r>
      <w:r>
        <w:rPr>
          <w:rFonts w:ascii="Times New Roman" w:cs="Times New Roman" w:eastAsia="Times New Roman" w:hAnsi="Times New Roman"/>
          <w:sz w:val="17"/>
          <w:szCs w:val="17"/>
          <w:color w:val="auto"/>
        </w:rPr>
        <w:t>_________</w:t>
      </w:r>
    </w:p>
    <w:p>
      <w:pPr>
        <w:spacing w:after="0" w:line="10" w:lineRule="exact"/>
        <w:rPr>
          <w:sz w:val="20"/>
          <w:szCs w:val="20"/>
          <w:color w:val="auto"/>
        </w:rPr>
      </w:pPr>
    </w:p>
    <w:p>
      <w:pPr>
        <w:jc w:val="center"/>
        <w:ind w:right="-179"/>
        <w:spacing w:after="0"/>
        <w:rPr>
          <w:sz w:val="20"/>
          <w:szCs w:val="20"/>
          <w:color w:val="auto"/>
        </w:rPr>
      </w:pPr>
      <w:r>
        <w:rPr>
          <w:rFonts w:ascii="Calibri" w:cs="Calibri" w:eastAsia="Calibri" w:hAnsi="Calibri"/>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B4949"/>
        </w:rPr>
        <w:t>February 3</w:t>
      </w:r>
      <w:r>
        <w:rPr>
          <w:rFonts w:ascii="Times New Roman" w:cs="Times New Roman" w:eastAsia="Times New Roman" w:hAnsi="Times New Roman"/>
          <w:sz w:val="26"/>
          <w:szCs w:val="26"/>
          <w:color w:val="4B4949"/>
          <w:vertAlign w:val="superscript"/>
        </w:rPr>
        <w:t>rd</w:t>
      </w:r>
      <w:r>
        <w:rPr>
          <w:rFonts w:ascii="Times New Roman" w:cs="Times New Roman" w:eastAsia="Times New Roman" w:hAnsi="Times New Roman"/>
          <w:sz w:val="20"/>
          <w:szCs w:val="20"/>
          <w:color w:val="4B4949"/>
        </w:rPr>
        <w:t>, 2015 Dear Kate:</w:t>
      </w:r>
    </w:p>
    <w:p>
      <w:pPr>
        <w:ind w:left="20" w:right="220" w:firstLine="1"/>
        <w:spacing w:after="0" w:line="246" w:lineRule="auto"/>
        <w:rPr>
          <w:sz w:val="20"/>
          <w:szCs w:val="20"/>
          <w:color w:val="auto"/>
        </w:rPr>
      </w:pPr>
      <w:r>
        <w:rPr>
          <w:rFonts w:ascii="Times New Roman" w:cs="Times New Roman" w:eastAsia="Times New Roman" w:hAnsi="Times New Roman"/>
          <w:sz w:val="20"/>
          <w:szCs w:val="20"/>
          <w:color w:val="4B4949"/>
        </w:rPr>
        <w:t xml:space="preserve">The following letter outlines an offer to </w:t>
      </w:r>
      <w:r>
        <w:rPr>
          <w:rFonts w:ascii="Times New Roman" w:cs="Times New Roman" w:eastAsia="Times New Roman" w:hAnsi="Times New Roman"/>
          <w:sz w:val="20"/>
          <w:szCs w:val="20"/>
          <w:color w:val="595959"/>
        </w:rPr>
        <w:t>join</w:t>
      </w:r>
      <w:r>
        <w:rPr>
          <w:rFonts w:ascii="Times New Roman" w:cs="Times New Roman" w:eastAsia="Times New Roman" w:hAnsi="Times New Roman"/>
          <w:sz w:val="20"/>
          <w:szCs w:val="20"/>
          <w:color w:val="4B4949"/>
        </w:rPr>
        <w:t xml:space="preserve"> Definitive Healthcare in the capacity of Director of Product Strategy. I personally look forward to </w:t>
      </w:r>
      <w:r>
        <w:rPr>
          <w:rFonts w:ascii="Times New Roman" w:cs="Times New Roman" w:eastAsia="Times New Roman" w:hAnsi="Times New Roman"/>
          <w:sz w:val="20"/>
          <w:szCs w:val="20"/>
          <w:color w:val="595959"/>
        </w:rPr>
        <w:t>working w</w:t>
      </w:r>
      <w:r>
        <w:rPr>
          <w:rFonts w:ascii="Times New Roman" w:cs="Times New Roman" w:eastAsia="Times New Roman" w:hAnsi="Times New Roman"/>
          <w:sz w:val="20"/>
          <w:szCs w:val="20"/>
          <w:color w:val="363436"/>
        </w:rPr>
        <w:t>ith</w:t>
      </w:r>
      <w:r>
        <w:rPr>
          <w:rFonts w:ascii="Times New Roman" w:cs="Times New Roman" w:eastAsia="Times New Roman" w:hAnsi="Times New Roman"/>
          <w:sz w:val="20"/>
          <w:szCs w:val="20"/>
          <w:color w:val="4B4949"/>
        </w:rPr>
        <w:t xml:space="preserve"> </w:t>
      </w:r>
      <w:r>
        <w:rPr>
          <w:rFonts w:ascii="Times New Roman" w:cs="Times New Roman" w:eastAsia="Times New Roman" w:hAnsi="Times New Roman"/>
          <w:sz w:val="20"/>
          <w:szCs w:val="20"/>
          <w:color w:val="595959"/>
        </w:rPr>
        <w:t>you</w:t>
      </w:r>
      <w:r>
        <w:rPr>
          <w:rFonts w:ascii="Times New Roman" w:cs="Times New Roman" w:eastAsia="Times New Roman" w:hAnsi="Times New Roman"/>
          <w:sz w:val="20"/>
          <w:szCs w:val="20"/>
          <w:color w:val="4B4949"/>
        </w:rPr>
        <w:t xml:space="preserve"> to build our product</w:t>
      </w:r>
      <w:r>
        <w:rPr>
          <w:rFonts w:ascii="Times New Roman" w:cs="Times New Roman" w:eastAsia="Times New Roman" w:hAnsi="Times New Roman"/>
          <w:sz w:val="20"/>
          <w:szCs w:val="20"/>
          <w:color w:val="828280"/>
        </w:rPr>
        <w:t>,</w:t>
      </w:r>
      <w:r>
        <w:rPr>
          <w:rFonts w:ascii="Times New Roman" w:cs="Times New Roman" w:eastAsia="Times New Roman" w:hAnsi="Times New Roman"/>
          <w:sz w:val="20"/>
          <w:szCs w:val="20"/>
          <w:color w:val="4B4949"/>
        </w:rPr>
        <w:t xml:space="preserve"> ou</w:t>
      </w:r>
      <w:r>
        <w:rPr>
          <w:rFonts w:ascii="Times New Roman" w:cs="Times New Roman" w:eastAsia="Times New Roman" w:hAnsi="Times New Roman"/>
          <w:sz w:val="20"/>
          <w:szCs w:val="20"/>
          <w:color w:val="696969"/>
        </w:rPr>
        <w:t>r</w:t>
      </w:r>
      <w:r>
        <w:rPr>
          <w:rFonts w:ascii="Times New Roman" w:cs="Times New Roman" w:eastAsia="Times New Roman" w:hAnsi="Times New Roman"/>
          <w:sz w:val="20"/>
          <w:szCs w:val="20"/>
          <w:color w:val="4B4949"/>
        </w:rPr>
        <w:t xml:space="preserve"> brand and our client base in the healthcare community.</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4B4949"/>
        </w:rPr>
        <w:t xml:space="preserve">Your compensation package </w:t>
      </w:r>
      <w:r>
        <w:rPr>
          <w:rFonts w:ascii="Times New Roman" w:cs="Times New Roman" w:eastAsia="Times New Roman" w:hAnsi="Times New Roman"/>
          <w:sz w:val="20"/>
          <w:szCs w:val="20"/>
          <w:color w:val="595959"/>
        </w:rPr>
        <w:t>will</w:t>
      </w:r>
      <w:r>
        <w:rPr>
          <w:rFonts w:ascii="Times New Roman" w:cs="Times New Roman" w:eastAsia="Times New Roman" w:hAnsi="Times New Roman"/>
          <w:sz w:val="20"/>
          <w:szCs w:val="20"/>
          <w:color w:val="4B4949"/>
        </w:rPr>
        <w:t xml:space="preserve"> be comprised of the following:</w:t>
      </w:r>
    </w:p>
    <w:p>
      <w:pPr>
        <w:spacing w:after="0" w:line="229" w:lineRule="exact"/>
        <w:rPr>
          <w:sz w:val="20"/>
          <w:szCs w:val="20"/>
          <w:color w:val="auto"/>
        </w:rPr>
      </w:pPr>
    </w:p>
    <w:p>
      <w:pPr>
        <w:ind w:left="380" w:hanging="372"/>
        <w:spacing w:after="0"/>
        <w:tabs>
          <w:tab w:leader="none" w:pos="380" w:val="left"/>
        </w:tabs>
        <w:numPr>
          <w:ilvl w:val="0"/>
          <w:numId w:val="77"/>
        </w:numPr>
        <w:rPr>
          <w:rFonts w:ascii="Times New Roman" w:cs="Times New Roman" w:eastAsia="Times New Roman" w:hAnsi="Times New Roman"/>
          <w:sz w:val="20"/>
          <w:szCs w:val="20"/>
          <w:color w:val="4B4949"/>
        </w:rPr>
      </w:pPr>
      <w:r>
        <w:rPr>
          <w:rFonts w:ascii="Times New Roman" w:cs="Times New Roman" w:eastAsia="Times New Roman" w:hAnsi="Times New Roman"/>
          <w:sz w:val="20"/>
          <w:szCs w:val="20"/>
          <w:color w:val="4B4949"/>
        </w:rPr>
        <w:t>Annual salary of $115,000</w:t>
      </w:r>
    </w:p>
    <w:p>
      <w:pPr>
        <w:spacing w:after="0" w:line="21" w:lineRule="exact"/>
        <w:rPr>
          <w:rFonts w:ascii="Times New Roman" w:cs="Times New Roman" w:eastAsia="Times New Roman" w:hAnsi="Times New Roman"/>
          <w:sz w:val="20"/>
          <w:szCs w:val="20"/>
          <w:color w:val="4B4949"/>
        </w:rPr>
      </w:pPr>
    </w:p>
    <w:p>
      <w:pPr>
        <w:jc w:val="both"/>
        <w:ind w:left="380" w:right="200" w:hanging="372"/>
        <w:spacing w:after="0" w:line="241" w:lineRule="auto"/>
        <w:tabs>
          <w:tab w:leader="none" w:pos="380" w:val="left"/>
        </w:tabs>
        <w:numPr>
          <w:ilvl w:val="0"/>
          <w:numId w:val="77"/>
        </w:numPr>
        <w:rPr>
          <w:rFonts w:ascii="Times New Roman" w:cs="Times New Roman" w:eastAsia="Times New Roman" w:hAnsi="Times New Roman"/>
          <w:sz w:val="20"/>
          <w:szCs w:val="20"/>
          <w:color w:val="4B4949"/>
        </w:rPr>
      </w:pPr>
      <w:r>
        <w:rPr>
          <w:rFonts w:ascii="Times New Roman" w:cs="Times New Roman" w:eastAsia="Times New Roman" w:hAnsi="Times New Roman"/>
          <w:sz w:val="20"/>
          <w:szCs w:val="20"/>
          <w:color w:val="4B4949"/>
        </w:rPr>
        <w:t xml:space="preserve">Bonus </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4B4949"/>
        </w:rPr>
        <w:t xml:space="preserve"> You will be </w:t>
      </w:r>
      <w:r>
        <w:rPr>
          <w:rFonts w:ascii="Times New Roman" w:cs="Times New Roman" w:eastAsia="Times New Roman" w:hAnsi="Times New Roman"/>
          <w:sz w:val="20"/>
          <w:szCs w:val="20"/>
          <w:color w:val="595959"/>
        </w:rPr>
        <w:t>eligible</w:t>
      </w:r>
      <w:r>
        <w:rPr>
          <w:rFonts w:ascii="Times New Roman" w:cs="Times New Roman" w:eastAsia="Times New Roman" w:hAnsi="Times New Roman"/>
          <w:sz w:val="20"/>
          <w:szCs w:val="20"/>
          <w:color w:val="4B4949"/>
        </w:rPr>
        <w:t xml:space="preserve"> to receive a bonus based </w:t>
      </w:r>
      <w:r>
        <w:rPr>
          <w:rFonts w:ascii="Times New Roman" w:cs="Times New Roman" w:eastAsia="Times New Roman" w:hAnsi="Times New Roman"/>
          <w:sz w:val="20"/>
          <w:szCs w:val="20"/>
          <w:color w:val="595959"/>
        </w:rPr>
        <w:t>on</w:t>
      </w:r>
      <w:r>
        <w:rPr>
          <w:rFonts w:ascii="Times New Roman" w:cs="Times New Roman" w:eastAsia="Times New Roman" w:hAnsi="Times New Roman"/>
          <w:sz w:val="20"/>
          <w:szCs w:val="20"/>
          <w:color w:val="4B4949"/>
        </w:rPr>
        <w:t xml:space="preserve"> the performance of the Company Any bonus </w:t>
      </w:r>
      <w:r>
        <w:rPr>
          <w:rFonts w:ascii="Times New Roman" w:cs="Times New Roman" w:eastAsia="Times New Roman" w:hAnsi="Times New Roman"/>
          <w:sz w:val="20"/>
          <w:szCs w:val="20"/>
          <w:color w:val="595959"/>
        </w:rPr>
        <w:t>will</w:t>
      </w:r>
      <w:r>
        <w:rPr>
          <w:rFonts w:ascii="Times New Roman" w:cs="Times New Roman" w:eastAsia="Times New Roman" w:hAnsi="Times New Roman"/>
          <w:sz w:val="20"/>
          <w:szCs w:val="20"/>
          <w:color w:val="4B4949"/>
        </w:rPr>
        <w:t xml:space="preserve"> be pro-rated for </w:t>
      </w:r>
      <w:r>
        <w:rPr>
          <w:rFonts w:ascii="Times New Roman" w:cs="Times New Roman" w:eastAsia="Times New Roman" w:hAnsi="Times New Roman"/>
          <w:sz w:val="20"/>
          <w:szCs w:val="20"/>
          <w:color w:val="595959"/>
        </w:rPr>
        <w:t>a</w:t>
      </w:r>
      <w:r>
        <w:rPr>
          <w:rFonts w:ascii="Times New Roman" w:cs="Times New Roman" w:eastAsia="Times New Roman" w:hAnsi="Times New Roman"/>
          <w:sz w:val="20"/>
          <w:szCs w:val="20"/>
          <w:color w:val="4B4949"/>
        </w:rPr>
        <w:t xml:space="preserve"> partial </w:t>
      </w:r>
      <w:r>
        <w:rPr>
          <w:rFonts w:ascii="Times New Roman" w:cs="Times New Roman" w:eastAsia="Times New Roman" w:hAnsi="Times New Roman"/>
          <w:sz w:val="20"/>
          <w:szCs w:val="20"/>
          <w:color w:val="595959"/>
        </w:rPr>
        <w:t xml:space="preserve">work </w:t>
      </w:r>
      <w:r>
        <w:rPr>
          <w:rFonts w:ascii="Times New Roman" w:cs="Times New Roman" w:eastAsia="Times New Roman" w:hAnsi="Times New Roman"/>
          <w:sz w:val="20"/>
          <w:szCs w:val="20"/>
          <w:color w:val="4B4949"/>
        </w:rPr>
        <w:t>year and</w:t>
      </w:r>
      <w:r>
        <w:rPr>
          <w:rFonts w:ascii="Times New Roman" w:cs="Times New Roman" w:eastAsia="Times New Roman" w:hAnsi="Times New Roman"/>
          <w:sz w:val="20"/>
          <w:szCs w:val="20"/>
          <w:color w:val="595959"/>
        </w:rPr>
        <w:t xml:space="preserve"> will </w:t>
      </w:r>
      <w:r>
        <w:rPr>
          <w:rFonts w:ascii="Times New Roman" w:cs="Times New Roman" w:eastAsia="Times New Roman" w:hAnsi="Times New Roman"/>
          <w:sz w:val="20"/>
          <w:szCs w:val="20"/>
          <w:color w:val="4B4949"/>
        </w:rPr>
        <w:t>only be paid to employees that are employed at the time of payment of the Bonus</w:t>
      </w:r>
      <w:r>
        <w:rPr>
          <w:rFonts w:ascii="Times New Roman" w:cs="Times New Roman" w:eastAsia="Times New Roman" w:hAnsi="Times New Roman"/>
          <w:sz w:val="20"/>
          <w:szCs w:val="20"/>
          <w:color w:val="595959"/>
        </w:rPr>
        <w:t xml:space="preserve"> which will </w:t>
      </w:r>
      <w:r>
        <w:rPr>
          <w:rFonts w:ascii="Times New Roman" w:cs="Times New Roman" w:eastAsia="Times New Roman" w:hAnsi="Times New Roman"/>
          <w:sz w:val="20"/>
          <w:szCs w:val="20"/>
          <w:color w:val="4B4949"/>
        </w:rPr>
        <w:t>typically be</w:t>
      </w:r>
      <w:r>
        <w:rPr>
          <w:rFonts w:ascii="Times New Roman" w:cs="Times New Roman" w:eastAsia="Times New Roman" w:hAnsi="Times New Roman"/>
          <w:sz w:val="20"/>
          <w:szCs w:val="20"/>
          <w:color w:val="595959"/>
        </w:rPr>
        <w:t xml:space="preserve"> </w:t>
      </w:r>
      <w:r>
        <w:rPr>
          <w:rFonts w:ascii="Times New Roman" w:cs="Times New Roman" w:eastAsia="Times New Roman" w:hAnsi="Times New Roman"/>
          <w:sz w:val="20"/>
          <w:szCs w:val="20"/>
          <w:color w:val="4B4949"/>
        </w:rPr>
        <w:t xml:space="preserve">January 15u1 of </w:t>
      </w:r>
      <w:r>
        <w:rPr>
          <w:rFonts w:ascii="Times New Roman" w:cs="Times New Roman" w:eastAsia="Times New Roman" w:hAnsi="Times New Roman"/>
          <w:sz w:val="20"/>
          <w:szCs w:val="20"/>
          <w:color w:val="595959"/>
        </w:rPr>
        <w:t>the</w:t>
      </w:r>
      <w:r>
        <w:rPr>
          <w:rFonts w:ascii="Times New Roman" w:cs="Times New Roman" w:eastAsia="Times New Roman" w:hAnsi="Times New Roman"/>
          <w:sz w:val="20"/>
          <w:szCs w:val="20"/>
          <w:color w:val="4B4949"/>
        </w:rPr>
        <w:t xml:space="preserve"> following </w:t>
      </w:r>
      <w:r>
        <w:rPr>
          <w:rFonts w:ascii="Times New Roman" w:cs="Times New Roman" w:eastAsia="Times New Roman" w:hAnsi="Times New Roman"/>
          <w:sz w:val="20"/>
          <w:szCs w:val="20"/>
          <w:color w:val="595959"/>
        </w:rPr>
        <w:t>year</w:t>
      </w:r>
      <w:r>
        <w:rPr>
          <w:rFonts w:ascii="Times New Roman" w:cs="Times New Roman" w:eastAsia="Times New Roman" w:hAnsi="Times New Roman"/>
          <w:sz w:val="20"/>
          <w:szCs w:val="20"/>
          <w:color w:val="4B4949"/>
        </w:rPr>
        <w:t xml:space="preserve"> although </w:t>
      </w:r>
      <w:r>
        <w:rPr>
          <w:rFonts w:ascii="Times New Roman" w:cs="Times New Roman" w:eastAsia="Times New Roman" w:hAnsi="Times New Roman"/>
          <w:sz w:val="20"/>
          <w:szCs w:val="20"/>
          <w:color w:val="595959"/>
        </w:rPr>
        <w:t>that</w:t>
      </w:r>
      <w:r>
        <w:rPr>
          <w:rFonts w:ascii="Times New Roman" w:cs="Times New Roman" w:eastAsia="Times New Roman" w:hAnsi="Times New Roman"/>
          <w:sz w:val="20"/>
          <w:szCs w:val="20"/>
          <w:color w:val="4B4949"/>
        </w:rPr>
        <w:t xml:space="preserve"> is subject </w:t>
      </w:r>
      <w:r>
        <w:rPr>
          <w:rFonts w:ascii="Times New Roman" w:cs="Times New Roman" w:eastAsia="Times New Roman" w:hAnsi="Times New Roman"/>
          <w:sz w:val="20"/>
          <w:szCs w:val="20"/>
          <w:color w:val="595959"/>
        </w:rPr>
        <w:t>to</w:t>
      </w:r>
      <w:r>
        <w:rPr>
          <w:rFonts w:ascii="Times New Roman" w:cs="Times New Roman" w:eastAsia="Times New Roman" w:hAnsi="Times New Roman"/>
          <w:sz w:val="20"/>
          <w:szCs w:val="20"/>
          <w:color w:val="4B4949"/>
        </w:rPr>
        <w:t xml:space="preserve"> change depending on the company's ability to close out the previous </w:t>
      </w:r>
      <w:r>
        <w:rPr>
          <w:rFonts w:ascii="Times New Roman" w:cs="Times New Roman" w:eastAsia="Times New Roman" w:hAnsi="Times New Roman"/>
          <w:sz w:val="20"/>
          <w:szCs w:val="20"/>
          <w:color w:val="595959"/>
        </w:rPr>
        <w:t xml:space="preserve">year </w:t>
      </w:r>
      <w:r>
        <w:rPr>
          <w:rFonts w:ascii="Times New Roman" w:cs="Times New Roman" w:eastAsia="Times New Roman" w:hAnsi="Times New Roman"/>
          <w:sz w:val="20"/>
          <w:szCs w:val="20"/>
          <w:color w:val="4B4949"/>
        </w:rPr>
        <w:t>and</w:t>
      </w:r>
      <w:r>
        <w:rPr>
          <w:rFonts w:ascii="Times New Roman" w:cs="Times New Roman" w:eastAsia="Times New Roman" w:hAnsi="Times New Roman"/>
          <w:sz w:val="20"/>
          <w:szCs w:val="20"/>
          <w:color w:val="595959"/>
        </w:rPr>
        <w:t xml:space="preserve"> determine </w:t>
      </w:r>
      <w:r>
        <w:rPr>
          <w:rFonts w:ascii="Times New Roman" w:cs="Times New Roman" w:eastAsia="Times New Roman" w:hAnsi="Times New Roman"/>
          <w:sz w:val="20"/>
          <w:szCs w:val="20"/>
          <w:color w:val="4B4949"/>
        </w:rPr>
        <w:t>appropriate bonuses. For 2015</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595959"/>
        </w:rPr>
        <w:t xml:space="preserve"> your </w:t>
      </w:r>
      <w:r>
        <w:rPr>
          <w:rFonts w:ascii="Times New Roman" w:cs="Times New Roman" w:eastAsia="Times New Roman" w:hAnsi="Times New Roman"/>
          <w:sz w:val="20"/>
          <w:szCs w:val="20"/>
          <w:color w:val="4B4949"/>
        </w:rPr>
        <w:t>bonus plan</w:t>
      </w:r>
      <w:r>
        <w:rPr>
          <w:rFonts w:ascii="Times New Roman" w:cs="Times New Roman" w:eastAsia="Times New Roman" w:hAnsi="Times New Roman"/>
          <w:sz w:val="20"/>
          <w:szCs w:val="20"/>
          <w:color w:val="595959"/>
        </w:rPr>
        <w:t xml:space="preserve"> will </w:t>
      </w:r>
      <w:r>
        <w:rPr>
          <w:rFonts w:ascii="Times New Roman" w:cs="Times New Roman" w:eastAsia="Times New Roman" w:hAnsi="Times New Roman"/>
          <w:sz w:val="20"/>
          <w:szCs w:val="20"/>
          <w:color w:val="4B4949"/>
        </w:rPr>
        <w:t>be as follows:</w:t>
      </w:r>
    </w:p>
    <w:p>
      <w:pPr>
        <w:spacing w:after="0" w:line="201" w:lineRule="exact"/>
        <w:rPr>
          <w:sz w:val="20"/>
          <w:szCs w:val="20"/>
          <w:color w:val="auto"/>
        </w:rPr>
      </w:pPr>
    </w:p>
    <w:tbl>
      <w:tblPr>
        <w:tblLayout w:type="fixed"/>
        <w:tblInd w:w="670" w:type="dxa"/>
        <w:tblCellMar>
          <w:top w:w="0" w:type="dxa"/>
          <w:left w:w="0" w:type="dxa"/>
          <w:bottom w:w="0" w:type="dxa"/>
          <w:right w:w="0" w:type="dxa"/>
        </w:tblCellMar>
      </w:tblPr>
      <w:tr>
        <w:trPr>
          <w:trHeight w:val="328"/>
        </w:trPr>
        <w:tc>
          <w:tcPr>
            <w:tcW w:w="510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b w:val="1"/>
                <w:bCs w:val="1"/>
                <w:color w:val="4B4949"/>
              </w:rPr>
              <w:t>Comoanv Revenue</w:t>
            </w:r>
          </w:p>
        </w:tc>
        <w:tc>
          <w:tcPr>
            <w:tcW w:w="50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4B4949"/>
              </w:rPr>
              <w:t>Bonus</w:t>
            </w:r>
          </w:p>
        </w:tc>
      </w:tr>
      <w:tr>
        <w:trPr>
          <w:trHeight w:val="262"/>
        </w:trPr>
        <w:tc>
          <w:tcPr>
            <w:tcW w:w="51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595959"/>
              </w:rPr>
              <w:t xml:space="preserve">Under </w:t>
            </w:r>
            <w:r>
              <w:rPr>
                <w:rFonts w:ascii="Times New Roman" w:cs="Times New Roman" w:eastAsia="Times New Roman" w:hAnsi="Times New Roman"/>
                <w:sz w:val="20"/>
                <w:szCs w:val="20"/>
                <w:color w:val="4B4949"/>
              </w:rPr>
              <w:t>$12.SM</w:t>
            </w:r>
          </w:p>
        </w:tc>
        <w:tc>
          <w:tcPr>
            <w:tcW w:w="5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595959"/>
              </w:rPr>
              <w:t>$0</w:t>
            </w:r>
          </w:p>
        </w:tc>
      </w:tr>
      <w:tr>
        <w:trPr>
          <w:trHeight w:val="273"/>
        </w:trPr>
        <w:tc>
          <w:tcPr>
            <w:tcW w:w="8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4B4949"/>
              </w:rPr>
              <w:t>$12</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4B4949"/>
              </w:rPr>
              <w:t>SM</w:t>
            </w:r>
          </w:p>
        </w:tc>
        <w:tc>
          <w:tcPr>
            <w:tcW w:w="4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595959"/>
              </w:rPr>
              <w:t>$13.4M</w:t>
            </w:r>
          </w:p>
        </w:tc>
        <w:tc>
          <w:tcPr>
            <w:tcW w:w="5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595959"/>
              </w:rPr>
              <w:t>$5,000</w:t>
            </w:r>
          </w:p>
        </w:tc>
      </w:tr>
      <w:tr>
        <w:trPr>
          <w:trHeight w:val="277"/>
        </w:trPr>
        <w:tc>
          <w:tcPr>
            <w:tcW w:w="8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4B4949"/>
              </w:rPr>
              <w:t>$13.4M</w:t>
            </w:r>
          </w:p>
        </w:tc>
        <w:tc>
          <w:tcPr>
            <w:tcW w:w="4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595959"/>
              </w:rPr>
              <w:t>$14.lM</w:t>
            </w:r>
          </w:p>
        </w:tc>
        <w:tc>
          <w:tcPr>
            <w:tcW w:w="5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595959"/>
              </w:rPr>
              <w:t>$10,000</w:t>
            </w:r>
          </w:p>
        </w:tc>
      </w:tr>
      <w:tr>
        <w:trPr>
          <w:trHeight w:val="254"/>
        </w:trPr>
        <w:tc>
          <w:tcPr>
            <w:tcW w:w="8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595959"/>
              </w:rPr>
              <w:t>$14.lM</w:t>
            </w:r>
          </w:p>
        </w:tc>
        <w:tc>
          <w:tcPr>
            <w:tcW w:w="4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4B4949"/>
              </w:rPr>
              <w:t>$14.6M</w:t>
            </w:r>
          </w:p>
        </w:tc>
        <w:tc>
          <w:tcPr>
            <w:tcW w:w="5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595959"/>
              </w:rPr>
              <w:t>$15,000</w:t>
            </w:r>
          </w:p>
        </w:tc>
      </w:tr>
      <w:tr>
        <w:trPr>
          <w:trHeight w:val="260"/>
        </w:trPr>
        <w:tc>
          <w:tcPr>
            <w:tcW w:w="51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595959"/>
              </w:rPr>
              <w:t xml:space="preserve">Greater than </w:t>
            </w:r>
            <w:r>
              <w:rPr>
                <w:rFonts w:ascii="Times New Roman" w:cs="Times New Roman" w:eastAsia="Times New Roman" w:hAnsi="Times New Roman"/>
                <w:sz w:val="20"/>
                <w:szCs w:val="20"/>
                <w:color w:val="4B4949"/>
              </w:rPr>
              <w:t>$14.</w:t>
            </w:r>
            <w:r>
              <w:rPr>
                <w:rFonts w:ascii="Times New Roman" w:cs="Times New Roman" w:eastAsia="Times New Roman" w:hAnsi="Times New Roman"/>
                <w:sz w:val="20"/>
                <w:szCs w:val="20"/>
                <w:color w:val="696969"/>
              </w:rPr>
              <w:t>6M</w:t>
            </w:r>
          </w:p>
        </w:tc>
        <w:tc>
          <w:tcPr>
            <w:tcW w:w="5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4B4949"/>
              </w:rPr>
              <w:t>$25</w:t>
            </w:r>
            <w:r>
              <w:rPr>
                <w:rFonts w:ascii="Times New Roman" w:cs="Times New Roman" w:eastAsia="Times New Roman" w:hAnsi="Times New Roman"/>
                <w:sz w:val="20"/>
                <w:szCs w:val="20"/>
                <w:color w:val="696969"/>
              </w:rPr>
              <w:t>,0</w:t>
            </w:r>
            <w:r>
              <w:rPr>
                <w:rFonts w:ascii="Times New Roman" w:cs="Times New Roman" w:eastAsia="Times New Roman" w:hAnsi="Times New Roman"/>
                <w:sz w:val="20"/>
                <w:szCs w:val="20"/>
                <w:color w:val="4B4949"/>
              </w:rPr>
              <w:t>00</w:t>
            </w:r>
          </w:p>
        </w:tc>
      </w:tr>
    </w:tbl>
    <w:p>
      <w:pPr>
        <w:spacing w:after="0" w:line="207" w:lineRule="exact"/>
        <w:rPr>
          <w:sz w:val="20"/>
          <w:szCs w:val="20"/>
          <w:color w:val="auto"/>
        </w:rPr>
      </w:pPr>
    </w:p>
    <w:p>
      <w:pPr>
        <w:jc w:val="both"/>
        <w:ind w:left="400" w:right="200" w:hanging="378"/>
        <w:spacing w:after="0" w:line="247" w:lineRule="auto"/>
        <w:tabs>
          <w:tab w:leader="none" w:pos="400" w:val="left"/>
        </w:tabs>
        <w:numPr>
          <w:ilvl w:val="0"/>
          <w:numId w:val="78"/>
        </w:numPr>
        <w:rPr>
          <w:rFonts w:ascii="Times New Roman" w:cs="Times New Roman" w:eastAsia="Times New Roman" w:hAnsi="Times New Roman"/>
          <w:sz w:val="20"/>
          <w:szCs w:val="20"/>
          <w:color w:val="595959"/>
        </w:rPr>
      </w:pPr>
      <w:r>
        <w:rPr>
          <w:rFonts w:ascii="Times New Roman" w:cs="Times New Roman" w:eastAsia="Times New Roman" w:hAnsi="Times New Roman"/>
          <w:sz w:val="20"/>
          <w:szCs w:val="20"/>
          <w:color w:val="595959"/>
        </w:rPr>
        <w:t xml:space="preserve">Upon </w:t>
      </w:r>
      <w:r>
        <w:rPr>
          <w:rFonts w:ascii="Times New Roman" w:cs="Times New Roman" w:eastAsia="Times New Roman" w:hAnsi="Times New Roman"/>
          <w:sz w:val="20"/>
          <w:szCs w:val="20"/>
          <w:color w:val="4B4949"/>
        </w:rPr>
        <w:t>starting as a full time employee</w:t>
      </w:r>
      <w:r>
        <w:rPr>
          <w:rFonts w:ascii="Times New Roman" w:cs="Times New Roman" w:eastAsia="Times New Roman" w:hAnsi="Times New Roman"/>
          <w:sz w:val="20"/>
          <w:szCs w:val="20"/>
          <w:color w:val="828280"/>
        </w:rPr>
        <w:t>,</w:t>
      </w:r>
      <w:r>
        <w:rPr>
          <w:rFonts w:ascii="Times New Roman" w:cs="Times New Roman" w:eastAsia="Times New Roman" w:hAnsi="Times New Roman"/>
          <w:sz w:val="20"/>
          <w:szCs w:val="20"/>
          <w:color w:val="595959"/>
        </w:rPr>
        <w:t xml:space="preserve"> </w:t>
      </w:r>
      <w:r>
        <w:rPr>
          <w:rFonts w:ascii="Times New Roman" w:cs="Times New Roman" w:eastAsia="Times New Roman" w:hAnsi="Times New Roman"/>
          <w:sz w:val="20"/>
          <w:szCs w:val="20"/>
          <w:color w:val="4B4949"/>
        </w:rPr>
        <w:t>if</w:t>
      </w:r>
      <w:r>
        <w:rPr>
          <w:rFonts w:ascii="Times New Roman" w:cs="Times New Roman" w:eastAsia="Times New Roman" w:hAnsi="Times New Roman"/>
          <w:sz w:val="20"/>
          <w:szCs w:val="20"/>
          <w:color w:val="595959"/>
        </w:rPr>
        <w:t xml:space="preserve"> you select </w:t>
      </w:r>
      <w:r>
        <w:rPr>
          <w:rFonts w:ascii="Times New Roman" w:cs="Times New Roman" w:eastAsia="Times New Roman" w:hAnsi="Times New Roman"/>
          <w:sz w:val="20"/>
          <w:szCs w:val="20"/>
          <w:color w:val="4B4949"/>
        </w:rPr>
        <w:t>to utilize</w:t>
      </w:r>
      <w:r>
        <w:rPr>
          <w:rFonts w:ascii="Times New Roman" w:cs="Times New Roman" w:eastAsia="Times New Roman" w:hAnsi="Times New Roman"/>
          <w:sz w:val="20"/>
          <w:szCs w:val="20"/>
          <w:color w:val="595959"/>
        </w:rPr>
        <w:t xml:space="preserve"> the </w:t>
      </w:r>
      <w:r>
        <w:rPr>
          <w:rFonts w:ascii="Times New Roman" w:cs="Times New Roman" w:eastAsia="Times New Roman" w:hAnsi="Times New Roman"/>
          <w:sz w:val="20"/>
          <w:szCs w:val="20"/>
          <w:color w:val="4B4949"/>
        </w:rPr>
        <w:t>company health insurance plan, the company</w:t>
      </w:r>
      <w:r>
        <w:rPr>
          <w:rFonts w:ascii="Times New Roman" w:cs="Times New Roman" w:eastAsia="Times New Roman" w:hAnsi="Times New Roman"/>
          <w:sz w:val="20"/>
          <w:szCs w:val="20"/>
          <w:color w:val="595959"/>
        </w:rPr>
        <w:t xml:space="preserve"> will </w:t>
      </w:r>
      <w:r>
        <w:rPr>
          <w:rFonts w:ascii="Times New Roman" w:cs="Times New Roman" w:eastAsia="Times New Roman" w:hAnsi="Times New Roman"/>
          <w:sz w:val="20"/>
          <w:szCs w:val="20"/>
          <w:color w:val="4B4949"/>
        </w:rPr>
        <w:t>pay</w:t>
      </w:r>
      <w:r>
        <w:rPr>
          <w:rFonts w:ascii="Times New Roman" w:cs="Times New Roman" w:eastAsia="Times New Roman" w:hAnsi="Times New Roman"/>
          <w:sz w:val="20"/>
          <w:szCs w:val="20"/>
          <w:color w:val="595959"/>
        </w:rPr>
        <w:t xml:space="preserve"> a </w:t>
      </w:r>
      <w:r>
        <w:rPr>
          <w:rFonts w:ascii="Times New Roman" w:cs="Times New Roman" w:eastAsia="Times New Roman" w:hAnsi="Times New Roman"/>
          <w:sz w:val="20"/>
          <w:szCs w:val="20"/>
          <w:color w:val="4B4949"/>
        </w:rPr>
        <w:t>portion</w:t>
      </w:r>
      <w:r>
        <w:rPr>
          <w:rFonts w:ascii="Times New Roman" w:cs="Times New Roman" w:eastAsia="Times New Roman" w:hAnsi="Times New Roman"/>
          <w:sz w:val="20"/>
          <w:szCs w:val="20"/>
          <w:color w:val="595959"/>
        </w:rPr>
        <w:t xml:space="preserve"> of your premiums </w:t>
      </w:r>
      <w:r>
        <w:rPr>
          <w:rFonts w:ascii="Times New Roman" w:cs="Times New Roman" w:eastAsia="Times New Roman" w:hAnsi="Times New Roman"/>
          <w:sz w:val="20"/>
          <w:szCs w:val="20"/>
          <w:color w:val="4B4949"/>
        </w:rPr>
        <w:t>based upon the current reimbursement polic</w:t>
      </w:r>
      <w:r>
        <w:rPr>
          <w:rFonts w:ascii="Times New Roman" w:cs="Times New Roman" w:eastAsia="Times New Roman" w:hAnsi="Times New Roman"/>
          <w:sz w:val="20"/>
          <w:szCs w:val="20"/>
          <w:color w:val="696969"/>
        </w:rPr>
        <w:t>y</w:t>
      </w:r>
      <w:r>
        <w:rPr>
          <w:rFonts w:ascii="Times New Roman" w:cs="Times New Roman" w:eastAsia="Times New Roman" w:hAnsi="Times New Roman"/>
          <w:sz w:val="20"/>
          <w:szCs w:val="20"/>
          <w:color w:val="595959"/>
        </w:rPr>
        <w:t xml:space="preserve"> </w:t>
      </w:r>
      <w:r>
        <w:rPr>
          <w:rFonts w:ascii="Times New Roman" w:cs="Times New Roman" w:eastAsia="Times New Roman" w:hAnsi="Times New Roman"/>
          <w:sz w:val="20"/>
          <w:szCs w:val="20"/>
          <w:color w:val="4B4949"/>
        </w:rPr>
        <w:t>of the company.</w:t>
      </w:r>
      <w:r>
        <w:rPr>
          <w:rFonts w:ascii="Times New Roman" w:cs="Times New Roman" w:eastAsia="Times New Roman" w:hAnsi="Times New Roman"/>
          <w:sz w:val="20"/>
          <w:szCs w:val="20"/>
          <w:color w:val="595959"/>
        </w:rPr>
        <w:t xml:space="preserve"> Currently the </w:t>
      </w:r>
      <w:r>
        <w:rPr>
          <w:rFonts w:ascii="Times New Roman" w:cs="Times New Roman" w:eastAsia="Times New Roman" w:hAnsi="Times New Roman"/>
          <w:sz w:val="20"/>
          <w:szCs w:val="20"/>
          <w:color w:val="4B4949"/>
        </w:rPr>
        <w:t>company</w:t>
      </w:r>
      <w:r>
        <w:rPr>
          <w:rFonts w:ascii="Times New Roman" w:cs="Times New Roman" w:eastAsia="Times New Roman" w:hAnsi="Times New Roman"/>
          <w:sz w:val="20"/>
          <w:szCs w:val="20"/>
          <w:color w:val="595959"/>
        </w:rPr>
        <w:t xml:space="preserve"> </w:t>
      </w:r>
      <w:r>
        <w:rPr>
          <w:rFonts w:ascii="Times New Roman" w:cs="Times New Roman" w:eastAsia="Times New Roman" w:hAnsi="Times New Roman"/>
          <w:sz w:val="20"/>
          <w:szCs w:val="20"/>
          <w:color w:val="696969"/>
        </w:rPr>
        <w:t>r</w:t>
      </w:r>
      <w:r>
        <w:rPr>
          <w:rFonts w:ascii="Times New Roman" w:cs="Times New Roman" w:eastAsia="Times New Roman" w:hAnsi="Times New Roman"/>
          <w:sz w:val="20"/>
          <w:szCs w:val="20"/>
          <w:color w:val="4B4949"/>
        </w:rPr>
        <w:t>eimburses 100%</w:t>
      </w:r>
      <w:r>
        <w:rPr>
          <w:rFonts w:ascii="Times New Roman" w:cs="Times New Roman" w:eastAsia="Times New Roman" w:hAnsi="Times New Roman"/>
          <w:sz w:val="20"/>
          <w:szCs w:val="20"/>
          <w:color w:val="595959"/>
        </w:rPr>
        <w:t xml:space="preserve"> of </w:t>
      </w:r>
      <w:r>
        <w:rPr>
          <w:rFonts w:ascii="Times New Roman" w:cs="Times New Roman" w:eastAsia="Times New Roman" w:hAnsi="Times New Roman"/>
          <w:sz w:val="20"/>
          <w:szCs w:val="20"/>
          <w:color w:val="4B4949"/>
        </w:rPr>
        <w:t>the costs</w:t>
      </w:r>
      <w:r>
        <w:rPr>
          <w:rFonts w:ascii="Times New Roman" w:cs="Times New Roman" w:eastAsia="Times New Roman" w:hAnsi="Times New Roman"/>
          <w:sz w:val="20"/>
          <w:szCs w:val="20"/>
          <w:color w:val="595959"/>
        </w:rPr>
        <w:t xml:space="preserve"> </w:t>
      </w:r>
      <w:r>
        <w:rPr>
          <w:rFonts w:ascii="Times New Roman" w:cs="Times New Roman" w:eastAsia="Times New Roman" w:hAnsi="Times New Roman"/>
          <w:sz w:val="20"/>
          <w:szCs w:val="20"/>
          <w:color w:val="4B4949"/>
        </w:rPr>
        <w:t xml:space="preserve">of an individual portion of </w:t>
      </w:r>
      <w:r>
        <w:rPr>
          <w:rFonts w:ascii="Times New Roman" w:cs="Times New Roman" w:eastAsia="Times New Roman" w:hAnsi="Times New Roman"/>
          <w:sz w:val="20"/>
          <w:szCs w:val="20"/>
          <w:color w:val="595959"/>
        </w:rPr>
        <w:t>the</w:t>
      </w:r>
      <w:r>
        <w:rPr>
          <w:rFonts w:ascii="Times New Roman" w:cs="Times New Roman" w:eastAsia="Times New Roman" w:hAnsi="Times New Roman"/>
          <w:sz w:val="20"/>
          <w:szCs w:val="20"/>
          <w:color w:val="4B4949"/>
        </w:rPr>
        <w:t xml:space="preserve"> polic</w:t>
      </w:r>
      <w:r>
        <w:rPr>
          <w:rFonts w:ascii="Times New Roman" w:cs="Times New Roman" w:eastAsia="Times New Roman" w:hAnsi="Times New Roman"/>
          <w:sz w:val="20"/>
          <w:szCs w:val="20"/>
          <w:color w:val="696969"/>
        </w:rPr>
        <w:t>y.</w:t>
      </w:r>
      <w:r>
        <w:rPr>
          <w:rFonts w:ascii="Times New Roman" w:cs="Times New Roman" w:eastAsia="Times New Roman" w:hAnsi="Times New Roman"/>
          <w:sz w:val="20"/>
          <w:szCs w:val="20"/>
          <w:color w:val="4B4949"/>
        </w:rPr>
        <w:t xml:space="preserve"> </w:t>
      </w:r>
      <w:r>
        <w:rPr>
          <w:rFonts w:ascii="Times New Roman" w:cs="Times New Roman" w:eastAsia="Times New Roman" w:hAnsi="Times New Roman"/>
          <w:sz w:val="20"/>
          <w:szCs w:val="20"/>
          <w:color w:val="595959"/>
        </w:rPr>
        <w:t>There</w:t>
      </w:r>
      <w:r>
        <w:rPr>
          <w:rFonts w:ascii="Times New Roman" w:cs="Times New Roman" w:eastAsia="Times New Roman" w:hAnsi="Times New Roman"/>
          <w:sz w:val="20"/>
          <w:szCs w:val="20"/>
          <w:color w:val="4B4949"/>
        </w:rPr>
        <w:t xml:space="preserve"> is </w:t>
      </w:r>
      <w:r>
        <w:rPr>
          <w:rFonts w:ascii="Times New Roman" w:cs="Times New Roman" w:eastAsia="Times New Roman" w:hAnsi="Times New Roman"/>
          <w:sz w:val="20"/>
          <w:szCs w:val="20"/>
          <w:color w:val="595959"/>
        </w:rPr>
        <w:t>a two</w:t>
      </w:r>
      <w:r>
        <w:rPr>
          <w:rFonts w:ascii="Times New Roman" w:cs="Times New Roman" w:eastAsia="Times New Roman" w:hAnsi="Times New Roman"/>
          <w:sz w:val="20"/>
          <w:szCs w:val="20"/>
          <w:color w:val="4B4949"/>
        </w:rPr>
        <w:t xml:space="preserve"> month </w:t>
      </w:r>
      <w:r>
        <w:rPr>
          <w:rFonts w:ascii="Times New Roman" w:cs="Times New Roman" w:eastAsia="Times New Roman" w:hAnsi="Times New Roman"/>
          <w:sz w:val="20"/>
          <w:szCs w:val="20"/>
          <w:color w:val="595959"/>
        </w:rPr>
        <w:t>waiting period to</w:t>
      </w:r>
      <w:r>
        <w:rPr>
          <w:rFonts w:ascii="Times New Roman" w:cs="Times New Roman" w:eastAsia="Times New Roman" w:hAnsi="Times New Roman"/>
          <w:sz w:val="20"/>
          <w:szCs w:val="20"/>
          <w:color w:val="4B4949"/>
        </w:rPr>
        <w:t xml:space="preserve"> join the company health insurance plan.</w:t>
      </w:r>
    </w:p>
    <w:p>
      <w:pPr>
        <w:ind w:left="400" w:right="200" w:hanging="378"/>
        <w:spacing w:after="0" w:line="243" w:lineRule="auto"/>
        <w:tabs>
          <w:tab w:leader="none" w:pos="400" w:val="left"/>
        </w:tabs>
        <w:numPr>
          <w:ilvl w:val="0"/>
          <w:numId w:val="78"/>
        </w:numPr>
        <w:rPr>
          <w:rFonts w:ascii="Times New Roman" w:cs="Times New Roman" w:eastAsia="Times New Roman" w:hAnsi="Times New Roman"/>
          <w:sz w:val="20"/>
          <w:szCs w:val="20"/>
          <w:color w:val="595959"/>
        </w:rPr>
      </w:pPr>
      <w:r>
        <w:rPr>
          <w:rFonts w:ascii="Times New Roman" w:cs="Times New Roman" w:eastAsia="Times New Roman" w:hAnsi="Times New Roman"/>
          <w:sz w:val="20"/>
          <w:szCs w:val="20"/>
          <w:color w:val="595959"/>
        </w:rPr>
        <w:t xml:space="preserve">In </w:t>
      </w:r>
      <w:r>
        <w:rPr>
          <w:rFonts w:ascii="Times New Roman" w:cs="Times New Roman" w:eastAsia="Times New Roman" w:hAnsi="Times New Roman"/>
          <w:sz w:val="20"/>
          <w:szCs w:val="20"/>
          <w:color w:val="4B4949"/>
        </w:rPr>
        <w:t>addition,</w:t>
      </w:r>
      <w:r>
        <w:rPr>
          <w:rFonts w:ascii="Times New Roman" w:cs="Times New Roman" w:eastAsia="Times New Roman" w:hAnsi="Times New Roman"/>
          <w:sz w:val="20"/>
          <w:szCs w:val="20"/>
          <w:color w:val="595959"/>
        </w:rPr>
        <w:t xml:space="preserve"> you </w:t>
      </w:r>
      <w:r>
        <w:rPr>
          <w:rFonts w:ascii="Times New Roman" w:cs="Times New Roman" w:eastAsia="Times New Roman" w:hAnsi="Times New Roman"/>
          <w:sz w:val="20"/>
          <w:szCs w:val="20"/>
          <w:color w:val="4B4949"/>
        </w:rPr>
        <w:t>will be</w:t>
      </w:r>
      <w:r>
        <w:rPr>
          <w:rFonts w:ascii="Times New Roman" w:cs="Times New Roman" w:eastAsia="Times New Roman" w:hAnsi="Times New Roman"/>
          <w:sz w:val="20"/>
          <w:szCs w:val="20"/>
          <w:color w:val="595959"/>
        </w:rPr>
        <w:t xml:space="preserve"> entitled to </w:t>
      </w:r>
      <w:r>
        <w:rPr>
          <w:rFonts w:ascii="Times New Roman" w:cs="Times New Roman" w:eastAsia="Times New Roman" w:hAnsi="Times New Roman"/>
          <w:sz w:val="20"/>
          <w:szCs w:val="20"/>
          <w:color w:val="4B4949"/>
        </w:rPr>
        <w:t>participat</w:t>
      </w:r>
      <w:r>
        <w:rPr>
          <w:rFonts w:ascii="Times New Roman" w:cs="Times New Roman" w:eastAsia="Times New Roman" w:hAnsi="Times New Roman"/>
          <w:sz w:val="20"/>
          <w:szCs w:val="20"/>
          <w:color w:val="696969"/>
        </w:rPr>
        <w:t>e</w:t>
      </w:r>
      <w:r>
        <w:rPr>
          <w:rFonts w:ascii="Times New Roman" w:cs="Times New Roman" w:eastAsia="Times New Roman" w:hAnsi="Times New Roman"/>
          <w:sz w:val="20"/>
          <w:szCs w:val="20"/>
          <w:color w:val="595959"/>
        </w:rPr>
        <w:t xml:space="preserve"> </w:t>
      </w:r>
      <w:r>
        <w:rPr>
          <w:rFonts w:ascii="Times New Roman" w:cs="Times New Roman" w:eastAsia="Times New Roman" w:hAnsi="Times New Roman"/>
          <w:sz w:val="20"/>
          <w:szCs w:val="20"/>
          <w:color w:val="4B4949"/>
        </w:rPr>
        <w:t>in insurance</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595959"/>
        </w:rPr>
        <w:t xml:space="preserve"> 40l(k), </w:t>
      </w:r>
      <w:r>
        <w:rPr>
          <w:rFonts w:ascii="Times New Roman" w:cs="Times New Roman" w:eastAsia="Times New Roman" w:hAnsi="Times New Roman"/>
          <w:sz w:val="20"/>
          <w:szCs w:val="20"/>
          <w:color w:val="4B4949"/>
        </w:rPr>
        <w:t>pension</w:t>
      </w:r>
      <w:r>
        <w:rPr>
          <w:rFonts w:ascii="Times New Roman" w:cs="Times New Roman" w:eastAsia="Times New Roman" w:hAnsi="Times New Roman"/>
          <w:sz w:val="20"/>
          <w:szCs w:val="20"/>
          <w:color w:val="828280"/>
        </w:rPr>
        <w:t>,</w:t>
      </w:r>
      <w:r>
        <w:rPr>
          <w:rFonts w:ascii="Times New Roman" w:cs="Times New Roman" w:eastAsia="Times New Roman" w:hAnsi="Times New Roman"/>
          <w:sz w:val="20"/>
          <w:szCs w:val="20"/>
          <w:color w:val="595959"/>
        </w:rPr>
        <w:t xml:space="preserve"> </w:t>
      </w:r>
      <w:r>
        <w:rPr>
          <w:rFonts w:ascii="Times New Roman" w:cs="Times New Roman" w:eastAsia="Times New Roman" w:hAnsi="Times New Roman"/>
          <w:sz w:val="20"/>
          <w:szCs w:val="20"/>
          <w:color w:val="4B4949"/>
        </w:rPr>
        <w:t>and other benefits provided to</w:t>
      </w:r>
      <w:r>
        <w:rPr>
          <w:rFonts w:ascii="Times New Roman" w:cs="Times New Roman" w:eastAsia="Times New Roman" w:hAnsi="Times New Roman"/>
          <w:sz w:val="20"/>
          <w:szCs w:val="20"/>
          <w:color w:val="595959"/>
        </w:rPr>
        <w:t xml:space="preserve"> othe</w:t>
      </w:r>
      <w:r>
        <w:rPr>
          <w:rFonts w:ascii="Times New Roman" w:cs="Times New Roman" w:eastAsia="Times New Roman" w:hAnsi="Times New Roman"/>
          <w:sz w:val="20"/>
          <w:szCs w:val="20"/>
          <w:color w:val="363436"/>
        </w:rPr>
        <w:t>r</w:t>
      </w:r>
      <w:r>
        <w:rPr>
          <w:rFonts w:ascii="Times New Roman" w:cs="Times New Roman" w:eastAsia="Times New Roman" w:hAnsi="Times New Roman"/>
          <w:sz w:val="20"/>
          <w:szCs w:val="20"/>
          <w:color w:val="595959"/>
        </w:rPr>
        <w:t xml:space="preserve"> </w:t>
      </w:r>
      <w:r>
        <w:rPr>
          <w:rFonts w:ascii="Times New Roman" w:cs="Times New Roman" w:eastAsia="Times New Roman" w:hAnsi="Times New Roman"/>
          <w:sz w:val="20"/>
          <w:szCs w:val="20"/>
          <w:color w:val="4B4949"/>
        </w:rPr>
        <w:t>employees of the</w:t>
      </w:r>
      <w:r>
        <w:rPr>
          <w:rFonts w:ascii="Times New Roman" w:cs="Times New Roman" w:eastAsia="Times New Roman" w:hAnsi="Times New Roman"/>
          <w:sz w:val="20"/>
          <w:szCs w:val="20"/>
          <w:color w:val="595959"/>
        </w:rPr>
        <w:t xml:space="preserve"> Company </w:t>
      </w:r>
      <w:r>
        <w:rPr>
          <w:rFonts w:ascii="Times New Roman" w:cs="Times New Roman" w:eastAsia="Times New Roman" w:hAnsi="Times New Roman"/>
          <w:sz w:val="20"/>
          <w:szCs w:val="20"/>
          <w:color w:val="4B4949"/>
        </w:rPr>
        <w:t>to the extent that any applicable plan</w:t>
      </w:r>
      <w:r>
        <w:rPr>
          <w:rFonts w:ascii="Times New Roman" w:cs="Times New Roman" w:eastAsia="Times New Roman" w:hAnsi="Times New Roman"/>
          <w:sz w:val="20"/>
          <w:szCs w:val="20"/>
          <w:color w:val="595959"/>
        </w:rPr>
        <w:t xml:space="preserve"> </w:t>
      </w:r>
      <w:r>
        <w:rPr>
          <w:rFonts w:ascii="Times New Roman" w:cs="Times New Roman" w:eastAsia="Times New Roman" w:hAnsi="Times New Roman"/>
          <w:sz w:val="20"/>
          <w:szCs w:val="20"/>
          <w:color w:val="696969"/>
        </w:rPr>
        <w:t>cr</w:t>
      </w:r>
      <w:r>
        <w:rPr>
          <w:rFonts w:ascii="Times New Roman" w:cs="Times New Roman" w:eastAsia="Times New Roman" w:hAnsi="Times New Roman"/>
          <w:sz w:val="20"/>
          <w:szCs w:val="20"/>
          <w:color w:val="4B4949"/>
        </w:rPr>
        <w:t>it</w:t>
      </w:r>
      <w:r>
        <w:rPr>
          <w:rFonts w:ascii="Times New Roman" w:cs="Times New Roman" w:eastAsia="Times New Roman" w:hAnsi="Times New Roman"/>
          <w:sz w:val="20"/>
          <w:szCs w:val="20"/>
          <w:color w:val="696969"/>
        </w:rPr>
        <w:t>e</w:t>
      </w:r>
      <w:r>
        <w:rPr>
          <w:rFonts w:ascii="Times New Roman" w:cs="Times New Roman" w:eastAsia="Times New Roman" w:hAnsi="Times New Roman"/>
          <w:sz w:val="20"/>
          <w:szCs w:val="20"/>
          <w:color w:val="4B4949"/>
        </w:rPr>
        <w:t>ria make</w:t>
      </w:r>
      <w:r>
        <w:rPr>
          <w:rFonts w:ascii="Times New Roman" w:cs="Times New Roman" w:eastAsia="Times New Roman" w:hAnsi="Times New Roman"/>
          <w:sz w:val="20"/>
          <w:szCs w:val="20"/>
          <w:color w:val="595959"/>
        </w:rPr>
        <w:t xml:space="preserve"> you eligible to </w:t>
      </w:r>
      <w:r>
        <w:rPr>
          <w:rFonts w:ascii="Times New Roman" w:cs="Times New Roman" w:eastAsia="Times New Roman" w:hAnsi="Times New Roman"/>
          <w:sz w:val="20"/>
          <w:szCs w:val="20"/>
          <w:color w:val="4B4949"/>
        </w:rPr>
        <w:t>participate.</w:t>
      </w:r>
    </w:p>
    <w:p>
      <w:pPr>
        <w:ind w:left="380" w:right="220" w:hanging="358"/>
        <w:spacing w:after="0" w:line="242" w:lineRule="auto"/>
        <w:tabs>
          <w:tab w:leader="none" w:pos="380" w:val="left"/>
        </w:tabs>
        <w:numPr>
          <w:ilvl w:val="0"/>
          <w:numId w:val="78"/>
        </w:numPr>
        <w:rPr>
          <w:rFonts w:ascii="Times New Roman" w:cs="Times New Roman" w:eastAsia="Times New Roman" w:hAnsi="Times New Roman"/>
          <w:sz w:val="20"/>
          <w:szCs w:val="20"/>
          <w:color w:val="595959"/>
        </w:rPr>
      </w:pPr>
      <w:r>
        <w:rPr>
          <w:rFonts w:ascii="Times New Roman" w:cs="Times New Roman" w:eastAsia="Times New Roman" w:hAnsi="Times New Roman"/>
          <w:sz w:val="20"/>
          <w:szCs w:val="20"/>
          <w:color w:val="595959"/>
        </w:rPr>
        <w:t xml:space="preserve">Upon starting </w:t>
      </w:r>
      <w:r>
        <w:rPr>
          <w:rFonts w:ascii="Times New Roman" w:cs="Times New Roman" w:eastAsia="Times New Roman" w:hAnsi="Times New Roman"/>
          <w:sz w:val="20"/>
          <w:szCs w:val="20"/>
          <w:color w:val="4B4949"/>
        </w:rPr>
        <w:t>as a full time</w:t>
      </w:r>
      <w:r>
        <w:rPr>
          <w:rFonts w:ascii="Times New Roman" w:cs="Times New Roman" w:eastAsia="Times New Roman" w:hAnsi="Times New Roman"/>
          <w:sz w:val="20"/>
          <w:szCs w:val="20"/>
          <w:color w:val="595959"/>
        </w:rPr>
        <w:t xml:space="preserve"> employee, you will be entitled </w:t>
      </w:r>
      <w:r>
        <w:rPr>
          <w:rFonts w:ascii="Times New Roman" w:cs="Times New Roman" w:eastAsia="Times New Roman" w:hAnsi="Times New Roman"/>
          <w:sz w:val="20"/>
          <w:szCs w:val="20"/>
          <w:color w:val="4B4949"/>
        </w:rPr>
        <w:t>to</w:t>
      </w:r>
      <w:r>
        <w:rPr>
          <w:rFonts w:ascii="Times New Roman" w:cs="Times New Roman" w:eastAsia="Times New Roman" w:hAnsi="Times New Roman"/>
          <w:sz w:val="20"/>
          <w:szCs w:val="20"/>
          <w:color w:val="595959"/>
        </w:rPr>
        <w:t xml:space="preserve"> three weeks </w:t>
      </w:r>
      <w:r>
        <w:rPr>
          <w:rFonts w:ascii="Times New Roman" w:cs="Times New Roman" w:eastAsia="Times New Roman" w:hAnsi="Times New Roman"/>
          <w:sz w:val="20"/>
          <w:szCs w:val="20"/>
          <w:color w:val="4B4949"/>
        </w:rPr>
        <w:t>of</w:t>
      </w:r>
      <w:r>
        <w:rPr>
          <w:rFonts w:ascii="Times New Roman" w:cs="Times New Roman" w:eastAsia="Times New Roman" w:hAnsi="Times New Roman"/>
          <w:sz w:val="20"/>
          <w:szCs w:val="20"/>
          <w:color w:val="595959"/>
        </w:rPr>
        <w:t xml:space="preserve"> vacation per year </w:t>
      </w:r>
      <w:r>
        <w:rPr>
          <w:rFonts w:ascii="Times New Roman" w:cs="Times New Roman" w:eastAsia="Times New Roman" w:hAnsi="Times New Roman"/>
          <w:sz w:val="20"/>
          <w:szCs w:val="20"/>
          <w:color w:val="4B4949"/>
        </w:rPr>
        <w:t>(pro-rated for</w:t>
      </w:r>
      <w:r>
        <w:rPr>
          <w:rFonts w:ascii="Times New Roman" w:cs="Times New Roman" w:eastAsia="Times New Roman" w:hAnsi="Times New Roman"/>
          <w:sz w:val="20"/>
          <w:szCs w:val="20"/>
          <w:color w:val="595959"/>
        </w:rPr>
        <w:t xml:space="preserve"> your </w:t>
      </w:r>
      <w:r>
        <w:rPr>
          <w:rFonts w:ascii="Times New Roman" w:cs="Times New Roman" w:eastAsia="Times New Roman" w:hAnsi="Times New Roman"/>
          <w:sz w:val="20"/>
          <w:szCs w:val="20"/>
          <w:color w:val="4B4949"/>
        </w:rPr>
        <w:t>first</w:t>
      </w:r>
      <w:r>
        <w:rPr>
          <w:rFonts w:ascii="Times New Roman" w:cs="Times New Roman" w:eastAsia="Times New Roman" w:hAnsi="Times New Roman"/>
          <w:sz w:val="20"/>
          <w:szCs w:val="20"/>
          <w:color w:val="595959"/>
        </w:rPr>
        <w:t xml:space="preserve"> year). </w:t>
      </w:r>
      <w:r>
        <w:rPr>
          <w:rFonts w:ascii="Times New Roman" w:cs="Times New Roman" w:eastAsia="Times New Roman" w:hAnsi="Times New Roman"/>
          <w:sz w:val="20"/>
          <w:szCs w:val="20"/>
          <w:color w:val="696969"/>
        </w:rPr>
        <w:t>N</w:t>
      </w:r>
      <w:r>
        <w:rPr>
          <w:rFonts w:ascii="Times New Roman" w:cs="Times New Roman" w:eastAsia="Times New Roman" w:hAnsi="Times New Roman"/>
          <w:sz w:val="20"/>
          <w:szCs w:val="20"/>
          <w:color w:val="4B4949"/>
        </w:rPr>
        <w:t>o</w:t>
      </w:r>
      <w:r>
        <w:rPr>
          <w:rFonts w:ascii="Times New Roman" w:cs="Times New Roman" w:eastAsia="Times New Roman" w:hAnsi="Times New Roman"/>
          <w:sz w:val="20"/>
          <w:szCs w:val="20"/>
          <w:color w:val="595959"/>
        </w:rPr>
        <w:t xml:space="preserve"> </w:t>
      </w:r>
      <w:r>
        <w:rPr>
          <w:rFonts w:ascii="Times New Roman" w:cs="Times New Roman" w:eastAsia="Times New Roman" w:hAnsi="Times New Roman"/>
          <w:sz w:val="20"/>
          <w:szCs w:val="20"/>
          <w:color w:val="696969"/>
        </w:rPr>
        <w:t>vac</w:t>
      </w:r>
      <w:r>
        <w:rPr>
          <w:rFonts w:ascii="Times New Roman" w:cs="Times New Roman" w:eastAsia="Times New Roman" w:hAnsi="Times New Roman"/>
          <w:sz w:val="20"/>
          <w:szCs w:val="20"/>
          <w:color w:val="4B4949"/>
        </w:rPr>
        <w:t>ation</w:t>
      </w:r>
      <w:r>
        <w:rPr>
          <w:rFonts w:ascii="Times New Roman" w:cs="Times New Roman" w:eastAsia="Times New Roman" w:hAnsi="Times New Roman"/>
          <w:sz w:val="20"/>
          <w:szCs w:val="20"/>
          <w:color w:val="696969"/>
        </w:rPr>
        <w:t xml:space="preserve"> </w:t>
      </w:r>
      <w:r>
        <w:rPr>
          <w:rFonts w:ascii="Times New Roman" w:cs="Times New Roman" w:eastAsia="Times New Roman" w:hAnsi="Times New Roman"/>
          <w:sz w:val="20"/>
          <w:szCs w:val="20"/>
          <w:color w:val="595959"/>
        </w:rPr>
        <w:t>will</w:t>
      </w:r>
      <w:r>
        <w:rPr>
          <w:rFonts w:ascii="Times New Roman" w:cs="Times New Roman" w:eastAsia="Times New Roman" w:hAnsi="Times New Roman"/>
          <w:sz w:val="20"/>
          <w:szCs w:val="20"/>
          <w:color w:val="696969"/>
        </w:rPr>
        <w:t xml:space="preserve"> </w:t>
      </w:r>
      <w:r>
        <w:rPr>
          <w:rFonts w:ascii="Times New Roman" w:cs="Times New Roman" w:eastAsia="Times New Roman" w:hAnsi="Times New Roman"/>
          <w:sz w:val="20"/>
          <w:szCs w:val="20"/>
          <w:color w:val="4B4949"/>
        </w:rPr>
        <w:t>be carried over across</w:t>
      </w:r>
      <w:r>
        <w:rPr>
          <w:rFonts w:ascii="Times New Roman" w:cs="Times New Roman" w:eastAsia="Times New Roman" w:hAnsi="Times New Roman"/>
          <w:sz w:val="20"/>
          <w:szCs w:val="20"/>
          <w:color w:val="696969"/>
        </w:rPr>
        <w:t xml:space="preserve"> </w:t>
      </w:r>
      <w:r>
        <w:rPr>
          <w:rFonts w:ascii="Times New Roman" w:cs="Times New Roman" w:eastAsia="Times New Roman" w:hAnsi="Times New Roman"/>
          <w:sz w:val="20"/>
          <w:szCs w:val="20"/>
          <w:color w:val="595959"/>
        </w:rPr>
        <w:t>calendar years.</w:t>
      </w:r>
    </w:p>
    <w:p>
      <w:pPr>
        <w:spacing w:after="0" w:line="1" w:lineRule="exact"/>
        <w:rPr>
          <w:rFonts w:ascii="Times New Roman" w:cs="Times New Roman" w:eastAsia="Times New Roman" w:hAnsi="Times New Roman"/>
          <w:sz w:val="20"/>
          <w:szCs w:val="20"/>
          <w:color w:val="595959"/>
        </w:rPr>
      </w:pPr>
    </w:p>
    <w:p>
      <w:pPr>
        <w:ind w:left="400" w:right="200" w:hanging="378"/>
        <w:spacing w:after="0" w:line="246" w:lineRule="auto"/>
        <w:tabs>
          <w:tab w:leader="none" w:pos="400" w:val="left"/>
        </w:tabs>
        <w:numPr>
          <w:ilvl w:val="0"/>
          <w:numId w:val="78"/>
        </w:numPr>
        <w:rPr>
          <w:rFonts w:ascii="Times New Roman" w:cs="Times New Roman" w:eastAsia="Times New Roman" w:hAnsi="Times New Roman"/>
          <w:sz w:val="20"/>
          <w:szCs w:val="20"/>
          <w:color w:val="595959"/>
        </w:rPr>
      </w:pPr>
      <w:r>
        <w:rPr>
          <w:rFonts w:ascii="Times New Roman" w:cs="Times New Roman" w:eastAsia="Times New Roman" w:hAnsi="Times New Roman"/>
          <w:sz w:val="20"/>
          <w:szCs w:val="20"/>
          <w:color w:val="595959"/>
        </w:rPr>
        <w:t xml:space="preserve">You </w:t>
      </w:r>
      <w:r>
        <w:rPr>
          <w:rFonts w:ascii="Times New Roman" w:cs="Times New Roman" w:eastAsia="Times New Roman" w:hAnsi="Times New Roman"/>
          <w:sz w:val="20"/>
          <w:szCs w:val="20"/>
          <w:color w:val="4B4949"/>
        </w:rPr>
        <w:t>will also be</w:t>
      </w:r>
      <w:r>
        <w:rPr>
          <w:rFonts w:ascii="Times New Roman" w:cs="Times New Roman" w:eastAsia="Times New Roman" w:hAnsi="Times New Roman"/>
          <w:sz w:val="20"/>
          <w:szCs w:val="20"/>
          <w:color w:val="595959"/>
        </w:rPr>
        <w:t xml:space="preserve"> entitled </w:t>
      </w:r>
      <w:r>
        <w:rPr>
          <w:rFonts w:ascii="Times New Roman" w:cs="Times New Roman" w:eastAsia="Times New Roman" w:hAnsi="Times New Roman"/>
          <w:sz w:val="20"/>
          <w:szCs w:val="20"/>
          <w:color w:val="4B4949"/>
        </w:rPr>
        <w:t>to</w:t>
      </w:r>
      <w:r>
        <w:rPr>
          <w:rFonts w:ascii="Times New Roman" w:cs="Times New Roman" w:eastAsia="Times New Roman" w:hAnsi="Times New Roman"/>
          <w:sz w:val="20"/>
          <w:szCs w:val="20"/>
          <w:color w:val="595959"/>
        </w:rPr>
        <w:t xml:space="preserve"> substantially the same </w:t>
      </w:r>
      <w:r>
        <w:rPr>
          <w:rFonts w:ascii="Times New Roman" w:cs="Times New Roman" w:eastAsia="Times New Roman" w:hAnsi="Times New Roman"/>
          <w:sz w:val="20"/>
          <w:szCs w:val="20"/>
          <w:color w:val="4B4949"/>
        </w:rPr>
        <w:t>number</w:t>
      </w:r>
      <w:r>
        <w:rPr>
          <w:rFonts w:ascii="Times New Roman" w:cs="Times New Roman" w:eastAsia="Times New Roman" w:hAnsi="Times New Roman"/>
          <w:sz w:val="20"/>
          <w:szCs w:val="20"/>
          <w:color w:val="595959"/>
        </w:rPr>
        <w:t xml:space="preserve"> of </w:t>
      </w:r>
      <w:r>
        <w:rPr>
          <w:rFonts w:ascii="Times New Roman" w:cs="Times New Roman" w:eastAsia="Times New Roman" w:hAnsi="Times New Roman"/>
          <w:sz w:val="20"/>
          <w:szCs w:val="20"/>
          <w:color w:val="4B4949"/>
        </w:rPr>
        <w:t>holidays</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595959"/>
        </w:rPr>
        <w:t xml:space="preserve"> </w:t>
      </w:r>
      <w:r>
        <w:rPr>
          <w:rFonts w:ascii="Times New Roman" w:cs="Times New Roman" w:eastAsia="Times New Roman" w:hAnsi="Times New Roman"/>
          <w:sz w:val="20"/>
          <w:szCs w:val="20"/>
          <w:color w:val="4B4949"/>
        </w:rPr>
        <w:t>sick days and</w:t>
      </w:r>
      <w:r>
        <w:rPr>
          <w:rFonts w:ascii="Times New Roman" w:cs="Times New Roman" w:eastAsia="Times New Roman" w:hAnsi="Times New Roman"/>
          <w:sz w:val="20"/>
          <w:szCs w:val="20"/>
          <w:color w:val="595959"/>
        </w:rPr>
        <w:t xml:space="preserve"> other </w:t>
      </w:r>
      <w:r>
        <w:rPr>
          <w:rFonts w:ascii="Times New Roman" w:cs="Times New Roman" w:eastAsia="Times New Roman" w:hAnsi="Times New Roman"/>
          <w:sz w:val="20"/>
          <w:szCs w:val="20"/>
          <w:color w:val="4B4949"/>
        </w:rPr>
        <w:t>benefits as are</w:t>
      </w:r>
      <w:r>
        <w:rPr>
          <w:rFonts w:ascii="Times New Roman" w:cs="Times New Roman" w:eastAsia="Times New Roman" w:hAnsi="Times New Roman"/>
          <w:sz w:val="20"/>
          <w:szCs w:val="20"/>
          <w:color w:val="595959"/>
        </w:rPr>
        <w:t xml:space="preserve"> generally </w:t>
      </w:r>
      <w:r>
        <w:rPr>
          <w:rFonts w:ascii="Times New Roman" w:cs="Times New Roman" w:eastAsia="Times New Roman" w:hAnsi="Times New Roman"/>
          <w:sz w:val="20"/>
          <w:szCs w:val="20"/>
          <w:color w:val="4B4949"/>
        </w:rPr>
        <w:t>allowed</w:t>
      </w:r>
      <w:r>
        <w:rPr>
          <w:rFonts w:ascii="Times New Roman" w:cs="Times New Roman" w:eastAsia="Times New Roman" w:hAnsi="Times New Roman"/>
          <w:sz w:val="20"/>
          <w:szCs w:val="20"/>
          <w:color w:val="595959"/>
        </w:rPr>
        <w:t xml:space="preserve"> to </w:t>
      </w:r>
      <w:r>
        <w:rPr>
          <w:rFonts w:ascii="Times New Roman" w:cs="Times New Roman" w:eastAsia="Times New Roman" w:hAnsi="Times New Roman"/>
          <w:sz w:val="20"/>
          <w:szCs w:val="20"/>
          <w:color w:val="4B4949"/>
        </w:rPr>
        <w:t>other</w:t>
      </w:r>
      <w:r>
        <w:rPr>
          <w:rFonts w:ascii="Times New Roman" w:cs="Times New Roman" w:eastAsia="Times New Roman" w:hAnsi="Times New Roman"/>
          <w:sz w:val="20"/>
          <w:szCs w:val="20"/>
          <w:color w:val="595959"/>
        </w:rPr>
        <w:t xml:space="preserve"> </w:t>
      </w:r>
      <w:r>
        <w:rPr>
          <w:rFonts w:ascii="Times New Roman" w:cs="Times New Roman" w:eastAsia="Times New Roman" w:hAnsi="Times New Roman"/>
          <w:sz w:val="20"/>
          <w:szCs w:val="20"/>
          <w:color w:val="4B4949"/>
        </w:rPr>
        <w:t xml:space="preserve">employees of </w:t>
      </w:r>
      <w:r>
        <w:rPr>
          <w:rFonts w:ascii="Times New Roman" w:cs="Times New Roman" w:eastAsia="Times New Roman" w:hAnsi="Times New Roman"/>
          <w:sz w:val="20"/>
          <w:szCs w:val="20"/>
          <w:color w:val="595959"/>
        </w:rPr>
        <w:t>the</w:t>
      </w:r>
      <w:r>
        <w:rPr>
          <w:rFonts w:ascii="Times New Roman" w:cs="Times New Roman" w:eastAsia="Times New Roman" w:hAnsi="Times New Roman"/>
          <w:sz w:val="20"/>
          <w:szCs w:val="20"/>
          <w:color w:val="4B4949"/>
        </w:rPr>
        <w:t xml:space="preserve"> </w:t>
      </w:r>
      <w:r>
        <w:rPr>
          <w:rFonts w:ascii="Times New Roman" w:cs="Times New Roman" w:eastAsia="Times New Roman" w:hAnsi="Times New Roman"/>
          <w:sz w:val="20"/>
          <w:szCs w:val="20"/>
          <w:color w:val="696969"/>
        </w:rPr>
        <w:t>C</w:t>
      </w:r>
      <w:r>
        <w:rPr>
          <w:rFonts w:ascii="Times New Roman" w:cs="Times New Roman" w:eastAsia="Times New Roman" w:hAnsi="Times New Roman"/>
          <w:sz w:val="20"/>
          <w:szCs w:val="20"/>
          <w:color w:val="4B4949"/>
        </w:rPr>
        <w:t>ompan</w:t>
      </w:r>
      <w:r>
        <w:rPr>
          <w:rFonts w:ascii="Times New Roman" w:cs="Times New Roman" w:eastAsia="Times New Roman" w:hAnsi="Times New Roman"/>
          <w:sz w:val="20"/>
          <w:szCs w:val="20"/>
          <w:color w:val="828280"/>
        </w:rPr>
        <w:t>y</w:t>
      </w:r>
      <w:r>
        <w:rPr>
          <w:rFonts w:ascii="Times New Roman" w:cs="Times New Roman" w:eastAsia="Times New Roman" w:hAnsi="Times New Roman"/>
          <w:sz w:val="20"/>
          <w:szCs w:val="20"/>
          <w:color w:val="4B4949"/>
        </w:rPr>
        <w:t xml:space="preserve"> in </w:t>
      </w:r>
      <w:r>
        <w:rPr>
          <w:rFonts w:ascii="Times New Roman" w:cs="Times New Roman" w:eastAsia="Times New Roman" w:hAnsi="Times New Roman"/>
          <w:sz w:val="20"/>
          <w:szCs w:val="20"/>
          <w:color w:val="595959"/>
        </w:rPr>
        <w:t>accordance with</w:t>
      </w:r>
      <w:r>
        <w:rPr>
          <w:rFonts w:ascii="Times New Roman" w:cs="Times New Roman" w:eastAsia="Times New Roman" w:hAnsi="Times New Roman"/>
          <w:sz w:val="20"/>
          <w:szCs w:val="20"/>
          <w:color w:val="4B4949"/>
        </w:rPr>
        <w:t xml:space="preserve"> the </w:t>
      </w:r>
      <w:r>
        <w:rPr>
          <w:rFonts w:ascii="Times New Roman" w:cs="Times New Roman" w:eastAsia="Times New Roman" w:hAnsi="Times New Roman"/>
          <w:sz w:val="20"/>
          <w:szCs w:val="20"/>
          <w:color w:val="696969"/>
        </w:rPr>
        <w:t>Co</w:t>
      </w:r>
      <w:r>
        <w:rPr>
          <w:rFonts w:ascii="Times New Roman" w:cs="Times New Roman" w:eastAsia="Times New Roman" w:hAnsi="Times New Roman"/>
          <w:sz w:val="20"/>
          <w:szCs w:val="20"/>
          <w:color w:val="4B4949"/>
        </w:rPr>
        <w:t>mpan</w:t>
      </w:r>
      <w:r>
        <w:rPr>
          <w:rFonts w:ascii="Times New Roman" w:cs="Times New Roman" w:eastAsia="Times New Roman" w:hAnsi="Times New Roman"/>
          <w:sz w:val="20"/>
          <w:szCs w:val="20"/>
          <w:color w:val="696969"/>
        </w:rPr>
        <w:t>y</w:t>
      </w:r>
      <w:r>
        <w:rPr>
          <w:rFonts w:ascii="Times New Roman" w:cs="Times New Roman" w:eastAsia="Times New Roman" w:hAnsi="Times New Roman"/>
          <w:sz w:val="20"/>
          <w:szCs w:val="20"/>
          <w:color w:val="4B4949"/>
        </w:rPr>
        <w:t xml:space="preserve"> policy.</w:t>
      </w:r>
    </w:p>
    <w:p>
      <w:pPr>
        <w:spacing w:after="0" w:line="209" w:lineRule="exact"/>
        <w:rPr>
          <w:sz w:val="20"/>
          <w:szCs w:val="20"/>
          <w:color w:val="auto"/>
        </w:rPr>
      </w:pPr>
    </w:p>
    <w:p>
      <w:pPr>
        <w:jc w:val="both"/>
        <w:ind w:left="340" w:right="660" w:firstLine="4"/>
        <w:spacing w:after="0" w:line="254" w:lineRule="auto"/>
        <w:rPr>
          <w:sz w:val="20"/>
          <w:szCs w:val="20"/>
          <w:color w:val="auto"/>
        </w:rPr>
      </w:pPr>
      <w:r>
        <w:rPr>
          <w:rFonts w:ascii="Times New Roman" w:cs="Times New Roman" w:eastAsia="Times New Roman" w:hAnsi="Times New Roman"/>
          <w:sz w:val="20"/>
          <w:szCs w:val="20"/>
          <w:color w:val="2F3131"/>
        </w:rPr>
        <w:t xml:space="preserve">In addition, </w:t>
      </w:r>
      <w:r>
        <w:rPr>
          <w:rFonts w:ascii="Times New Roman" w:cs="Times New Roman" w:eastAsia="Times New Roman" w:hAnsi="Times New Roman"/>
          <w:sz w:val="20"/>
          <w:szCs w:val="20"/>
          <w:color w:val="3F413F"/>
        </w:rPr>
        <w:t>as a condition of your employment</w:t>
      </w:r>
      <w:r>
        <w:rPr>
          <w:rFonts w:ascii="Times New Roman" w:cs="Times New Roman" w:eastAsia="Times New Roman" w:hAnsi="Times New Roman"/>
          <w:sz w:val="20"/>
          <w:szCs w:val="20"/>
          <w:color w:val="2F3131"/>
        </w:rPr>
        <w:t xml:space="preserve"> with the </w:t>
      </w:r>
      <w:r>
        <w:rPr>
          <w:rFonts w:ascii="Times New Roman" w:cs="Times New Roman" w:eastAsia="Times New Roman" w:hAnsi="Times New Roman"/>
          <w:sz w:val="20"/>
          <w:szCs w:val="20"/>
          <w:color w:val="3F413F"/>
        </w:rPr>
        <w:t>Company, you will</w:t>
      </w:r>
      <w:r>
        <w:rPr>
          <w:rFonts w:ascii="Times New Roman" w:cs="Times New Roman" w:eastAsia="Times New Roman" w:hAnsi="Times New Roman"/>
          <w:sz w:val="20"/>
          <w:szCs w:val="20"/>
          <w:color w:val="2F3131"/>
        </w:rPr>
        <w:t xml:space="preserve"> be required </w:t>
      </w:r>
      <w:r>
        <w:rPr>
          <w:rFonts w:ascii="Times New Roman" w:cs="Times New Roman" w:eastAsia="Times New Roman" w:hAnsi="Times New Roman"/>
          <w:sz w:val="20"/>
          <w:szCs w:val="20"/>
          <w:color w:val="3F413F"/>
        </w:rPr>
        <w:t>to sign the Company's</w:t>
      </w:r>
      <w:r>
        <w:rPr>
          <w:rFonts w:ascii="Times New Roman" w:cs="Times New Roman" w:eastAsia="Times New Roman" w:hAnsi="Times New Roman"/>
          <w:sz w:val="20"/>
          <w:szCs w:val="20"/>
          <w:color w:val="2F3131"/>
        </w:rPr>
        <w:t xml:space="preserve"> </w:t>
      </w:r>
      <w:r>
        <w:rPr>
          <w:rFonts w:ascii="Times New Roman" w:cs="Times New Roman" w:eastAsia="Times New Roman" w:hAnsi="Times New Roman"/>
          <w:sz w:val="20"/>
          <w:szCs w:val="20"/>
          <w:color w:val="3F413F"/>
        </w:rPr>
        <w:t>Noncompetition, Assi</w:t>
      </w:r>
      <w:r>
        <w:rPr>
          <w:rFonts w:ascii="Times New Roman" w:cs="Times New Roman" w:eastAsia="Times New Roman" w:hAnsi="Times New Roman"/>
          <w:sz w:val="20"/>
          <w:szCs w:val="20"/>
          <w:color w:val="AAAAAA"/>
        </w:rPr>
        <w:t>g</w:t>
      </w:r>
      <w:r>
        <w:rPr>
          <w:rFonts w:ascii="Times New Roman" w:cs="Times New Roman" w:eastAsia="Times New Roman" w:hAnsi="Times New Roman"/>
          <w:sz w:val="20"/>
          <w:szCs w:val="20"/>
          <w:color w:val="2F3131"/>
        </w:rPr>
        <w:t>nment of Inventions,</w:t>
      </w:r>
      <w:r>
        <w:rPr>
          <w:rFonts w:ascii="Times New Roman" w:cs="Times New Roman" w:eastAsia="Times New Roman" w:hAnsi="Times New Roman"/>
          <w:sz w:val="20"/>
          <w:szCs w:val="20"/>
          <w:color w:val="3F413F"/>
        </w:rPr>
        <w:t xml:space="preserve"> Nondisclosure </w:t>
      </w:r>
      <w:r>
        <w:rPr>
          <w:rFonts w:ascii="Times New Roman" w:cs="Times New Roman" w:eastAsia="Times New Roman" w:hAnsi="Times New Roman"/>
          <w:sz w:val="20"/>
          <w:szCs w:val="20"/>
          <w:color w:val="2F3131"/>
        </w:rPr>
        <w:t>and</w:t>
      </w:r>
      <w:r>
        <w:rPr>
          <w:rFonts w:ascii="Times New Roman" w:cs="Times New Roman" w:eastAsia="Times New Roman" w:hAnsi="Times New Roman"/>
          <w:sz w:val="20"/>
          <w:szCs w:val="20"/>
          <w:color w:val="3F413F"/>
        </w:rPr>
        <w:t xml:space="preserve"> Nonsolicitation </w:t>
      </w:r>
      <w:r>
        <w:rPr>
          <w:rFonts w:ascii="Times New Roman" w:cs="Times New Roman" w:eastAsia="Times New Roman" w:hAnsi="Times New Roman"/>
          <w:sz w:val="20"/>
          <w:szCs w:val="20"/>
          <w:color w:val="2F3131"/>
        </w:rPr>
        <w:t>and</w:t>
      </w:r>
      <w:r>
        <w:rPr>
          <w:rFonts w:ascii="Times New Roman" w:cs="Times New Roman" w:eastAsia="Times New Roman" w:hAnsi="Times New Roman"/>
          <w:sz w:val="20"/>
          <w:szCs w:val="20"/>
          <w:color w:val="3F413F"/>
        </w:rPr>
        <w:t xml:space="preserve"> Non-Compete Agreements. We </w:t>
      </w:r>
      <w:r>
        <w:rPr>
          <w:rFonts w:ascii="Times New Roman" w:cs="Times New Roman" w:eastAsia="Times New Roman" w:hAnsi="Times New Roman"/>
          <w:sz w:val="20"/>
          <w:szCs w:val="20"/>
          <w:color w:val="2F3131"/>
        </w:rPr>
        <w:t>may also</w:t>
      </w:r>
      <w:r>
        <w:rPr>
          <w:rFonts w:ascii="Times New Roman" w:cs="Times New Roman" w:eastAsia="Times New Roman" w:hAnsi="Times New Roman"/>
          <w:sz w:val="20"/>
          <w:szCs w:val="20"/>
          <w:color w:val="3F413F"/>
        </w:rPr>
        <w:t xml:space="preserve"> perform a </w:t>
      </w:r>
      <w:r>
        <w:rPr>
          <w:rFonts w:ascii="Times New Roman" w:cs="Times New Roman" w:eastAsia="Times New Roman" w:hAnsi="Times New Roman"/>
          <w:sz w:val="20"/>
          <w:szCs w:val="20"/>
          <w:color w:val="2F3131"/>
        </w:rPr>
        <w:t>background</w:t>
      </w:r>
      <w:r>
        <w:rPr>
          <w:rFonts w:ascii="Times New Roman" w:cs="Times New Roman" w:eastAsia="Times New Roman" w:hAnsi="Times New Roman"/>
          <w:sz w:val="20"/>
          <w:szCs w:val="20"/>
          <w:color w:val="3F413F"/>
        </w:rPr>
        <w:t xml:space="preserve"> check due </w:t>
      </w:r>
      <w:r>
        <w:rPr>
          <w:rFonts w:ascii="Times New Roman" w:cs="Times New Roman" w:eastAsia="Times New Roman" w:hAnsi="Times New Roman"/>
          <w:sz w:val="20"/>
          <w:szCs w:val="20"/>
          <w:color w:val="2F3131"/>
        </w:rPr>
        <w:t>to the</w:t>
      </w:r>
      <w:r>
        <w:rPr>
          <w:rFonts w:ascii="Times New Roman" w:cs="Times New Roman" w:eastAsia="Times New Roman" w:hAnsi="Times New Roman"/>
          <w:sz w:val="20"/>
          <w:szCs w:val="20"/>
          <w:color w:val="3F413F"/>
        </w:rPr>
        <w:t xml:space="preserve"> sensitive </w:t>
      </w:r>
      <w:r>
        <w:rPr>
          <w:rFonts w:ascii="Times New Roman" w:cs="Times New Roman" w:eastAsia="Times New Roman" w:hAnsi="Times New Roman"/>
          <w:sz w:val="20"/>
          <w:szCs w:val="20"/>
          <w:color w:val="2F3131"/>
        </w:rPr>
        <w:t>nature</w:t>
      </w:r>
      <w:r>
        <w:rPr>
          <w:rFonts w:ascii="Times New Roman" w:cs="Times New Roman" w:eastAsia="Times New Roman" w:hAnsi="Times New Roman"/>
          <w:sz w:val="20"/>
          <w:szCs w:val="20"/>
          <w:color w:val="3F413F"/>
        </w:rPr>
        <w:t xml:space="preserve"> of some of </w:t>
      </w:r>
      <w:r>
        <w:rPr>
          <w:rFonts w:ascii="Times New Roman" w:cs="Times New Roman" w:eastAsia="Times New Roman" w:hAnsi="Times New Roman"/>
          <w:sz w:val="20"/>
          <w:szCs w:val="20"/>
          <w:color w:val="2F3131"/>
        </w:rPr>
        <w:t>our</w:t>
      </w:r>
      <w:r>
        <w:rPr>
          <w:rFonts w:ascii="Times New Roman" w:cs="Times New Roman" w:eastAsia="Times New Roman" w:hAnsi="Times New Roman"/>
          <w:sz w:val="20"/>
          <w:szCs w:val="20"/>
          <w:color w:val="3F413F"/>
        </w:rPr>
        <w:t xml:space="preserve"> work.</w:t>
      </w:r>
    </w:p>
    <w:p>
      <w:pPr>
        <w:spacing w:after="0" w:line="188" w:lineRule="exact"/>
        <w:rPr>
          <w:sz w:val="20"/>
          <w:szCs w:val="20"/>
          <w:color w:val="auto"/>
        </w:rPr>
      </w:pPr>
    </w:p>
    <w:p>
      <w:pPr>
        <w:jc w:val="both"/>
        <w:ind w:left="340" w:right="660" w:firstLine="4"/>
        <w:spacing w:after="0" w:line="269" w:lineRule="auto"/>
        <w:rPr>
          <w:sz w:val="20"/>
          <w:szCs w:val="20"/>
          <w:color w:val="auto"/>
        </w:rPr>
      </w:pPr>
      <w:r>
        <w:rPr>
          <w:rFonts w:ascii="Times New Roman" w:cs="Times New Roman" w:eastAsia="Times New Roman" w:hAnsi="Times New Roman"/>
          <w:sz w:val="20"/>
          <w:szCs w:val="20"/>
          <w:color w:val="3F413F"/>
        </w:rPr>
        <w:t xml:space="preserve">You will </w:t>
      </w:r>
      <w:r>
        <w:rPr>
          <w:rFonts w:ascii="Times New Roman" w:cs="Times New Roman" w:eastAsia="Times New Roman" w:hAnsi="Times New Roman"/>
          <w:sz w:val="20"/>
          <w:szCs w:val="20"/>
          <w:color w:val="2F3131"/>
        </w:rPr>
        <w:t>be an at-will</w:t>
      </w:r>
      <w:r>
        <w:rPr>
          <w:rFonts w:ascii="Times New Roman" w:cs="Times New Roman" w:eastAsia="Times New Roman" w:hAnsi="Times New Roman"/>
          <w:sz w:val="20"/>
          <w:szCs w:val="20"/>
          <w:color w:val="3F413F"/>
        </w:rPr>
        <w:t xml:space="preserve"> employee </w:t>
      </w:r>
      <w:r>
        <w:rPr>
          <w:rFonts w:ascii="Times New Roman" w:cs="Times New Roman" w:eastAsia="Times New Roman" w:hAnsi="Times New Roman"/>
          <w:sz w:val="20"/>
          <w:szCs w:val="20"/>
          <w:color w:val="2F3131"/>
        </w:rPr>
        <w:t>and</w:t>
      </w:r>
      <w:r>
        <w:rPr>
          <w:rFonts w:ascii="Times New Roman" w:cs="Times New Roman" w:eastAsia="Times New Roman" w:hAnsi="Times New Roman"/>
          <w:sz w:val="20"/>
          <w:szCs w:val="20"/>
          <w:color w:val="3F413F"/>
        </w:rPr>
        <w:t xml:space="preserve"> as such you </w:t>
      </w:r>
      <w:r>
        <w:rPr>
          <w:rFonts w:ascii="Times New Roman" w:cs="Times New Roman" w:eastAsia="Times New Roman" w:hAnsi="Times New Roman"/>
          <w:sz w:val="20"/>
          <w:szCs w:val="20"/>
          <w:color w:val="2F3131"/>
        </w:rPr>
        <w:t>will</w:t>
      </w:r>
      <w:r>
        <w:rPr>
          <w:rFonts w:ascii="Times New Roman" w:cs="Times New Roman" w:eastAsia="Times New Roman" w:hAnsi="Times New Roman"/>
          <w:sz w:val="20"/>
          <w:szCs w:val="20"/>
          <w:color w:val="3F413F"/>
        </w:rPr>
        <w:t xml:space="preserve"> be free </w:t>
      </w:r>
      <w:r>
        <w:rPr>
          <w:rFonts w:ascii="Times New Roman" w:cs="Times New Roman" w:eastAsia="Times New Roman" w:hAnsi="Times New Roman"/>
          <w:sz w:val="20"/>
          <w:szCs w:val="20"/>
          <w:color w:val="2F3131"/>
        </w:rPr>
        <w:t>to</w:t>
      </w:r>
      <w:r>
        <w:rPr>
          <w:rFonts w:ascii="Times New Roman" w:cs="Times New Roman" w:eastAsia="Times New Roman" w:hAnsi="Times New Roman"/>
          <w:sz w:val="20"/>
          <w:szCs w:val="20"/>
          <w:color w:val="3F413F"/>
        </w:rPr>
        <w:t xml:space="preserve"> resign your employment with </w:t>
      </w:r>
      <w:r>
        <w:rPr>
          <w:rFonts w:ascii="Times New Roman" w:cs="Times New Roman" w:eastAsia="Times New Roman" w:hAnsi="Times New Roman"/>
          <w:sz w:val="20"/>
          <w:szCs w:val="20"/>
          <w:color w:val="2F3131"/>
        </w:rPr>
        <w:t>the</w:t>
      </w:r>
      <w:r>
        <w:rPr>
          <w:rFonts w:ascii="Times New Roman" w:cs="Times New Roman" w:eastAsia="Times New Roman" w:hAnsi="Times New Roman"/>
          <w:sz w:val="20"/>
          <w:szCs w:val="20"/>
          <w:color w:val="3F413F"/>
        </w:rPr>
        <w:t xml:space="preserve"> Company at </w:t>
      </w:r>
      <w:r>
        <w:rPr>
          <w:rFonts w:ascii="Times New Roman" w:cs="Times New Roman" w:eastAsia="Times New Roman" w:hAnsi="Times New Roman"/>
          <w:sz w:val="20"/>
          <w:szCs w:val="20"/>
          <w:color w:val="2F3131"/>
        </w:rPr>
        <w:t>any time upon</w:t>
      </w:r>
      <w:r>
        <w:rPr>
          <w:rFonts w:ascii="Times New Roman" w:cs="Times New Roman" w:eastAsia="Times New Roman" w:hAnsi="Times New Roman"/>
          <w:sz w:val="20"/>
          <w:szCs w:val="20"/>
          <w:color w:val="3F413F"/>
        </w:rPr>
        <w:t xml:space="preserve"> </w:t>
      </w:r>
      <w:r>
        <w:rPr>
          <w:rFonts w:ascii="Times New Roman" w:cs="Times New Roman" w:eastAsia="Times New Roman" w:hAnsi="Times New Roman"/>
          <w:sz w:val="20"/>
          <w:szCs w:val="20"/>
          <w:color w:val="2F3131"/>
        </w:rPr>
        <w:t xml:space="preserve">reasonable notice and the </w:t>
      </w:r>
      <w:r>
        <w:rPr>
          <w:rFonts w:ascii="Times New Roman" w:cs="Times New Roman" w:eastAsia="Times New Roman" w:hAnsi="Times New Roman"/>
          <w:sz w:val="20"/>
          <w:szCs w:val="20"/>
          <w:color w:val="3F413F"/>
        </w:rPr>
        <w:t>Company</w:t>
      </w:r>
      <w:r>
        <w:rPr>
          <w:rFonts w:ascii="Times New Roman" w:cs="Times New Roman" w:eastAsia="Times New Roman" w:hAnsi="Times New Roman"/>
          <w:sz w:val="20"/>
          <w:szCs w:val="20"/>
          <w:color w:val="2F3131"/>
        </w:rPr>
        <w:t xml:space="preserve"> may </w:t>
      </w:r>
      <w:r>
        <w:rPr>
          <w:rFonts w:ascii="Times New Roman" w:cs="Times New Roman" w:eastAsia="Times New Roman" w:hAnsi="Times New Roman"/>
          <w:sz w:val="20"/>
          <w:szCs w:val="20"/>
          <w:color w:val="575757"/>
        </w:rPr>
        <w:t>t</w:t>
      </w:r>
      <w:r>
        <w:rPr>
          <w:rFonts w:ascii="Times New Roman" w:cs="Times New Roman" w:eastAsia="Times New Roman" w:hAnsi="Times New Roman"/>
          <w:sz w:val="20"/>
          <w:szCs w:val="20"/>
          <w:color w:val="2F3131"/>
        </w:rPr>
        <w:t xml:space="preserve">erminate </w:t>
      </w:r>
      <w:r>
        <w:rPr>
          <w:rFonts w:ascii="Times New Roman" w:cs="Times New Roman" w:eastAsia="Times New Roman" w:hAnsi="Times New Roman"/>
          <w:sz w:val="20"/>
          <w:szCs w:val="20"/>
          <w:color w:val="3F413F"/>
        </w:rPr>
        <w:t>your employment at any</w:t>
      </w:r>
      <w:r>
        <w:rPr>
          <w:rFonts w:ascii="Times New Roman" w:cs="Times New Roman" w:eastAsia="Times New Roman" w:hAnsi="Times New Roman"/>
          <w:sz w:val="20"/>
          <w:szCs w:val="20"/>
          <w:color w:val="2F3131"/>
        </w:rPr>
        <w:t xml:space="preserve"> tune as </w:t>
      </w:r>
      <w:r>
        <w:rPr>
          <w:rFonts w:ascii="Times New Roman" w:cs="Times New Roman" w:eastAsia="Times New Roman" w:hAnsi="Times New Roman"/>
          <w:sz w:val="20"/>
          <w:szCs w:val="20"/>
          <w:color w:val="3F413F"/>
        </w:rPr>
        <w:t>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4" w:right="339" w:bottom="1440" w:gutter="0" w:footer="0" w:header="0"/>
        </w:sectPr>
      </w:pPr>
    </w:p>
    <w:bookmarkStart w:id="148" w:name="page149"/>
    <w:bookmarkEnd w:id="148"/>
    <w:p>
      <w:pPr>
        <w:ind w:left="40"/>
        <w:spacing w:after="0"/>
        <w:rPr>
          <w:sz w:val="20"/>
          <w:szCs w:val="20"/>
          <w:color w:val="auto"/>
        </w:rPr>
      </w:pPr>
      <w:r>
        <w:rPr>
          <w:rFonts w:ascii="Times New Roman" w:cs="Times New Roman" w:eastAsia="Times New Roman" w:hAnsi="Times New Roman"/>
          <w:sz w:val="20"/>
          <w:szCs w:val="20"/>
          <w:color w:val="3F413F"/>
        </w:rPr>
        <w:t>Sincerely,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Jason Krantz</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3F413F"/>
        </w:rPr>
        <w:t xml:space="preserve">Jason </w:t>
      </w:r>
      <w:r>
        <w:rPr>
          <w:rFonts w:ascii="Times New Roman" w:cs="Times New Roman" w:eastAsia="Times New Roman" w:hAnsi="Times New Roman"/>
          <w:sz w:val="20"/>
          <w:szCs w:val="20"/>
          <w:color w:val="2F3131"/>
        </w:rPr>
        <w:t>Krantz</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3F413F"/>
        </w:rPr>
        <w:t>CEO</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3F413F"/>
        </w:rPr>
        <w:t>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 Kate Shamsuddin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193040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59"/>
          </w:cols>
          <w:pgMar w:left="800" w:top="1035" w:right="144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10.36</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DEFINITIVE HEALTHCARE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SEVERANCE PLAN FOR EXECUTIVES</w:t>
      </w:r>
    </w:p>
    <w:p>
      <w:pPr>
        <w:spacing w:after="0" w:line="126" w:lineRule="exact"/>
        <w:rPr>
          <w:sz w:val="20"/>
          <w:szCs w:val="20"/>
          <w:color w:val="auto"/>
        </w:rPr>
      </w:pPr>
    </w:p>
    <w:p>
      <w:pPr>
        <w:ind w:right="260" w:firstLine="656"/>
        <w:spacing w:after="0" w:line="266" w:lineRule="auto"/>
        <w:rPr>
          <w:sz w:val="20"/>
          <w:szCs w:val="20"/>
          <w:color w:val="auto"/>
        </w:rPr>
      </w:pPr>
      <w:r>
        <w:rPr>
          <w:rFonts w:ascii="Times New Roman" w:cs="Times New Roman" w:eastAsia="Times New Roman" w:hAnsi="Times New Roman"/>
          <w:sz w:val="18"/>
          <w:szCs w:val="18"/>
          <w:color w:val="auto"/>
        </w:rPr>
        <w:t>The Company has adopted the Plan, effective as of the Effective Date, to provide severance pay and benefits to eligible executives of the Company in connection with a Change in Control of the Company on the terms and conditions provided for herein. All capitalized terms used herein are defined in Section 1. The Plan is sponsored by the Company and administered by the Plan Administrator.</w:t>
      </w:r>
    </w:p>
    <w:p>
      <w:pPr>
        <w:spacing w:after="0" w:line="108" w:lineRule="exact"/>
        <w:rPr>
          <w:sz w:val="20"/>
          <w:szCs w:val="20"/>
          <w:color w:val="auto"/>
        </w:rPr>
      </w:pPr>
    </w:p>
    <w:p>
      <w:pPr>
        <w:ind w:right="80" w:firstLine="656"/>
        <w:spacing w:after="0" w:line="266" w:lineRule="auto"/>
        <w:rPr>
          <w:sz w:val="20"/>
          <w:szCs w:val="20"/>
          <w:color w:val="auto"/>
        </w:rPr>
      </w:pPr>
      <w:r>
        <w:rPr>
          <w:rFonts w:ascii="Times New Roman" w:cs="Times New Roman" w:eastAsia="Times New Roman" w:hAnsi="Times New Roman"/>
          <w:sz w:val="18"/>
          <w:szCs w:val="18"/>
          <w:color w:val="auto"/>
        </w:rPr>
        <w:t>This document constitutes both the formal Plan document and the “summary plan description” (“SPD”) for purposes of ERISA, and describes the terms of the Plan that are in effect as of the Effective Date. The Company urges each Eligible Employee to read this SPD carefully to understand the Plan as it applies to him or her.</w:t>
      </w:r>
    </w:p>
    <w:p>
      <w:pPr>
        <w:spacing w:after="0" w:line="1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hereinafter used:</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  “Affiliate” means any Person directly or indirectly controlling, controlled by, or under common control with such other Person.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  “Annual Target Bonus” means the amount of an Eligible Employee’s current year annual bonus at “target” performance levels.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  “Board” means the Board of Directors of the Company.</w:t>
      </w:r>
    </w:p>
    <w:p>
      <w:pPr>
        <w:spacing w:after="0" w:line="14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1.4 “Cause” means with respect to an Eligible Employee’s termination of service, the following: (a) in the case where there is no employment agreement, consulting agreement, change in control agreement or similar agreement in effect between the Company or an Affiliate and the Eligible Employee (or where there is such an agreement but it does not define “cause” or words of like import, which shall include but not be limited to “gross misconduct”), termination due to an Eligible Employee’s (1) failure to substantially perform the Eligible Employee’s duties or obey lawful directives that continues after receipt of written notice from the Company and a 10-day opportunity to cure; (2) gross misconduct or gross negligence in the performance of the Eligible Employee’s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the Eligible Employee, or any Company policy (including, without 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Eligible Employee that defines “cause” (or words of like import, which shall include but not be limited to “gross misconduct”), “cause” as defined under such agreement.</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1.5  “Change in Control” means, and shall occur, if:</w:t>
      </w:r>
    </w:p>
    <w:p>
      <w:pPr>
        <w:spacing w:after="0" w:line="158" w:lineRule="exact"/>
        <w:rPr>
          <w:sz w:val="20"/>
          <w:szCs w:val="20"/>
          <w:color w:val="auto"/>
        </w:rPr>
      </w:pPr>
    </w:p>
    <w:p>
      <w:pPr>
        <w:ind w:left="760" w:right="400" w:firstLine="745"/>
        <w:spacing w:after="0" w:line="258" w:lineRule="auto"/>
        <w:tabs>
          <w:tab w:leader="none" w:pos="18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is or becomes the “beneficial owner” (as defined in Rule 13d-3 under the Exchange Act), directly or indirectly, of securities of the Company representing more than 50% of the combined voting power of the Company’s then outstanding securities;</w:t>
      </w:r>
    </w:p>
    <w:p>
      <w:pPr>
        <w:spacing w:after="0" w:line="102" w:lineRule="exact"/>
        <w:rPr>
          <w:rFonts w:ascii="Times New Roman" w:cs="Times New Roman" w:eastAsia="Times New Roman" w:hAnsi="Times New Roman"/>
          <w:sz w:val="18"/>
          <w:szCs w:val="18"/>
          <w:color w:val="auto"/>
        </w:rPr>
      </w:pPr>
    </w:p>
    <w:p>
      <w:pPr>
        <w:ind w:left="760" w:right="120" w:firstLine="745"/>
        <w:spacing w:after="0" w:line="258" w:lineRule="auto"/>
        <w:tabs>
          <w:tab w:leader="none" w:pos="191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(the “Board Measurement Period”) individuals who at the beginning of such period constitute the Board and any new director (other than a director designated by a Person who has entered into an agreement with the Company to effect a transaction described in paragraph (a), (c), or (d) of this section, or a director initially elected or nominated as a result of an actual or threatened election contest with respect to directors or as a result of any other actual or threatened solicitation of proxies by or on behalf of any Person other than the Board) whose election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ind w:left="760" w:right="40"/>
        <w:spacing w:after="0" w:line="266" w:lineRule="auto"/>
        <w:rPr>
          <w:sz w:val="20"/>
          <w:szCs w:val="20"/>
          <w:color w:val="auto"/>
        </w:rPr>
      </w:pPr>
      <w:r>
        <w:rPr>
          <w:rFonts w:ascii="Times New Roman" w:cs="Times New Roman" w:eastAsia="Times New Roman" w:hAnsi="Times New Roman"/>
          <w:sz w:val="18"/>
          <w:szCs w:val="18"/>
          <w:color w:val="auto"/>
        </w:rPr>
        <w:t>Board or nomination for election by the Company’s stockholders was approved by a vote of at least two-thirds of the directors then still in office who either were directors at the beginning of the Board Measurement Period or whose election or nomination for election was previously so approved, cease for any reason to constitute at least a majority of the Board;</w:t>
      </w:r>
    </w:p>
    <w:p>
      <w:pPr>
        <w:spacing w:after="0" w:line="108" w:lineRule="exact"/>
        <w:rPr>
          <w:sz w:val="20"/>
          <w:szCs w:val="20"/>
          <w:color w:val="auto"/>
        </w:rPr>
      </w:pPr>
    </w:p>
    <w:p>
      <w:pPr>
        <w:ind w:left="760" w:right="20" w:firstLine="745"/>
        <w:spacing w:after="0" w:line="255" w:lineRule="auto"/>
        <w:tabs>
          <w:tab w:leader="none" w:pos="18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provided, however, that a merger or consolidation effected to implement a recapitalization of the Company (or similar transaction) in which no Person (other than those covered by the exceptions in (a) above) acquires more than 50% of the combined voting power of the Company’s then outstanding securities shall not constitute a Change in Control of the Company; or</w:t>
      </w:r>
    </w:p>
    <w:p>
      <w:pPr>
        <w:spacing w:after="0" w:line="107" w:lineRule="exact"/>
        <w:rPr>
          <w:rFonts w:ascii="Times New Roman" w:cs="Times New Roman" w:eastAsia="Times New Roman" w:hAnsi="Times New Roman"/>
          <w:sz w:val="18"/>
          <w:szCs w:val="18"/>
          <w:color w:val="auto"/>
        </w:rPr>
      </w:pPr>
    </w:p>
    <w:p>
      <w:pPr>
        <w:ind w:left="760" w:right="60" w:firstLine="745"/>
        <w:spacing w:after="0" w:line="258" w:lineRule="auto"/>
        <w:tabs>
          <w:tab w:leader="none" w:pos="18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the consummation of the sale or disposition by the Company of all or substantially all of the Company’s assets other than (i) the sale or disposition of all or substantially all of the assets of the Company to a Person or Persons who beneficially own, directly or indirectly, more than 50% of the combined voting power of the outstanding voting securities of the Company at the time of the sale or disposition or (ii) pursuant to a spinoff type transaction, directly or indirectly, of such assets to the stockholders of the Company.</w:t>
      </w:r>
    </w:p>
    <w:p>
      <w:pPr>
        <w:spacing w:after="0" w:line="116" w:lineRule="exact"/>
        <w:rPr>
          <w:sz w:val="20"/>
          <w:szCs w:val="20"/>
          <w:color w:val="auto"/>
        </w:rPr>
      </w:pPr>
    </w:p>
    <w:p>
      <w:pPr>
        <w:ind w:right="300" w:firstLine="656"/>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w:t>
      </w:r>
    </w:p>
    <w:p>
      <w:pPr>
        <w:spacing w:after="0" w:line="94" w:lineRule="exact"/>
        <w:rPr>
          <w:sz w:val="20"/>
          <w:szCs w:val="20"/>
          <w:color w:val="auto"/>
        </w:rPr>
      </w:pPr>
    </w:p>
    <w:p>
      <w:pPr>
        <w:ind w:right="40" w:firstLine="656"/>
        <w:spacing w:after="0" w:line="282" w:lineRule="auto"/>
        <w:rPr>
          <w:sz w:val="20"/>
          <w:szCs w:val="20"/>
          <w:color w:val="auto"/>
        </w:rPr>
      </w:pPr>
      <w:r>
        <w:rPr>
          <w:rFonts w:ascii="Times New Roman" w:cs="Times New Roman" w:eastAsia="Times New Roman" w:hAnsi="Times New Roman"/>
          <w:sz w:val="18"/>
          <w:szCs w:val="18"/>
          <w:color w:val="auto"/>
        </w:rPr>
        <w:t>1.6 “CIC Period” means the period beginning three (3) months prior to the date that a Change in Control is consummated and ending on the date that is the eighteen (18) months after such date of consummation.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“Code” means the Internal Revenue Code of 1986,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“Company” means Definitive Healthcare Corp. and any successors thereto.</w:t>
      </w:r>
    </w:p>
    <w:p>
      <w:pPr>
        <w:spacing w:after="0" w:line="158" w:lineRule="exact"/>
        <w:rPr>
          <w:sz w:val="20"/>
          <w:szCs w:val="20"/>
          <w:color w:val="auto"/>
        </w:rPr>
      </w:pPr>
    </w:p>
    <w:p>
      <w:pPr>
        <w:ind w:right="80" w:firstLine="656"/>
        <w:spacing w:after="0" w:line="282" w:lineRule="auto"/>
        <w:rPr>
          <w:sz w:val="20"/>
          <w:szCs w:val="20"/>
          <w:color w:val="auto"/>
        </w:rPr>
      </w:pPr>
      <w:r>
        <w:rPr>
          <w:rFonts w:ascii="Times New Roman" w:cs="Times New Roman" w:eastAsia="Times New Roman" w:hAnsi="Times New Roman"/>
          <w:sz w:val="18"/>
          <w:szCs w:val="18"/>
          <w:color w:val="auto"/>
        </w:rPr>
        <w:t>1.9 “Committee” means (i) the Human Capital Management and Compensation Committee of the Board, (ii) such other committee of the Board that is appointed by the Board to administer the Plan or (iii) the Board, as determined by the Board.</w:t>
      </w:r>
    </w:p>
    <w:p>
      <w:pPr>
        <w:spacing w:after="0" w:line="81" w:lineRule="exact"/>
        <w:rPr>
          <w:sz w:val="20"/>
          <w:szCs w:val="20"/>
          <w:color w:val="auto"/>
        </w:rPr>
      </w:pPr>
    </w:p>
    <w:p>
      <w:pPr>
        <w:ind w:firstLine="656"/>
        <w:spacing w:after="0" w:line="282" w:lineRule="auto"/>
        <w:rPr>
          <w:sz w:val="20"/>
          <w:szCs w:val="20"/>
          <w:color w:val="auto"/>
        </w:rPr>
      </w:pPr>
      <w:r>
        <w:rPr>
          <w:rFonts w:ascii="Times New Roman" w:cs="Times New Roman" w:eastAsia="Times New Roman" w:hAnsi="Times New Roman"/>
          <w:sz w:val="18"/>
          <w:szCs w:val="18"/>
          <w:color w:val="auto"/>
        </w:rPr>
        <w:t>1.10 “Designated Affiliate” means (a) each direct or indirect subsidiary of the Company and (b) each other Affiliate designated by the Committee as a Designated Affiliate for purposes of this Plan.</w:t>
      </w:r>
    </w:p>
    <w:p>
      <w:pPr>
        <w:spacing w:after="0" w:line="94" w:lineRule="exact"/>
        <w:rPr>
          <w:sz w:val="20"/>
          <w:szCs w:val="20"/>
          <w:color w:val="auto"/>
        </w:rPr>
      </w:pPr>
    </w:p>
    <w:p>
      <w:pPr>
        <w:ind w:right="100" w:firstLine="656"/>
        <w:spacing w:after="0" w:line="282" w:lineRule="auto"/>
        <w:rPr>
          <w:sz w:val="20"/>
          <w:szCs w:val="20"/>
          <w:color w:val="auto"/>
        </w:rPr>
      </w:pPr>
      <w:r>
        <w:rPr>
          <w:rFonts w:ascii="Times New Roman" w:cs="Times New Roman" w:eastAsia="Times New Roman" w:hAnsi="Times New Roman"/>
          <w:sz w:val="18"/>
          <w:szCs w:val="18"/>
          <w:color w:val="auto"/>
        </w:rPr>
        <w:t>1.11 “Disability” means a disability described in Treasury Regulations Section 1.409A-3(i)(4)(i)(A). A Disability shall be deemed to occur at the time of the determination by the Committee of the Disability.</w:t>
      </w:r>
    </w:p>
    <w:p>
      <w:pPr>
        <w:spacing w:after="0" w:line="94" w:lineRule="exact"/>
        <w:rPr>
          <w:sz w:val="20"/>
          <w:szCs w:val="20"/>
          <w:color w:val="auto"/>
        </w:rPr>
      </w:pPr>
    </w:p>
    <w:p>
      <w:pPr>
        <w:ind w:right="480" w:firstLine="656"/>
        <w:spacing w:after="0" w:line="282" w:lineRule="auto"/>
        <w:rPr>
          <w:sz w:val="20"/>
          <w:szCs w:val="20"/>
          <w:color w:val="auto"/>
        </w:rPr>
      </w:pPr>
      <w:r>
        <w:rPr>
          <w:rFonts w:ascii="Times New Roman" w:cs="Times New Roman" w:eastAsia="Times New Roman" w:hAnsi="Times New Roman"/>
          <w:sz w:val="18"/>
          <w:szCs w:val="18"/>
          <w:color w:val="auto"/>
        </w:rPr>
        <w:t>1.12 “Effective Date” means the first date on which the Registration Statement on Form S-1 for the initial public offering of the Company’s common stock is declared effective by the United States Securities and Exchange Commission.</w:t>
      </w:r>
    </w:p>
    <w:p>
      <w:pPr>
        <w:spacing w:after="0" w:line="81" w:lineRule="exact"/>
        <w:rPr>
          <w:sz w:val="20"/>
          <w:szCs w:val="20"/>
          <w:color w:val="auto"/>
        </w:rPr>
      </w:pPr>
    </w:p>
    <w:p>
      <w:pPr>
        <w:ind w:right="400" w:firstLine="656"/>
        <w:spacing w:after="0" w:line="282" w:lineRule="auto"/>
        <w:rPr>
          <w:sz w:val="20"/>
          <w:szCs w:val="20"/>
          <w:color w:val="auto"/>
        </w:rPr>
      </w:pPr>
      <w:r>
        <w:rPr>
          <w:rFonts w:ascii="Times New Roman" w:cs="Times New Roman" w:eastAsia="Times New Roman" w:hAnsi="Times New Roman"/>
          <w:sz w:val="18"/>
          <w:szCs w:val="18"/>
          <w:color w:val="auto"/>
        </w:rPr>
        <w:t>1.13 “Eligible Employee” means each individual who has received, executed and timely delivered to the Company a Severance Participation Letter per the instructions therein.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1.14 “ERISA” means the Employee Retirement Income Security Act of 1974, as amended.</w:t>
      </w:r>
    </w:p>
    <w:p>
      <w:pPr>
        <w:spacing w:after="0" w:line="158" w:lineRule="exact"/>
        <w:rPr>
          <w:sz w:val="20"/>
          <w:szCs w:val="20"/>
          <w:color w:val="auto"/>
        </w:rPr>
      </w:pPr>
    </w:p>
    <w:p>
      <w:pPr>
        <w:ind w:right="40" w:firstLine="656"/>
        <w:spacing w:after="0" w:line="282" w:lineRule="auto"/>
        <w:rPr>
          <w:sz w:val="20"/>
          <w:szCs w:val="20"/>
          <w:color w:val="auto"/>
        </w:rPr>
      </w:pPr>
      <w:r>
        <w:rPr>
          <w:rFonts w:ascii="Times New Roman" w:cs="Times New Roman" w:eastAsia="Times New Roman" w:hAnsi="Times New Roman"/>
          <w:sz w:val="18"/>
          <w:szCs w:val="18"/>
          <w:color w:val="auto"/>
        </w:rPr>
        <w:t>1.15 “Exchange Act” means the Securities Exchange Act of 1934, as amended, and the rules and regulations promulgated thereunder, as the same may be amended from time to time.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 “Payment Trigger” means the later of (i) a Change in Control or (ii) the Eligible Employee’s Separation Date during the CIC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1" w:name="page152"/>
    <w:bookmarkEnd w:id="151"/>
    <w:p>
      <w:pPr>
        <w:ind w:right="260" w:firstLine="656"/>
        <w:spacing w:after="0" w:line="282" w:lineRule="auto"/>
        <w:rPr>
          <w:sz w:val="20"/>
          <w:szCs w:val="20"/>
          <w:color w:val="auto"/>
        </w:rPr>
      </w:pPr>
      <w:r>
        <w:rPr>
          <w:rFonts w:ascii="Times New Roman" w:cs="Times New Roman" w:eastAsia="Times New Roman" w:hAnsi="Times New Roman"/>
          <w:sz w:val="18"/>
          <w:szCs w:val="18"/>
          <w:color w:val="auto"/>
        </w:rPr>
        <w:t>1.17 “Person” means an individual, corporation, partnership, association, trust, unincorporated organization, limited liability company or other legal entity. All references to Person shall include an individual Person or a group (as defined in Rule 13d-5 under the Exchange Act) of Persons.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1.18 “Plan” means this Definitive Healthcare Corp. Change in Control Severance Plan for Executives.</w:t>
      </w:r>
    </w:p>
    <w:p>
      <w:pPr>
        <w:spacing w:after="0" w:line="144" w:lineRule="exact"/>
        <w:rPr>
          <w:sz w:val="20"/>
          <w:szCs w:val="20"/>
          <w:color w:val="auto"/>
        </w:rPr>
      </w:pPr>
    </w:p>
    <w:p>
      <w:pPr>
        <w:jc w:val="both"/>
        <w:ind w:right="60" w:firstLine="656"/>
        <w:spacing w:after="0" w:line="266" w:lineRule="auto"/>
        <w:rPr>
          <w:sz w:val="20"/>
          <w:szCs w:val="20"/>
          <w:color w:val="auto"/>
        </w:rPr>
      </w:pPr>
      <w:r>
        <w:rPr>
          <w:rFonts w:ascii="Times New Roman" w:cs="Times New Roman" w:eastAsia="Times New Roman" w:hAnsi="Times New Roman"/>
          <w:sz w:val="18"/>
          <w:szCs w:val="18"/>
          <w:color w:val="auto"/>
        </w:rPr>
        <w:t>1.19 “Plan Administrator” means the Committee, acting by itself or through its authorized delegates, as applicable. Unless otherwise determined by the Committee, the authorized delegates of the Committee shall act as Plan Administrator for all purposes of the Plan, other than as it relates to Section 9 of the Plan. All actions under Section 9 of the Plan shall be made by the Committee or the Board.</w:t>
      </w:r>
    </w:p>
    <w:p>
      <w:pPr>
        <w:spacing w:after="0" w:line="108" w:lineRule="exact"/>
        <w:rPr>
          <w:sz w:val="20"/>
          <w:szCs w:val="20"/>
          <w:color w:val="auto"/>
        </w:rPr>
      </w:pPr>
    </w:p>
    <w:p>
      <w:pPr>
        <w:ind w:right="680" w:firstLine="656"/>
        <w:spacing w:after="0" w:line="282" w:lineRule="auto"/>
        <w:rPr>
          <w:sz w:val="20"/>
          <w:szCs w:val="20"/>
          <w:color w:val="auto"/>
        </w:rPr>
      </w:pPr>
      <w:r>
        <w:rPr>
          <w:rFonts w:ascii="Times New Roman" w:cs="Times New Roman" w:eastAsia="Times New Roman" w:hAnsi="Times New Roman"/>
          <w:sz w:val="18"/>
          <w:szCs w:val="18"/>
          <w:color w:val="auto"/>
        </w:rPr>
        <w:t>1.20 “Qualifying Termination” means a termination of an Eligible Employee’s employment by the Company without Cause, excluding a termination as a result of the Eligible Employee’s death or Disability.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 “Separation Date” means the date on which an Eligible Employee incurs a Qualifying Termination.</w:t>
      </w:r>
    </w:p>
    <w:p>
      <w:pPr>
        <w:spacing w:after="0" w:line="144" w:lineRule="exact"/>
        <w:rPr>
          <w:sz w:val="20"/>
          <w:szCs w:val="20"/>
          <w:color w:val="auto"/>
        </w:rPr>
      </w:pPr>
    </w:p>
    <w:p>
      <w:pPr>
        <w:ind w:right="40" w:firstLine="656"/>
        <w:spacing w:after="0" w:line="282" w:lineRule="auto"/>
        <w:rPr>
          <w:sz w:val="20"/>
          <w:szCs w:val="20"/>
          <w:color w:val="auto"/>
        </w:rPr>
      </w:pPr>
      <w:r>
        <w:rPr>
          <w:rFonts w:ascii="Times New Roman" w:cs="Times New Roman" w:eastAsia="Times New Roman" w:hAnsi="Times New Roman"/>
          <w:sz w:val="18"/>
          <w:szCs w:val="18"/>
          <w:color w:val="auto"/>
        </w:rPr>
        <w:t>1.22 “Severance Participation Letter” means a letter from the Company, and executed by the employee, notifying the employee of their eligibility to participate in the Plan.</w:t>
      </w:r>
    </w:p>
    <w:p>
      <w:pPr>
        <w:spacing w:after="0" w:line="9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Qualifying Termination During CIC Period.</w:t>
      </w:r>
    </w:p>
    <w:p>
      <w:pPr>
        <w:spacing w:after="0" w:line="15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2.1 If, during the CIC Period, an Eligible Employee’s employment terminates as a result of a Qualifying Termination, then, subject to the terms of the Plan, including Section 5, the Company shall provide to such Eligible Employee the following severance payments and benefits:</w:t>
      </w:r>
    </w:p>
    <w:p>
      <w:pPr>
        <w:spacing w:after="0" w:line="81" w:lineRule="exact"/>
        <w:rPr>
          <w:sz w:val="20"/>
          <w:szCs w:val="20"/>
          <w:color w:val="auto"/>
        </w:rPr>
      </w:pPr>
    </w:p>
    <w:p>
      <w:pPr>
        <w:ind w:left="760" w:right="160" w:firstLine="745"/>
        <w:spacing w:after="0" w:line="266" w:lineRule="auto"/>
        <w:tabs>
          <w:tab w:leader="none" w:pos="18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Eligible Employee’s base salary, at the rate in effect on the Separation Date, for the period of 12 months following the Payment Trigger, payable in substantially equal installments in accordance with the Company’s regular payroll practices as in effect from time to time;</w:t>
      </w:r>
    </w:p>
    <w:p>
      <w:pPr>
        <w:spacing w:after="0" w:line="108" w:lineRule="exact"/>
        <w:rPr>
          <w:rFonts w:ascii="Times New Roman" w:cs="Times New Roman" w:eastAsia="Times New Roman" w:hAnsi="Times New Roman"/>
          <w:sz w:val="18"/>
          <w:szCs w:val="18"/>
          <w:color w:val="auto"/>
        </w:rPr>
      </w:pPr>
    </w:p>
    <w:p>
      <w:pPr>
        <w:ind w:left="760" w:right="220" w:firstLine="745"/>
        <w:spacing w:after="0" w:line="282" w:lineRule="auto"/>
        <w:tabs>
          <w:tab w:leader="none" w:pos="18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Eligible Employee’s Annual Target Bonus, payable in a lump sum on the first administratively feasible payroll date following the Payment Trigger; and</w:t>
      </w:r>
    </w:p>
    <w:p>
      <w:pPr>
        <w:spacing w:after="0" w:line="94" w:lineRule="exact"/>
        <w:rPr>
          <w:rFonts w:ascii="Times New Roman" w:cs="Times New Roman" w:eastAsia="Times New Roman" w:hAnsi="Times New Roman"/>
          <w:sz w:val="18"/>
          <w:szCs w:val="18"/>
          <w:color w:val="auto"/>
        </w:rPr>
      </w:pPr>
    </w:p>
    <w:p>
      <w:pPr>
        <w:ind w:left="760" w:firstLine="745"/>
        <w:spacing w:after="0" w:line="254" w:lineRule="auto"/>
        <w:tabs>
          <w:tab w:leader="none" w:pos="18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Eligible Employee timely elects continuation coverage under the Consolidated Omnibus Budget Reconciliation Act of 1985 (“COBRA”), reimbursement for the applicable COBRA premiums, if any, under the Company’s or its subsidiaries’, as applicable, medical, dental and vision plans for such Eligible Employee and his or her eligible dependents until the earliest of (i) 12 months following the Payment Trigger, (ii) the date the Eligible Employee obtains new employment that provides substantially similar medical, dental and vision coverage or (iii) the Eligible Employee otherwise ceases to covered by COBRA. Notwithstanding the foregoing, if the Company's providing COBRA coverage under this Section 2.1(c) would violate the nondiscrimination rules applicable to non-grandfathered plans, or would result in the imposition of penalties under the Patient Protection and Affordable Care Act of 2010, as amended by the Health Care and Education Reconciliation Act of 2010, and the related regulations and guidance promulgated thereunder (the "ACA"), the Company shall reform this Section 2.1(c) in a manner as is necessary to comply with the ACA.</w:t>
      </w:r>
    </w:p>
    <w:p>
      <w:pPr>
        <w:spacing w:after="0" w:line="107"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2.2 If, an Eligible Employee breaches any confidentiality agreement, covenant against competition or solicitation, non-disparagement agreement or any other restrictive covenant with the Company or any Designated Affiliate, the Eligible Employee shall forfeit any further right to any payments or benefits hereunder and shall be obligated to promptly repay the after-tax amount of any payments received under the Plan.</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Non-Duplication of Benefits</w:t>
      </w:r>
      <w:r>
        <w:rPr>
          <w:rFonts w:ascii="Times New Roman" w:cs="Times New Roman" w:eastAsia="Times New Roman" w:hAnsi="Times New Roman"/>
          <w:sz w:val="18"/>
          <w:szCs w:val="18"/>
          <w:color w:val="auto"/>
        </w:rPr>
        <w:t>. The Plan will not apply to any Eligible Employee who is eligible for severance compensation and benefits under any employment agreement, offer letter, or other contractual arrangement with the Company or under applicable law, in each case, that is more favorable to the Eligible Employee. If severance benefits are provided under the Plan to any Eligible Employee, such Eligible Employee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2" w:name="page153"/>
    <w:bookmarkEnd w:id="152"/>
    <w:p>
      <w:pPr>
        <w:ind w:right="280"/>
        <w:spacing w:after="0" w:line="282" w:lineRule="auto"/>
        <w:rPr>
          <w:sz w:val="20"/>
          <w:szCs w:val="20"/>
          <w:color w:val="auto"/>
        </w:rPr>
      </w:pPr>
      <w:r>
        <w:rPr>
          <w:rFonts w:ascii="Times New Roman" w:cs="Times New Roman" w:eastAsia="Times New Roman" w:hAnsi="Times New Roman"/>
          <w:sz w:val="18"/>
          <w:szCs w:val="18"/>
          <w:color w:val="auto"/>
        </w:rPr>
        <w:t>not be eligible for severance benefits related to a Change in Control under any other plan or policy of, or contractual arrangement with, the Company or under applicable law.</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Accrued Compensation</w:t>
      </w:r>
      <w:r>
        <w:rPr>
          <w:rFonts w:ascii="Times New Roman" w:cs="Times New Roman" w:eastAsia="Times New Roman" w:hAnsi="Times New Roman"/>
          <w:sz w:val="18"/>
          <w:szCs w:val="18"/>
          <w:color w:val="auto"/>
        </w:rPr>
        <w:t xml:space="preserve">. Regardless of whether an Eligible Employee satisfies the conditions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on a termination of employment under Section 2 of the Plan, the Eligible Employee will receive, to the extent unpaid, (i) any earned but unpaid base pay through the Separation Date, (ii) if required by applicable law or the Company’s applicable policy, any accrued but unused vacation through the Separation Date, (iii) any unreimbursed business expenses incurred by the Eligible Employee through the Separation Date payable in accordance with the Company’s standard expense reimbursement policies, and (iv) any benefits owed to the Eligible Employee under any qualified retirement plan or health and welfare benefit plan in which the Eligible Employee was a participant, in accordance with applicable law and the provisions of such plan (items (i) through (iv), the “</w:t>
      </w:r>
      <w:r>
        <w:rPr>
          <w:rFonts w:ascii="Times New Roman" w:cs="Times New Roman" w:eastAsia="Times New Roman" w:hAnsi="Times New Roman"/>
          <w:sz w:val="18"/>
          <w:szCs w:val="18"/>
          <w:u w:val="single" w:color="auto"/>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to Payment</w:t>
      </w:r>
      <w:r>
        <w:rPr>
          <w:rFonts w:ascii="Times New Roman" w:cs="Times New Roman" w:eastAsia="Times New Roman" w:hAnsi="Times New Roman"/>
          <w:sz w:val="18"/>
          <w:szCs w:val="18"/>
          <w:color w:val="auto"/>
        </w:rPr>
        <w:t xml:space="preserve">. Notwithstanding any other provision of the Plan, any obligation of the Company to pay or provide severance payments or benefits to an Eligible Employee pursuant to the Plan, other than the Accrued Compensation described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is conditioned upon (a) the Eligible Employee’s execution and delivery to the Company of a separation agreement that includes a general release and waiver of claims in favor of the Company, and its current, former, and future subsidiaries, affiliates, stockholders, directors, officers, employees, agents, benefit plans, trustees, and others identified therein, in a form provided by the Company or its Designated Affiliates (such separation agreement, a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and (b) such Separation Agreement becoming fully effective and irrevocable by the date specified therein, but in no event more than sixty (60) days following the Payment Trigger.</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It is intended that payments and benefits under the Plan be exempt from or in compliance with the provisions of Section 409A of the Code and the regulations thereunder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the Plan shall be interpreted and administered accordingly. To the extent required to comply with or be exempt from Section 409A, an Eligible Employee will not be considered to have terminated employment with the Company for purposes of the Plan, and no payment will be due under the Plan, until he or she has incurred a “separation from service” from the Company within the meaning of Section 409A (after giving effect to the presumptions set forth therein). If an Eligible Employee is determined to be a “specified employee” at the time of his or her separation from service then, to the extent necessary to prevent any accelerated or additional tax under Section 409A, payment of the amounts payable under the Plan will be delayed until the earlier of (a) the date that is six months and one day following the Eligible Employee’s separation from service and (b) the Eligible Employee’s death. Each amount paid pursuant to the Plan shall be treated as a separate payment for purposes of Section 409A and the right to a series of installment payments under the Plan shall be treated as the right to a series of separate payments. To the extent required by Section 409A, if the period available to execute (and not revoke) the Separation Agreement spans two calendar years, the first installment of any payments or benefits provided to the Eligible Employee under the Plan will be paid in the second calendar year. Notwithstanding the foregoing or anything to the contrary in the Plan, none of the Company nor any other person will be liable to an Eligible Employee by reason of any acceleration of income, or any additional tax (including any interest and penalties), asserted with respect to any of the payments or benefits under the Plan, including by reason of the failure of the Plan to satisfy the applicable requirements of Section 409A in form or in operation. To the extent required to avoid an accelerated or additional tax under Section 409A, amounts reimbursable to an Eligible Employee under the Plan shall be paid to the Eligible Employee on or before the last day of the year following the year in which the expense was incurred and the amount of expenses eligible for reimbursement (and in-kind benefits provided to the Eligible Employee) during any one year may not affect amounts reimbursable or provided in any subsequent year and may not be liquidated or exchanged for any other benefit.</w:t>
      </w:r>
    </w:p>
    <w:p>
      <w:pPr>
        <w:spacing w:after="0" w:line="124"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xml:space="preserve">. In the event that it is determined that any payments or benefits provided under the Plan together with any payments or benefits to be provided under any other plan, program, arrangement or agreement would constitute parachute payments within the meaning of Section 280G of the Code and would, but for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 subject to the excise tax imposed under Section 4999 of the Code (or any successor provision thereto) or any similar tax imposed by state or local law or any interest or penalties with respect to such taxes (the “</w:t>
      </w:r>
      <w:r>
        <w:rPr>
          <w:rFonts w:ascii="Times New Roman" w:cs="Times New Roman" w:eastAsia="Times New Roman" w:hAnsi="Times New Roman"/>
          <w:sz w:val="18"/>
          <w:szCs w:val="18"/>
          <w:u w:val="single" w:color="auto"/>
          <w:color w:val="auto"/>
        </w:rPr>
        <w:t>Excise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3" w:name="page154"/>
    <w:bookmarkEnd w:id="153"/>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then the amounts of any such payments or benefits under the Plan and such other arrangements shall be either (i) paid in full or (ii) reduced to the minimum extent necessary to ensure that no portion of the payments or benefits is subject to the Excise Tax, whichever of the foregoing (i) or (ii) results in the Eligible Employee’s receipt on an after-tax basis of the greatest amount of payments and benefits after taking into account the applicable federal, state, local and foreign income, employment and excise taxes (including the Excise Tax). Any such reduction shall be made by the Company in its sole discretion consistent with the requirements of Section 409A.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Any determination required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made in writing in good faith by a nationally recognized public accounting firm selected by the Company. The Company and the Eligible Employee shall provide the accounting firm with such information and documents as the accounting firm may reasonably request in order to make a determination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Plan Administration</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7"/>
          <w:szCs w:val="17"/>
          <w:color w:val="auto"/>
        </w:rPr>
        <w:t>8.1 The Plan Administrator has full discretionary authority to administer the Plan, interpret the Plan, prescribe, amend, and rescind rules and regulations under the Plan, and make all other determinations necessary or advisable for the administration of the Plan, subject to all of the provisions of the Plan. No benefit will be payable under the Plan except as determined payable by the Plan Administrator in its sole discretion. Any determination by the Plan Administrator shall be binding and final in the absence of clear and convincing evidence that the Plan Administrator acted arbitrarily and capriciously.</w:t>
      </w:r>
    </w:p>
    <w:p>
      <w:pPr>
        <w:spacing w:after="0" w:line="9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8.2 The Plan will be administered as a “severance pay arrangement” within the meaning of Section 3(2)(B)(i) of ERISA, excepted from the definitions of “employee pension benefit plan” and “pension plan” set forth under Section 3(2) of ERISA, and will be administered in accordance with the provisions of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Plan Modification or Termination</w:t>
      </w:r>
      <w:r>
        <w:rPr>
          <w:rFonts w:ascii="Times New Roman" w:cs="Times New Roman" w:eastAsia="Times New Roman" w:hAnsi="Times New Roman"/>
          <w:sz w:val="18"/>
          <w:szCs w:val="18"/>
          <w:color w:val="auto"/>
        </w:rPr>
        <w:t>. The Plan may be amended or terminated by the Plan Administrator, provided that no amendment or termination shall be effective that decreases the severance benefits to which an Eligible Employee may become eligible or that makes any provision of the Plan less favorable for any Eligible Employee without the written consent of the affected Eligible Employee. Once a Change in Control occurs, the Plan shall not apply to any future Change in Control, unless otherwise determined by the Plan Administrator.</w:t>
      </w:r>
    </w:p>
    <w:p>
      <w:pPr>
        <w:spacing w:after="0" w:line="9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Unless earlier terminated pursuant to Section 9, if a Change in Control has not occurred, the Plan will expire ten years from the Effective Date.</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Successors to the Company</w:t>
      </w:r>
      <w:r>
        <w:rPr>
          <w:rFonts w:ascii="Times New Roman" w:cs="Times New Roman" w:eastAsia="Times New Roman" w:hAnsi="Times New Roman"/>
          <w:sz w:val="18"/>
          <w:szCs w:val="18"/>
          <w:color w:val="auto"/>
        </w:rPr>
        <w:t>. The Plan shall be binding on any successor (whether direct or indirect, by purchase, merger, consolidation, or otherwise) of all or substantially all of the business and/or assets of the Company, which successor shall perform the Company’s obligations under the Plan in the same manner and to the same extent that the Company would be required to perform them if no such succession had taken place.</w:t>
      </w:r>
    </w:p>
    <w:p>
      <w:pPr>
        <w:spacing w:after="0" w:line="1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General Provisions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12.1 Except as otherwise provided herein or by law, no right or interest of any Eligible Employee under the Plan shall be assignable or transferable, in whole or in part, either directly or by operation of law or otherwise, including without limitation by execution, levy, garnishment, attachment, pledge, or otherwise; no attempted assignment or transfer thereof shall be effective; and no right or interest of any Eligible Employee under the Plan shall be liable for, or subject to, any obligation or liability of such Eligible Employee. When a payment is due under the Plan to a terminated Eligible Employee who is unable to care for his or her affairs, payment may be made directly to his or her legal guardian or personal representative as determined by a court of competent jurisdiction.</w:t>
      </w:r>
    </w:p>
    <w:p>
      <w:pPr>
        <w:spacing w:after="0" w:line="120"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12.2 Except as may be provided under any other written agreement between an Eligible Employee and the Company, the employment of the Eligible Employee by the Company is “at will” and may be terminated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either the Eligible Employee or the Company at any time, subject to applicable law. Nothing contained herein shall constitute an employment contract or guarantee of employment or confer any other rights except as set forth herein. Nothing in the Plan will be construed to create any right to employment or re-employment with the Company.</w:t>
      </w:r>
    </w:p>
    <w:p>
      <w:pPr>
        <w:spacing w:after="0" w:line="108"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12.3 If any provision of the Plan shall be held invalid or unenforceable, such invalidity or unenforceability shall not affect any other provisions hereof, and the Plan shall be construed and enforced as if such provisions had not been included.</w:t>
      </w:r>
    </w:p>
    <w:p>
      <w:pPr>
        <w:spacing w:after="0" w:line="8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12.4 The Plan shall inure to the benefit of and be binding upon the heirs, executors, administrators, successors, and assigns of the parties, including each Eligible Employee, present and future, and any successor to the Company. If an Eligible Employee dies while any amount would still be payable to such Eligible Employee hereunder (following a Qualifying Termination), all such amounts, unless otherwise provided herein, shall be paid in accordance with the terms of the Plan to the executor, personal representative, or administrators of the deceased Eligible Employee’s estate. None of the Company or any of its Affiliates, employees, directors or representatives shall have liability to any person following payment made in good faith under this provision.</w:t>
      </w:r>
    </w:p>
    <w:p>
      <w:pPr>
        <w:spacing w:after="0" w:line="12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12.5 The headings and captions herein are provided for reference and convenience only, shall not be considered part of the Plan, and shall not be employed in the construction of the Plan.</w:t>
      </w:r>
    </w:p>
    <w:p>
      <w:pPr>
        <w:spacing w:after="0" w:line="94"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12.6 The Plan shall be funded out of the general assets of the Company as and when severance benefits are payable under the Plan. All Eligible Employees shall be solely general creditors of the Company.</w:t>
      </w:r>
    </w:p>
    <w:p>
      <w:pPr>
        <w:spacing w:after="0" w:line="8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12.7 Any notice or other communication to an Eligible Employee required or permitted pursuant to the terms hereof shall have been duly given when delivered or mailed by United States Mail, first class, postage prepaid, addressed to the intended recipient at his or her last known address. Any notice or other communication to the Company must be made as set forth in Appendix A hereto.</w:t>
      </w:r>
    </w:p>
    <w:p>
      <w:pPr>
        <w:spacing w:after="0" w:line="10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12.8 To the extent not preempted by federal law, which shall otherwise control, the Plan shall be construed and enforced according to the laws of the State of Delaware without regard to any conflicts of law principles.</w:t>
      </w:r>
    </w:p>
    <w:p>
      <w:pPr>
        <w:spacing w:after="0" w:line="9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12.9 All benefits hereunder shall be reduced by applicable withholding and shall be subject to applicable tax reporting, as determined by the Plan Administrator.</w:t>
      </w:r>
    </w:p>
    <w:p>
      <w:pPr>
        <w:spacing w:after="0" w:line="81"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sets forth certain rights each Eligible Employee has under ERISA.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hereto set forth important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5" w:name="page156"/>
    <w:bookmarkEnd w:id="155"/>
    <w:p>
      <w:pPr>
        <w:ind w:left="508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Capitalized terms not otherwise defined in this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will have the meanings from the Plan.</w:t>
      </w:r>
    </w:p>
    <w:p>
      <w:pPr>
        <w:spacing w:after="0" w:line="14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CLAIMS, INQUIRIES, APPEALS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Applications for Benefits and Inquiries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Any application for benefits, inquiries about the Plan, or inquiries about present or future rights under the Plan must be submitted to the Plan Administrator in writing, as follows:</w:t>
      </w:r>
    </w:p>
    <w:p>
      <w:pPr>
        <w:spacing w:after="0" w:line="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492 Old Connecticut Path</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Attn: Chief Talent Officer</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Denial of Claims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80" w:firstLine="749"/>
        <w:spacing w:after="0" w:line="281" w:lineRule="auto"/>
        <w:rPr>
          <w:sz w:val="20"/>
          <w:szCs w:val="20"/>
          <w:color w:val="auto"/>
        </w:rPr>
      </w:pPr>
      <w:r>
        <w:rPr>
          <w:rFonts w:ascii="Times New Roman" w:cs="Times New Roman" w:eastAsia="Times New Roman" w:hAnsi="Times New Roman"/>
          <w:sz w:val="17"/>
          <w:szCs w:val="17"/>
          <w:color w:val="auto"/>
        </w:rPr>
        <w:t>In the event that any application for benefits is denied in whole or in part, the Plan Administrator must notify the applicant, in writing, of the denial of the application, and of the applicant’s right to review the denial. The written notice of denial will be set forth in a manner designed to be understood by the applicant, and will include specific reasons for the denial, specific references to the Plan provision upon which the denial is based, a description of any information or material that the Plan Administrator needs to complete the review, and an explanation of the Plan’s review procedure.</w:t>
      </w:r>
    </w:p>
    <w:p>
      <w:pPr>
        <w:spacing w:after="0" w:line="83"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This written notice will be given to the applicant within 90 days after the Plan Administrator receives the application, unless special circumstances require an extension of time, in which case the Plan Administrator has up to an additional 90 days to process the application. If an extension of time for processing is required, written notice of the extension will be furnished to the applicant before the end of the initial 90-day period.</w:t>
      </w:r>
    </w:p>
    <w:p>
      <w:pPr>
        <w:spacing w:after="0" w:line="10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notice of extension will describe the special circumstances necessitating the additional time and the date by which the Plan Administrator is to render its decision on the application. If written notice of denial of the application for benefits is not furnished within the specified time, the application shall be deemed to be denied. The applicant will then be permitted to appeal the denial in accordance with the review procedure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Request for a Review</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firstLine="843"/>
        <w:spacing w:after="0" w:line="258" w:lineRule="auto"/>
        <w:rPr>
          <w:sz w:val="20"/>
          <w:szCs w:val="20"/>
          <w:color w:val="auto"/>
        </w:rPr>
      </w:pPr>
      <w:r>
        <w:rPr>
          <w:rFonts w:ascii="Times New Roman" w:cs="Times New Roman" w:eastAsia="Times New Roman" w:hAnsi="Times New Roman"/>
          <w:sz w:val="18"/>
          <w:szCs w:val="18"/>
          <w:color w:val="auto"/>
        </w:rPr>
        <w:t>Any person (or that person’s authorized representative) for whom an application for benefits is denied (or deemed denied), in whole or in part, may appeal the denial by submitting a request for a review to the Plan Administrator within 60 days after the application is denied (or deemed denied). The Plan Administrator will give the applicant (or his or her representative) an opportunity to review pertinent documents in preparing a request for a review and submit written comments, documents, records, and other information relating to the claim. A request for a review shall be in writing and shall be addressed to:</w:t>
      </w:r>
    </w:p>
    <w:p>
      <w:pPr>
        <w:spacing w:after="0" w:line="1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492 Old Connecticut Path</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Attn: Chief Talent Officer</w:t>
      </w:r>
    </w:p>
    <w:p>
      <w:pPr>
        <w:spacing w:after="0" w:line="207" w:lineRule="exact"/>
        <w:rPr>
          <w:sz w:val="20"/>
          <w:szCs w:val="20"/>
          <w:color w:val="auto"/>
        </w:rPr>
      </w:pPr>
    </w:p>
    <w:p>
      <w:pPr>
        <w:ind w:right="260" w:firstLine="936"/>
        <w:spacing w:after="0" w:line="266" w:lineRule="auto"/>
        <w:rPr>
          <w:sz w:val="20"/>
          <w:szCs w:val="20"/>
          <w:color w:val="auto"/>
        </w:rPr>
      </w:pPr>
      <w:r>
        <w:rPr>
          <w:rFonts w:ascii="Times New Roman" w:cs="Times New Roman" w:eastAsia="Times New Roman" w:hAnsi="Times New Roman"/>
          <w:sz w:val="18"/>
          <w:szCs w:val="18"/>
          <w:color w:val="auto"/>
        </w:rPr>
        <w:t>A request for review must set forth all of the grounds on which it is based, all facts in support of the request, and any other matters that the applicant feels are pertinent. The Plan Administrator may require the applicant to submit additional facts, documents, or other material as it may find necessary or appropriate in making his or her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auto"/>
        </w:rPr>
        <w:t>Decision on Review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40" w:firstLine="936"/>
        <w:spacing w:after="0" w:line="256" w:lineRule="auto"/>
        <w:rPr>
          <w:sz w:val="20"/>
          <w:szCs w:val="20"/>
          <w:color w:val="auto"/>
        </w:rPr>
      </w:pPr>
      <w:r>
        <w:rPr>
          <w:rFonts w:ascii="Times New Roman" w:cs="Times New Roman" w:eastAsia="Times New Roman" w:hAnsi="Times New Roman"/>
          <w:sz w:val="18"/>
          <w:szCs w:val="18"/>
          <w:color w:val="auto"/>
        </w:rPr>
        <w:t>The Plan Administrator will act on each request for review within 60 days after receipt of the request, unless special circumstances require an extension of time (not to exceed an additional 60 days), for processing the request for a review. If an extension for review is required, written notice of the extension will be furnished to the applicant within the initial 60-day period. If written notice of denial of the application for benefits is not furnished within the specified time, the application will be deemed to be denied. The Plan Administrator will give prompt written notice of its decision to the applicant. In the event that the Plan Administrator confirms the denial of the application for benefits in whole or in part, the notice will outline, in a manner calculated to be understood by the applicant, the specific Plan provisions upon which the decision is based.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Rules and Procedures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firstLine="936"/>
        <w:spacing w:after="0" w:line="266" w:lineRule="auto"/>
        <w:rPr>
          <w:sz w:val="20"/>
          <w:szCs w:val="20"/>
          <w:color w:val="auto"/>
        </w:rPr>
      </w:pPr>
      <w:r>
        <w:rPr>
          <w:rFonts w:ascii="Times New Roman" w:cs="Times New Roman" w:eastAsia="Times New Roman" w:hAnsi="Times New Roman"/>
          <w:sz w:val="18"/>
          <w:szCs w:val="18"/>
          <w:color w:val="auto"/>
        </w:rPr>
        <w:t>The Plan Administrator may establish rules and procedures, consistent with the Plan and with ERISA, as necessary and appropriate in carrying out its responsibilities in reviewing benefit claims. The Plan Administrator may require an applicant who wishes to submit additional information in connection with an appeal from the denial (or deemed denial) of benefits to do so at the applicant’s own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Exhaustion of Remedies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firstLine="936"/>
        <w:spacing w:after="0" w:line="255" w:lineRule="auto"/>
        <w:rPr>
          <w:sz w:val="20"/>
          <w:szCs w:val="20"/>
          <w:color w:val="auto"/>
        </w:rPr>
      </w:pPr>
      <w:r>
        <w:rPr>
          <w:rFonts w:ascii="Times New Roman" w:cs="Times New Roman" w:eastAsia="Times New Roman" w:hAnsi="Times New Roman"/>
          <w:sz w:val="18"/>
          <w:szCs w:val="18"/>
          <w:color w:val="auto"/>
        </w:rPr>
        <w:t>No legal action for benefits under the Plan may be brought until the applicant (a) has submitted a written application for benefits in accordance with the procedures described above, (b) has been notified by the Plan Administrator that the application is denied (or the application is deemed denied by the Plan Administrator’s failure to act on it within the established time period), (c) has filed a written request for a review of the application in accordance with the appeal procedure described above, and (d) has been notified in writing that the Plan Administrator has denied the appeal (or the appeal is deemed to be denied by the Plan Administrator’s failure to take any action on the claim within the time prescribed above). In no event may any legal proceeding regarding entitlement to benefits or any aspect of benefits under the Plan be commenced later than the earlier of: (i) one year after the date on which an applicant receives a decision from the Plan Administrator regarding his or her appeal and (ii) the date otherwise prescribed by applicable law.</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UNDER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 RETIREMENT INCOME SECURITY ACT OF 1974 (ERISA)</w:t>
      </w:r>
    </w:p>
    <w:p>
      <w:pPr>
        <w:spacing w:after="0" w:line="139" w:lineRule="exact"/>
        <w:rPr>
          <w:sz w:val="20"/>
          <w:szCs w:val="20"/>
          <w:color w:val="auto"/>
        </w:rPr>
      </w:pPr>
    </w:p>
    <w:p>
      <w:pPr>
        <w:ind w:right="700" w:firstLine="936"/>
        <w:spacing w:after="0" w:line="282" w:lineRule="auto"/>
        <w:rPr>
          <w:sz w:val="20"/>
          <w:szCs w:val="20"/>
          <w:color w:val="auto"/>
        </w:rPr>
      </w:pPr>
      <w:r>
        <w:rPr>
          <w:rFonts w:ascii="Times New Roman" w:cs="Times New Roman" w:eastAsia="Times New Roman" w:hAnsi="Times New Roman"/>
          <w:sz w:val="18"/>
          <w:szCs w:val="18"/>
          <w:color w:val="auto"/>
        </w:rPr>
        <w:t>As an Eligible Employee in the Plan, you are entitled to certain rights and protections under ERISA. ERISA provides that all Eligible Employees will be entitled to: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Receive Information About Your Plan and Benefits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60" w:firstLine="757"/>
        <w:spacing w:after="0" w:line="266" w:lineRule="auto"/>
        <w:tabs>
          <w:tab w:leader="none" w:pos="110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 without charge, at the Plan Administrator’s office and at other specified locations, such as worksites, all documents governing the Plan, including a copy of the latest annual report (Form 5500 Series) filed by the Plan with the U.S. Department of Labor and available at the Public Disclosure Room of the Employee Benefits Security Administration.</w:t>
      </w:r>
    </w:p>
    <w:p>
      <w:pPr>
        <w:spacing w:after="0" w:line="108" w:lineRule="exact"/>
        <w:rPr>
          <w:rFonts w:ascii="Times New Roman" w:cs="Times New Roman" w:eastAsia="Times New Roman" w:hAnsi="Times New Roman"/>
          <w:sz w:val="18"/>
          <w:szCs w:val="18"/>
          <w:color w:val="auto"/>
        </w:rPr>
      </w:pPr>
    </w:p>
    <w:p>
      <w:pPr>
        <w:ind w:right="320" w:firstLine="757"/>
        <w:spacing w:after="0" w:line="282" w:lineRule="auto"/>
        <w:tabs>
          <w:tab w:leader="none" w:pos="110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upon written request to the Plan Administrator, copies of documents governing the operation of the Plan, including copies of the latest annual report (Form 5500 Series) and updated SPD. The Plan Administrator may impose a reasonable charge for the copies.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Prudent Actions by Plan Fiduciaries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firstLine="936"/>
        <w:spacing w:after="0" w:line="261" w:lineRule="auto"/>
        <w:rPr>
          <w:sz w:val="20"/>
          <w:szCs w:val="20"/>
          <w:color w:val="auto"/>
        </w:rPr>
      </w:pPr>
      <w:r>
        <w:rPr>
          <w:rFonts w:ascii="Times New Roman" w:cs="Times New Roman" w:eastAsia="Times New Roman" w:hAnsi="Times New Roman"/>
          <w:sz w:val="18"/>
          <w:szCs w:val="18"/>
          <w:color w:val="auto"/>
        </w:rPr>
        <w:t>In addition to creating rights for Eligible Employees, ERISA imposes duties upon the people who are responsible for the operation of the Plan. The people who operate your Plan, called “fiduciaries” of the Plan, have a duty to do so prudently and in the interest of you and other Eligible Employees and beneficiaries. No one, including your employer or any other person, may fire you or otherwise discriminate against you in any way to prevent you from obtaining a benefit or exercising your rights under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auto"/>
        </w:rPr>
        <w:t>Enforce Your Rights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firstLine="936"/>
        <w:spacing w:after="0" w:line="282" w:lineRule="auto"/>
        <w:rPr>
          <w:sz w:val="20"/>
          <w:szCs w:val="20"/>
          <w:color w:val="auto"/>
        </w:rPr>
      </w:pPr>
      <w:r>
        <w:rPr>
          <w:rFonts w:ascii="Times New Roman" w:cs="Times New Roman" w:eastAsia="Times New Roman" w:hAnsi="Times New Roman"/>
          <w:sz w:val="18"/>
          <w:szCs w:val="18"/>
          <w:color w:val="auto"/>
        </w:rPr>
        <w:t>If your claim for a benefit is denied or ignored, in whole or in part, you have a right to know why this was done, to obtain copies of documents relating to the decision without charge, and to appeal any denial, all within certain time schedules set forth above.</w:t>
      </w:r>
    </w:p>
    <w:p>
      <w:pPr>
        <w:spacing w:after="0" w:line="81" w:lineRule="exact"/>
        <w:rPr>
          <w:sz w:val="20"/>
          <w:szCs w:val="20"/>
          <w:color w:val="auto"/>
        </w:rPr>
      </w:pPr>
    </w:p>
    <w:p>
      <w:pPr>
        <w:ind w:firstLine="936"/>
        <w:spacing w:after="0" w:line="253" w:lineRule="auto"/>
        <w:rPr>
          <w:sz w:val="20"/>
          <w:szCs w:val="20"/>
          <w:color w:val="auto"/>
        </w:rPr>
      </w:pPr>
      <w:r>
        <w:rPr>
          <w:rFonts w:ascii="Times New Roman" w:cs="Times New Roman" w:eastAsia="Times New Roman" w:hAnsi="Times New Roman"/>
          <w:sz w:val="18"/>
          <w:szCs w:val="18"/>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$161 a day (as adjusted for inflation) until you receive the materials, unless the materials were not sent because of reasons beyond the control of the Plan Administrator. If you have a claim for benefits that is denied or ignored, in whole or in part, you may file suit in a state or federal court. If you disagree with the Plan’s decision or lack thereof concerning the qualified status of a domestic relations order or a medical child support order, you may file suit in federal court.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 However, no legal action may be commenced or maintained against the Plan prior to your exhaustion of the Plan’s claims procedures described above.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Assistance with Your Questions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If you have any questions about your Plan, you should contact the Plan Administrator.</w:t>
      </w:r>
    </w:p>
    <w:p>
      <w:pPr>
        <w:spacing w:after="0" w:line="144" w:lineRule="exact"/>
        <w:rPr>
          <w:sz w:val="20"/>
          <w:szCs w:val="20"/>
          <w:color w:val="auto"/>
        </w:rPr>
      </w:pPr>
    </w:p>
    <w:p>
      <w:pPr>
        <w:ind w:right="220" w:firstLine="936"/>
        <w:spacing w:after="0" w:line="261" w:lineRule="auto"/>
        <w:rPr>
          <w:sz w:val="20"/>
          <w:szCs w:val="20"/>
          <w:color w:val="auto"/>
        </w:rPr>
      </w:pPr>
      <w:r>
        <w:rPr>
          <w:rFonts w:ascii="Times New Roman" w:cs="Times New Roman" w:eastAsia="Times New Roman" w:hAnsi="Times New Roman"/>
          <w:sz w:val="18"/>
          <w:szCs w:val="18"/>
          <w:color w:val="auto"/>
        </w:rPr>
        <w:t>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w:t>
      </w:r>
    </w:p>
    <w:p>
      <w:pPr>
        <w:spacing w:after="0" w:line="112" w:lineRule="exact"/>
        <w:rPr>
          <w:sz w:val="20"/>
          <w:szCs w:val="20"/>
          <w:color w:val="auto"/>
        </w:rPr>
      </w:pPr>
    </w:p>
    <w:p>
      <w:pPr>
        <w:ind w:right="540" w:firstLine="936"/>
        <w:spacing w:after="0" w:line="282" w:lineRule="auto"/>
        <w:rPr>
          <w:sz w:val="20"/>
          <w:szCs w:val="20"/>
          <w:color w:val="auto"/>
        </w:rPr>
      </w:pPr>
      <w:r>
        <w:rPr>
          <w:rFonts w:ascii="Times New Roman" w:cs="Times New Roman" w:eastAsia="Times New Roman" w:hAnsi="Times New Roman"/>
          <w:sz w:val="18"/>
          <w:szCs w:val="18"/>
          <w:color w:val="auto"/>
        </w:rPr>
        <w:t>You may also obtain certain publications about your rights and responsibilities under ERISA by calling the Employee Benefits Security Administration’s publications hotline at 1-866- 444-3272.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ind w:left="3500"/>
        <w:spacing w:after="0"/>
        <w:rPr>
          <w:sz w:val="20"/>
          <w:szCs w:val="20"/>
          <w:color w:val="auto"/>
        </w:rPr>
      </w:pPr>
      <w:r>
        <w:rPr>
          <w:rFonts w:ascii="Times New Roman" w:cs="Times New Roman" w:eastAsia="Times New Roman" w:hAnsi="Times New Roman"/>
          <w:sz w:val="17"/>
          <w:szCs w:val="17"/>
          <w:b w:val="1"/>
          <w:bCs w:val="1"/>
          <w:color w:val="auto"/>
        </w:rPr>
        <w:t>APPENDIX B - IMPORTANT PLAN INFORMATION</w:t>
      </w:r>
    </w:p>
    <w:p>
      <w:pPr>
        <w:sectPr>
          <w:pgSz w:w="11900" w:h="16838" w:orient="portrait"/>
          <w:cols w:equalWidth="0" w:num="1">
            <w:col w:w="10139"/>
          </w:cols>
          <w:pgMar w:left="320" w:top="117" w:right="1440"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Sponsor: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492 Old Connecticut Path</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200" w:lineRule="exact"/>
        <w:rPr>
          <w:sz w:val="20"/>
          <w:szCs w:val="20"/>
          <w:color w:val="auto"/>
        </w:rPr>
      </w:pPr>
    </w:p>
    <w:p>
      <w:pPr>
        <w:sectPr>
          <w:pgSz w:w="11900" w:h="16838" w:orient="portrait"/>
          <w:cols w:equalWidth="0" w:num="2">
            <w:col w:w="1020" w:space="420"/>
            <w:col w:w="8699"/>
          </w:cols>
          <w:pgMar w:left="320" w:top="117" w:right="1440" w:bottom="1440" w:gutter="0" w:footer="0" w:header="0"/>
          <w:type w:val="continuous"/>
        </w:sect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Employer Identification Number</w:t>
      </w:r>
    </w:p>
    <w:p>
      <w:pPr>
        <w:spacing w:after="0" w:line="3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(EIN):</w:t>
      </w:r>
      <w:r>
        <w:rPr>
          <w:sz w:val="20"/>
          <w:szCs w:val="20"/>
          <w:color w:val="auto"/>
        </w:rPr>
        <w:tab/>
      </w:r>
      <w:r>
        <w:rPr>
          <w:rFonts w:ascii="Times New Roman" w:cs="Times New Roman" w:eastAsia="Times New Roman" w:hAnsi="Times New Roman"/>
          <w:sz w:val="18"/>
          <w:szCs w:val="18"/>
          <w:color w:val="auto"/>
        </w:rPr>
        <w:t>27-4296867</w:t>
      </w:r>
    </w:p>
    <w:p>
      <w:pPr>
        <w:sectPr>
          <w:pgSz w:w="11900" w:h="16838" w:orient="portrait"/>
          <w:cols w:equalWidth="0" w:num="1">
            <w:col w:w="10139"/>
          </w:cols>
          <w:pgMar w:left="320" w:top="117" w:right="1440"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Definitive Healthcare Corp. Change in Control</w:t>
      </w:r>
    </w:p>
    <w:p>
      <w:pPr>
        <w:spacing w:after="0" w:line="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Severance Plan for Executives</w:t>
      </w:r>
    </w:p>
    <w:p>
      <w:pPr>
        <w:spacing w:after="0" w:line="200" w:lineRule="exact"/>
        <w:rPr>
          <w:sz w:val="20"/>
          <w:szCs w:val="20"/>
          <w:color w:val="auto"/>
        </w:rPr>
      </w:pPr>
    </w:p>
    <w:p>
      <w:pPr>
        <w:sectPr>
          <w:pgSz w:w="11900" w:h="16838" w:orient="portrait"/>
          <w:cols w:equalWidth="0" w:num="2">
            <w:col w:w="860" w:space="580"/>
            <w:col w:w="8699"/>
          </w:cols>
          <w:pgMar w:left="320" w:top="117"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 of Plan:</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Welfare Plan</w:t>
      </w:r>
    </w:p>
    <w:p>
      <w:pPr>
        <w:spacing w:after="0" w:line="200" w:lineRule="exact"/>
        <w:rPr>
          <w:sz w:val="20"/>
          <w:szCs w:val="20"/>
          <w:color w:val="auto"/>
        </w:rPr>
      </w:pPr>
    </w:p>
    <w:p>
      <w:pPr>
        <w:sectPr>
          <w:pgSz w:w="11900" w:h="16838" w:orient="portrait"/>
          <w:cols w:equalWidth="0" w:num="2">
            <w:col w:w="980" w:space="460"/>
            <w:col w:w="8699"/>
          </w:cols>
          <w:pgMar w:left="320" w:top="117" w:right="1440" w:bottom="1440" w:gutter="0" w:footer="0" w:header="0"/>
          <w:type w:val="continuous"/>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 Year:</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Plan Year:</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Effective Date – July, 2022.</w:t>
      </w:r>
    </w:p>
    <w:p>
      <w:pPr>
        <w:spacing w:after="0" w:line="200" w:lineRule="exact"/>
        <w:rPr>
          <w:sz w:val="20"/>
          <w:szCs w:val="20"/>
          <w:color w:val="auto"/>
        </w:rPr>
      </w:pPr>
    </w:p>
    <w:p>
      <w:pPr>
        <w:sectPr>
          <w:pgSz w:w="11900" w:h="16838" w:orient="portrait"/>
          <w:cols w:equalWidth="0" w:num="2">
            <w:col w:w="760" w:space="680"/>
            <w:col w:w="8699"/>
          </w:cols>
          <w:pgMar w:left="320" w:top="117" w:right="1440" w:bottom="1440" w:gutter="0" w:footer="0" w:header="0"/>
          <w:type w:val="continuous"/>
        </w:sectPr>
      </w:pPr>
    </w:p>
    <w:p>
      <w:pPr>
        <w:spacing w:after="0" w:line="30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Subsequent Plan Years:</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The Company’s fiscal year</w:t>
      </w:r>
    </w:p>
    <w:p>
      <w:pPr>
        <w:spacing w:after="0" w:line="200" w:lineRule="exact"/>
        <w:rPr>
          <w:sz w:val="20"/>
          <w:szCs w:val="20"/>
          <w:color w:val="auto"/>
        </w:rPr>
      </w:pPr>
    </w:p>
    <w:p>
      <w:pPr>
        <w:spacing w:after="0" w:line="304"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Plan Administrator:</w:t>
      </w:r>
      <w:r>
        <w:rPr>
          <w:sz w:val="20"/>
          <w:szCs w:val="20"/>
          <w:color w:val="auto"/>
        </w:rPr>
        <w:tab/>
      </w:r>
      <w:r>
        <w:rPr>
          <w:rFonts w:ascii="Times New Roman" w:cs="Times New Roman" w:eastAsia="Times New Roman" w:hAnsi="Times New Roman"/>
          <w:sz w:val="18"/>
          <w:szCs w:val="18"/>
          <w:color w:val="auto"/>
        </w:rPr>
        <w:t>Human Capital Management and</w:t>
      </w:r>
    </w:p>
    <w:p>
      <w:pPr>
        <w:spacing w:after="0" w:line="1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492 Old Connecticut Path</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Attn: Chief Talent Officer</w:t>
      </w:r>
    </w:p>
    <w:p>
      <w:pPr>
        <w:spacing w:after="0" w:line="200" w:lineRule="exact"/>
        <w:rPr>
          <w:sz w:val="20"/>
          <w:szCs w:val="20"/>
          <w:color w:val="auto"/>
        </w:rPr>
      </w:pPr>
    </w:p>
    <w:p>
      <w:pPr>
        <w:spacing w:after="0" w:line="30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Funding:</w:t>
      </w:r>
      <w:r>
        <w:rPr>
          <w:sz w:val="20"/>
          <w:szCs w:val="20"/>
          <w:color w:val="auto"/>
        </w:rPr>
        <w:tab/>
      </w:r>
      <w:r>
        <w:rPr>
          <w:rFonts w:ascii="Times New Roman" w:cs="Times New Roman" w:eastAsia="Times New Roman" w:hAnsi="Times New Roman"/>
          <w:sz w:val="18"/>
          <w:szCs w:val="18"/>
          <w:color w:val="auto"/>
        </w:rPr>
        <w:t>The Plan shall be unfunded within the meaning of ERISA.</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of legal process may be made upon the Plan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17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333- 267791 on Form S-3 and Registration Statement No. 333-259535 on Form S-8 of our reports dated February 27, 2023, relating to the financial statements of Definitive Healthcare Corp. and the effectiveness of Definitive Healthcare Corp.'s internal control over financial reporting appearing in this Annual Report on Form 10-K for the year ended December 31,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Musslewhite, certify that:</w:t>
      </w:r>
    </w:p>
    <w:p>
      <w:pPr>
        <w:spacing w:after="0" w:line="225"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Definitive Healthcare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80"/>
        <w:spacing w:after="0"/>
        <w:tabs>
          <w:tab w:leader="none" w:pos="680" w:val="left"/>
          <w:tab w:leader="none" w:pos="6460" w:val="left"/>
        </w:tabs>
        <w:rPr>
          <w:sz w:val="20"/>
          <w:szCs w:val="20"/>
          <w:color w:val="auto"/>
        </w:rPr>
      </w:pPr>
      <w:r>
        <w:rPr>
          <w:rFonts w:ascii="Times New Roman" w:cs="Times New Roman" w:eastAsia="Times New Roman" w:hAnsi="Times New Roman"/>
          <w:sz w:val="18"/>
          <w:szCs w:val="18"/>
          <w:color w:val="auto"/>
        </w:rPr>
        <w:t>Date:</w:t>
        <w:tab/>
        <w:t>February 27, 2023</w:t>
      </w:r>
      <w:r>
        <w:rPr>
          <w:sz w:val="20"/>
          <w:szCs w:val="20"/>
          <w:color w:val="auto"/>
        </w:rPr>
        <w:tab/>
      </w:r>
      <w:r>
        <w:rPr>
          <w:rFonts w:ascii="Times New Roman" w:cs="Times New Roman" w:eastAsia="Times New Roman" w:hAnsi="Times New Roman"/>
          <w:sz w:val="17"/>
          <w:szCs w:val="17"/>
          <w:color w:val="auto"/>
        </w:rPr>
        <w:t>/s/Robert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26035</wp:posOffset>
            </wp:positionV>
            <wp:extent cx="303466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6">
                      <a:extLst>
                        <a:ext uri="{28A0092B-C50C-407E-A947-70E740481C1C}"/>
                      </a:extLst>
                    </a:blip>
                    <a:srcRect/>
                    <a:stretch>
                      <a:fillRect/>
                    </a:stretch>
                  </pic:blipFill>
                  <pic:spPr bwMode="auto">
                    <a:xfrm>
                      <a:off x="0" y="0"/>
                      <a:ext cx="303466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188595</wp:posOffset>
            </wp:positionV>
            <wp:extent cx="299148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8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Robert Musslewhite</w:t>
      </w:r>
    </w:p>
    <w:p>
      <w:pPr>
        <w:spacing w:after="0" w:line="200" w:lineRule="exact"/>
        <w:rPr>
          <w:sz w:val="20"/>
          <w:szCs w:val="20"/>
          <w:color w:val="auto"/>
        </w:rPr>
      </w:pPr>
    </w:p>
    <w:p>
      <w:pPr>
        <w:spacing w:after="0" w:line="26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Booth, certify that:</w:t>
      </w:r>
    </w:p>
    <w:p>
      <w:pPr>
        <w:spacing w:after="0" w:line="225"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Definitive Healthcare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340" w:hanging="512"/>
        <w:spacing w:after="0" w:line="266"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620" w:val="left"/>
          <w:tab w:leader="none" w:pos="6540" w:val="left"/>
        </w:tabs>
        <w:rPr>
          <w:sz w:val="20"/>
          <w:szCs w:val="20"/>
          <w:color w:val="auto"/>
        </w:rPr>
      </w:pPr>
      <w:r>
        <w:rPr>
          <w:rFonts w:ascii="Times New Roman" w:cs="Times New Roman" w:eastAsia="Times New Roman" w:hAnsi="Times New Roman"/>
          <w:sz w:val="18"/>
          <w:szCs w:val="18"/>
          <w:color w:val="auto"/>
        </w:rPr>
        <w:t>Date:</w:t>
        <w:tab/>
        <w:t>February 27, 2023</w:t>
      </w:r>
      <w:r>
        <w:rPr>
          <w:sz w:val="20"/>
          <w:szCs w:val="20"/>
          <w:color w:val="auto"/>
        </w:rPr>
        <w:tab/>
      </w:r>
      <w:r>
        <w:rPr>
          <w:rFonts w:ascii="Times New Roman" w:cs="Times New Roman" w:eastAsia="Times New Roman" w:hAnsi="Times New Roman"/>
          <w:sz w:val="17"/>
          <w:szCs w:val="17"/>
          <w:color w:val="auto"/>
        </w:rPr>
        <w:t>/s/Richard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26035</wp:posOffset>
            </wp:positionV>
            <wp:extent cx="676338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9">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Richard Booth</w:t>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Definitive Healthcare Corp. (the “Company”) for the annual period ended December 31, 2022 as filed with the Securities and Exchange Commission on the date hereof (the “Report”), Robert Musslewhite, as Chief Executive Officer of the Company, and Richard Booth, as Chief Financial Officer of the Company, each hereby certifies, pursuant to 18 U.S.C. § 1350, as adopted pursuant to § 906 of the Sarbanes-Oxley Act of 2002, that, to the best of his knowledge:</w:t>
      </w:r>
    </w:p>
    <w:p>
      <w:pPr>
        <w:spacing w:after="0" w:line="180" w:lineRule="exact"/>
        <w:rPr>
          <w:sz w:val="20"/>
          <w:szCs w:val="20"/>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2023</w:t>
      </w:r>
    </w:p>
    <w:p>
      <w:pPr>
        <w:spacing w:after="0" w:line="29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26035</wp:posOffset>
            </wp:positionV>
            <wp:extent cx="282892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8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Musslewhite</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5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26035</wp:posOffset>
            </wp:positionV>
            <wp:extent cx="282892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8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Richard Booth</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1"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10-K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10-K), irrespective of any general incorporation language contained in such filing.</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3" w:name="page164"/>
    <w:bookmarkEnd w:id="1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lvl w:ilvl="1">
      <w:lvlJc w:val="left"/>
      <w:lvlText w:val="•"/>
      <w:numFmt w:val="bullet"/>
      <w:start w:val="1"/>
    </w:lvl>
  </w:abstractNum>
  <w:abstractNum w:abstractNumId="3">
    <w:nsid w:val="2CD89A32"/>
    <w:multiLevelType w:val="hybridMultilevel"/>
    <w:lvl w:ilvl="0">
      <w:lvlJc w:val="left"/>
      <w:lvlText w:val="•"/>
      <w:numFmt w:val="bullet"/>
      <w:start w:val="1"/>
    </w:lvl>
    <w:lvl w:ilvl="1">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1)"/>
      <w:numFmt w:val="lowerLetter"/>
      <w:start w:val="1"/>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1)"/>
      <w:numFmt w:val="decimal"/>
      <w:start w:val="1"/>
    </w:lvl>
  </w:abstractNum>
  <w:abstractNum w:abstractNumId="23">
    <w:nsid w:val="4F4EF005"/>
    <w:multiLevelType w:val="hybridMultilevel"/>
    <w:lvl w:ilvl="0">
      <w:lvlJc w:val="left"/>
      <w:lvlText w:val="(%1)"/>
      <w:numFmt w:val="decimal"/>
      <w:start w:val="2"/>
    </w:lvl>
  </w:abstractNum>
  <w:abstractNum w:abstractNumId="24">
    <w:nsid w:val="23F9C13C"/>
    <w:multiLevelType w:val="hybridMultilevel"/>
    <w:lvl w:ilvl="0">
      <w:lvlJc w:val="left"/>
      <w:lvlText w:val="(%1)"/>
      <w:numFmt w:val="decimal"/>
      <w:start w:val="3"/>
    </w:lvl>
  </w:abstractNum>
  <w:abstractNum w:abstractNumId="25">
    <w:nsid w:val="649BB77C"/>
    <w:multiLevelType w:val="hybridMultilevel"/>
    <w:lvl w:ilvl="0">
      <w:lvlJc w:val="left"/>
      <w:lvlText w:val="*"/>
      <w:numFmt w:val="bullet"/>
      <w:start w:val="1"/>
    </w:lvl>
    <w:lvl w:ilvl="1">
      <w:lvlJc w:val="left"/>
      <w:lvlText w:val="%2"/>
      <w:numFmt w:val="decimal"/>
      <w:start w:val="104"/>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1)"/>
      <w:numFmt w:val="lowerRoman"/>
      <w:start w:val="2"/>
    </w:lvl>
  </w:abstractNum>
  <w:abstractNum w:abstractNumId="31">
    <w:nsid w:val="47398C89"/>
    <w:multiLevelType w:val="hybridMultilevel"/>
    <w:lvl w:ilvl="0">
      <w:lvlJc w:val="left"/>
      <w:lvlText w:val="%1."/>
      <w:numFmt w:val="decimal"/>
      <w:start w:val="2"/>
    </w:lvl>
  </w:abstractNum>
  <w:abstractNum w:abstractNumId="32">
    <w:nsid w:val="354FE9F9"/>
    <w:multiLevelType w:val="hybridMultilevel"/>
    <w:lvl w:ilvl="0">
      <w:lvlJc w:val="left"/>
      <w:lvlText w:val="%1."/>
      <w:numFmt w:val="decimal"/>
      <w:start w:val="3"/>
    </w:lvl>
  </w:abstractNum>
  <w:abstractNum w:abstractNumId="33">
    <w:nsid w:val="15B5AF5C"/>
    <w:multiLevelType w:val="hybridMultilevel"/>
    <w:lvl w:ilvl="0">
      <w:lvlJc w:val="left"/>
      <w:lvlText w:val="%1."/>
      <w:numFmt w:val="decimal"/>
      <w:start w:val="4"/>
    </w:lvl>
  </w:abstractNum>
  <w:abstractNum w:abstractNumId="34">
    <w:nsid w:val="741226BB"/>
    <w:multiLevelType w:val="hybridMultilevel"/>
    <w:lvl w:ilvl="0">
      <w:lvlJc w:val="left"/>
      <w:lvlText w:val="%1."/>
      <w:numFmt w:val="decimal"/>
      <w:start w:val="5"/>
    </w:lvl>
  </w:abstractNum>
  <w:abstractNum w:abstractNumId="35">
    <w:nsid w:val="D34B6A8"/>
    <w:multiLevelType w:val="hybridMultilevel"/>
    <w:lvl w:ilvl="0">
      <w:lvlJc w:val="left"/>
      <w:lvlText w:val="%1."/>
      <w:numFmt w:val="decimal"/>
      <w:start w:val="6"/>
    </w:lvl>
  </w:abstractNum>
  <w:abstractNum w:abstractNumId="36">
    <w:nsid w:val="10233C99"/>
    <w:multiLevelType w:val="hybridMultilevel"/>
    <w:lvl w:ilvl="0">
      <w:lvlJc w:val="left"/>
      <w:lvlText w:val="%1."/>
      <w:numFmt w:val="decimal"/>
      <w:start w:val="7"/>
    </w:lvl>
  </w:abstractNum>
  <w:abstractNum w:abstractNumId="37">
    <w:nsid w:val="3F6AB60F"/>
    <w:multiLevelType w:val="hybridMultilevel"/>
    <w:lvl w:ilvl="0">
      <w:lvlJc w:val="left"/>
      <w:lvlText w:val="%1."/>
      <w:numFmt w:val="decimal"/>
      <w:start w:val="8"/>
    </w:lvl>
  </w:abstractNum>
  <w:abstractNum w:abstractNumId="38">
    <w:nsid w:val="61574095"/>
    <w:multiLevelType w:val="hybridMultilevel"/>
    <w:lvl w:ilvl="0">
      <w:lvlJc w:val="left"/>
      <w:lvlText w:val="%1."/>
      <w:numFmt w:val="decimal"/>
      <w:start w:val="9"/>
    </w:lvl>
  </w:abstractNum>
  <w:abstractNum w:abstractNumId="39">
    <w:nsid w:val="7E0C57B1"/>
    <w:multiLevelType w:val="hybridMultilevel"/>
    <w:lvl w:ilvl="0">
      <w:lvlJc w:val="left"/>
      <w:lvlText w:val="%1."/>
      <w:numFmt w:val="decimal"/>
      <w:start w:val="10"/>
    </w:lvl>
  </w:abstractNum>
  <w:abstractNum w:abstractNumId="40">
    <w:nsid w:val="77AE35EB"/>
    <w:multiLevelType w:val="hybridMultilevel"/>
    <w:lvl w:ilvl="0">
      <w:lvlJc w:val="left"/>
      <w:lvlText w:val="%1."/>
      <w:numFmt w:val="decimal"/>
      <w:start w:val="11"/>
    </w:lvl>
  </w:abstractNum>
  <w:abstractNum w:abstractNumId="41">
    <w:nsid w:val="579BE4F1"/>
    <w:multiLevelType w:val="hybridMultilevel"/>
    <w:lvl w:ilvl="0">
      <w:lvlJc w:val="left"/>
      <w:lvlText w:val="%1."/>
      <w:numFmt w:val="decimal"/>
      <w:start w:val="12"/>
    </w:lvl>
  </w:abstractNum>
  <w:abstractNum w:abstractNumId="42">
    <w:nsid w:val="310C50B3"/>
    <w:multiLevelType w:val="hybridMultilevel"/>
    <w:lvl w:ilvl="0">
      <w:lvlJc w:val="left"/>
      <w:lvlText w:val="%1."/>
      <w:numFmt w:val="decimal"/>
      <w:start w:val="13"/>
    </w:lvl>
  </w:abstractNum>
  <w:abstractNum w:abstractNumId="43">
    <w:nsid w:val="5FF87E05"/>
    <w:multiLevelType w:val="hybridMultilevel"/>
    <w:lvl w:ilvl="0">
      <w:lvlJc w:val="left"/>
      <w:lvlText w:val="%1."/>
      <w:numFmt w:val="decimal"/>
      <w:start w:val="14"/>
    </w:lvl>
  </w:abstractNum>
  <w:abstractNum w:abstractNumId="44">
    <w:nsid w:val="2F305DEF"/>
    <w:multiLevelType w:val="hybridMultilevel"/>
    <w:lvl w:ilvl="0">
      <w:lvlJc w:val="left"/>
      <w:lvlText w:val="%1."/>
      <w:numFmt w:val="decimal"/>
      <w:start w:val="15"/>
    </w:lvl>
  </w:abstractNum>
  <w:abstractNum w:abstractNumId="45">
    <w:nsid w:val="25A70BF7"/>
    <w:multiLevelType w:val="hybridMultilevel"/>
    <w:lvl w:ilvl="0">
      <w:lvlJc w:val="left"/>
      <w:lvlText w:val="%1."/>
      <w:numFmt w:val="decimal"/>
      <w:start w:val="16"/>
    </w:lvl>
  </w:abstractNum>
  <w:abstractNum w:abstractNumId="46">
    <w:nsid w:val="1DBABF00"/>
    <w:multiLevelType w:val="hybridMultilevel"/>
    <w:lvl w:ilvl="0">
      <w:lvlJc w:val="left"/>
      <w:lvlText w:val="%1."/>
      <w:numFmt w:val="decimal"/>
      <w:start w:val="17"/>
    </w:lvl>
  </w:abstractNum>
  <w:abstractNum w:abstractNumId="47">
    <w:nsid w:val="4AD084E9"/>
    <w:multiLevelType w:val="hybridMultilevel"/>
    <w:lvl w:ilvl="0">
      <w:lvlJc w:val="left"/>
      <w:lvlText w:val="%1."/>
      <w:numFmt w:val="decimal"/>
      <w:start w:val="18"/>
    </w:lvl>
  </w:abstractNum>
  <w:abstractNum w:abstractNumId="48">
    <w:nsid w:val="1F48EAA1"/>
    <w:multiLevelType w:val="hybridMultilevel"/>
    <w:lvl w:ilvl="0">
      <w:lvlJc w:val="left"/>
      <w:lvlText w:val="%1."/>
      <w:numFmt w:val="decimal"/>
      <w:start w:val="19"/>
    </w:lvl>
  </w:abstractNum>
  <w:abstractNum w:abstractNumId="49">
    <w:nsid w:val="1381823A"/>
    <w:multiLevelType w:val="hybridMultilevel"/>
    <w:lvl w:ilvl="0">
      <w:lvlJc w:val="left"/>
      <w:lvlText w:val="%1."/>
      <w:numFmt w:val="decimal"/>
      <w:start w:val="20"/>
    </w:lvl>
  </w:abstractNum>
  <w:abstractNum w:abstractNumId="50">
    <w:nsid w:val="5DB70AE5"/>
    <w:multiLevelType w:val="hybridMultilevel"/>
    <w:lvl w:ilvl="0">
      <w:lvlJc w:val="left"/>
      <w:lvlText w:val="%1."/>
      <w:numFmt w:val="decimal"/>
      <w:start w:val="21"/>
    </w:lvl>
  </w:abstractNum>
  <w:abstractNum w:abstractNumId="51">
    <w:nsid w:val="100F8FCA"/>
    <w:multiLevelType w:val="hybridMultilevel"/>
    <w:lvl w:ilvl="0">
      <w:lvlJc w:val="left"/>
      <w:lvlText w:val="%1."/>
      <w:numFmt w:val="decimal"/>
      <w:start w:val="22"/>
    </w:lvl>
  </w:abstractNum>
  <w:abstractNum w:abstractNumId="52">
    <w:nsid w:val="6590700B"/>
    <w:multiLevelType w:val="hybridMultilevel"/>
    <w:lvl w:ilvl="0">
      <w:lvlJc w:val="left"/>
      <w:lvlText w:val="%1."/>
      <w:numFmt w:val="decimal"/>
      <w:start w:val="23"/>
    </w:lvl>
  </w:abstractNum>
  <w:abstractNum w:abstractNumId="53">
    <w:nsid w:val="15014ACB"/>
    <w:multiLevelType w:val="hybridMultilevel"/>
    <w:lvl w:ilvl="0">
      <w:lvlJc w:val="left"/>
      <w:lvlText w:val="%1."/>
      <w:numFmt w:val="decimal"/>
      <w:start w:val="1"/>
    </w:lvl>
    <w:lvl w:ilvl="1">
      <w:lvlJc w:val="left"/>
      <w:lvlText w:val="(%2)"/>
      <w:numFmt w:val="lowerLetter"/>
      <w:start w:val="1"/>
    </w:lvl>
  </w:abstractNum>
  <w:abstractNum w:abstractNumId="54">
    <w:nsid w:val="5F5E7FD0"/>
    <w:multiLevelType w:val="hybridMultilevel"/>
    <w:lvl w:ilvl="0">
      <w:lvlJc w:val="left"/>
      <w:lvlText w:val="%1."/>
      <w:numFmt w:val="decimal"/>
      <w:start w:val="3"/>
    </w:lvl>
    <w:lvl w:ilvl="1">
      <w:lvlJc w:val="left"/>
      <w:lvlText w:val="(%2)"/>
      <w:numFmt w:val="lowerLetter"/>
      <w:start w:val="1"/>
    </w:lvl>
  </w:abstractNum>
  <w:abstractNum w:abstractNumId="55">
    <w:nsid w:val="98A3148"/>
    <w:multiLevelType w:val="hybridMultilevel"/>
    <w:lvl w:ilvl="0">
      <w:lvlJc w:val="left"/>
      <w:lvlText w:val="(%1)"/>
      <w:numFmt w:val="lowerLetter"/>
      <w:start w:val="2"/>
    </w:lvl>
  </w:abstractNum>
  <w:abstractNum w:abstractNumId="56">
    <w:nsid w:val="799D0247"/>
    <w:multiLevelType w:val="hybridMultilevel"/>
    <w:lvl w:ilvl="0">
      <w:lvlJc w:val="left"/>
      <w:lvlText w:val="%1"/>
      <w:numFmt w:val="decimal"/>
      <w:start w:val="1"/>
    </w:lvl>
    <w:lvl w:ilvl="1">
      <w:lvlJc w:val="left"/>
      <w:lvlText w:val="(%2)"/>
      <w:numFmt w:val="lowerLetter"/>
      <w:start w:val="3"/>
    </w:lvl>
  </w:abstractNum>
  <w:abstractNum w:abstractNumId="57">
    <w:nsid w:val="6B94764"/>
    <w:multiLevelType w:val="hybridMultilevel"/>
    <w:lvl w:ilvl="0">
      <w:lvlJc w:val="left"/>
      <w:lvlText w:val="%1."/>
      <w:numFmt w:val="decimal"/>
      <w:start w:val="5"/>
    </w:lvl>
    <w:lvl w:ilvl="1">
      <w:lvlJc w:val="left"/>
      <w:lvlText w:val="(%2)"/>
      <w:numFmt w:val="lowerLetter"/>
      <w:start w:val="1"/>
    </w:lvl>
  </w:abstractNum>
  <w:abstractNum w:abstractNumId="58">
    <w:nsid w:val="42C296BD"/>
    <w:multiLevelType w:val="hybridMultilevel"/>
    <w:lvl w:ilvl="0">
      <w:lvlJc w:val="left"/>
      <w:lvlText w:val="%1."/>
      <w:numFmt w:val="decimal"/>
      <w:start w:val="6"/>
    </w:lvl>
    <w:lvl w:ilvl="1">
      <w:lvlJc w:val="left"/>
      <w:lvlText w:val="(%2)"/>
      <w:numFmt w:val="lowerLetter"/>
      <w:start w:val="1"/>
    </w:lvl>
  </w:abstractNum>
  <w:abstractNum w:abstractNumId="59">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0">
    <w:nsid w:val="1EBA5D23"/>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1">
    <w:nsid w:val="661E3F1E"/>
    <w:multiLevelType w:val="hybridMultilevel"/>
    <w:lvl w:ilvl="0">
      <w:lvlJc w:val="left"/>
      <w:lvlText w:val="(%1)"/>
      <w:numFmt w:val="lowerLetter"/>
      <w:start w:val="2"/>
    </w:lvl>
  </w:abstractNum>
  <w:abstractNum w:abstractNumId="62">
    <w:nsid w:val="5DC79EA8"/>
    <w:multiLevelType w:val="hybridMultilevel"/>
    <w:lvl w:ilvl="0">
      <w:lvlJc w:val="left"/>
      <w:lvlText w:val="(%1)"/>
      <w:numFmt w:val="lowerLetter"/>
      <w:start w:val="7"/>
    </w:lvl>
  </w:abstractNum>
  <w:abstractNum w:abstractNumId="63">
    <w:nsid w:val="540A471C"/>
    <w:multiLevelType w:val="hybridMultilevel"/>
    <w:lvl w:ilvl="0">
      <w:lvlJc w:val="left"/>
      <w:lvlText w:val="(%1)"/>
      <w:numFmt w:val="lowerLetter"/>
      <w:start w:val="14"/>
    </w:lvl>
  </w:abstractNum>
  <w:abstractNum w:abstractNumId="64">
    <w:nsid w:val="7BD3EE7B"/>
    <w:multiLevelType w:val="hybridMultilevel"/>
    <w:lvl w:ilvl="0">
      <w:lvlJc w:val="left"/>
      <w:lvlText w:val="%1."/>
      <w:numFmt w:val="decimal"/>
      <w:start w:val="2"/>
    </w:lvl>
    <w:lvl w:ilvl="1">
      <w:lvlJc w:val="left"/>
      <w:lvlText w:val="%2."/>
      <w:numFmt w:val="lowerLetter"/>
      <w:start w:val="1"/>
    </w:lvl>
  </w:abstractNum>
  <w:abstractNum w:abstractNumId="65">
    <w:nsid w:val="51D9C564"/>
    <w:multiLevelType w:val="hybridMultilevel"/>
    <w:lvl w:ilvl="0">
      <w:lvlJc w:val="left"/>
      <w:lvlText w:val="%1."/>
      <w:numFmt w:val="lowerRoman"/>
      <w:start w:val="2"/>
    </w:lvl>
  </w:abstractNum>
  <w:abstractNum w:abstractNumId="66">
    <w:nsid w:val="613EFDC5"/>
    <w:multiLevelType w:val="hybridMultilevel"/>
    <w:lvl w:ilvl="0">
      <w:lvlJc w:val="left"/>
      <w:lvlText w:val="%1."/>
      <w:numFmt w:val="decimal"/>
      <w:start w:val="7"/>
    </w:lvl>
  </w:abstractNum>
  <w:abstractNum w:abstractNumId="67">
    <w:nsid w:val="BF72B14"/>
    <w:multiLevelType w:val="hybridMultilevel"/>
    <w:lvl w:ilvl="0">
      <w:lvlJc w:val="left"/>
      <w:lvlText w:val="%1."/>
      <w:numFmt w:val="lowerRoman"/>
      <w:start w:val="2"/>
    </w:lvl>
  </w:abstractNum>
  <w:abstractNum w:abstractNumId="68">
    <w:nsid w:val="11447B73"/>
    <w:multiLevelType w:val="hybridMultilevel"/>
    <w:lvl w:ilvl="0">
      <w:lvlJc w:val="left"/>
      <w:lvlText w:val="%1."/>
      <w:numFmt w:val="decimal"/>
      <w:start w:val="8"/>
    </w:lvl>
    <w:lvl w:ilvl="1">
      <w:lvlJc w:val="left"/>
      <w:lvlText w:val="%2"/>
      <w:numFmt w:val="lowerLetter"/>
      <w:start w:val="1"/>
    </w:lvl>
  </w:abstractNum>
  <w:abstractNum w:abstractNumId="69">
    <w:nsid w:val="42963E5A"/>
    <w:multiLevelType w:val="hybridMultilevel"/>
    <w:lvl w:ilvl="0">
      <w:lvlJc w:val="left"/>
      <w:lvlText w:val="%1"/>
      <w:numFmt w:val="decimal"/>
      <w:start w:val="1"/>
    </w:lvl>
    <w:lvl w:ilvl="1">
      <w:lvlJc w:val="left"/>
      <w:lvlText w:val="%2."/>
      <w:numFmt w:val="lowerLetter"/>
      <w:start w:val="2"/>
    </w:lvl>
  </w:abstractNum>
  <w:abstractNum w:abstractNumId="70">
    <w:nsid w:val="A0382C5"/>
    <w:multiLevelType w:val="hybridMultilevel"/>
    <w:lvl w:ilvl="0">
      <w:lvlJc w:val="left"/>
      <w:lvlText w:val="%1."/>
      <w:numFmt w:val="decimal"/>
      <w:start w:val="11"/>
    </w:lvl>
    <w:lvl w:ilvl="1">
      <w:lvlJc w:val="left"/>
      <w:lvlText w:val="%2"/>
      <w:numFmt w:val="lowerLetter"/>
      <w:start w:val="1"/>
    </w:lvl>
  </w:abstractNum>
  <w:abstractNum w:abstractNumId="71">
    <w:nsid w:val="8F2B15E"/>
    <w:multiLevelType w:val="hybridMultilevel"/>
    <w:lvl w:ilvl="0">
      <w:lvlJc w:val="left"/>
      <w:lvlText w:val="%1."/>
      <w:numFmt w:val="decimal"/>
      <w:start w:val="12"/>
    </w:lvl>
    <w:lvl w:ilvl="1">
      <w:lvlJc w:val="left"/>
      <w:lvlText w:val="%2."/>
      <w:numFmt w:val="decimal"/>
      <w:start w:val="18"/>
    </w:lvl>
  </w:abstractNum>
  <w:abstractNum w:abstractNumId="72">
    <w:nsid w:val="1A32234B"/>
    <w:multiLevelType w:val="hybridMultilevel"/>
    <w:lvl w:ilvl="0">
      <w:lvlJc w:val="left"/>
      <w:lvlText w:val="%1."/>
      <w:numFmt w:val="decimal"/>
      <w:start w:val="20"/>
    </w:lvl>
  </w:abstractNum>
  <w:abstractNum w:abstractNumId="73">
    <w:nsid w:val="3B0FD379"/>
    <w:multiLevelType w:val="hybridMultilevel"/>
    <w:lvl w:ilvl="0">
      <w:lvlJc w:val="left"/>
      <w:lvlText w:val="%1."/>
      <w:numFmt w:val="decimal"/>
      <w:start w:val="21"/>
    </w:lvl>
  </w:abstractNum>
  <w:abstractNum w:abstractNumId="74">
    <w:nsid w:val="68EB2F63"/>
    <w:multiLevelType w:val="hybridMultilevel"/>
    <w:lvl w:ilvl="0">
      <w:lvlJc w:val="left"/>
      <w:lvlText w:val="%1."/>
      <w:numFmt w:val="decimal"/>
      <w:start w:val="23"/>
    </w:lvl>
  </w:abstractNum>
  <w:abstractNum w:abstractNumId="75">
    <w:nsid w:val="4962813B"/>
    <w:multiLevelType w:val="hybridMultilevel"/>
    <w:lvl w:ilvl="0">
      <w:lvlJc w:val="left"/>
      <w:lvlText w:val="%1."/>
      <w:numFmt w:val="decimal"/>
      <w:start w:val="26"/>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3"/>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lowerLetter"/>
      <w:start w:val="3"/>
    </w:lvl>
  </w:abstractNum>
  <w:abstractNum w:abstractNumId="80">
    <w:nsid w:val="1A27709E"/>
    <w:multiLevelType w:val="hybridMultilevel"/>
    <w:lvl w:ilvl="0">
      <w:lvlJc w:val="left"/>
      <w:lvlText w:val="(%1)"/>
      <w:numFmt w:val="lowerLetter"/>
      <w:start w:val="1"/>
    </w:lvl>
  </w:abstractNum>
  <w:abstractNum w:abstractNumId="81">
    <w:nsid w:val="71EA1109"/>
    <w:multiLevelType w:val="hybridMultilevel"/>
    <w:lvl w:ilvl="0">
      <w:lvlJc w:val="left"/>
      <w:lvlText w:val="%1."/>
      <w:numFmt w:val="decimal"/>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343" Type="http://schemas.openxmlformats.org/officeDocument/2006/relationships/image" Target="media/image299.png"/><Relationship Id="rId344" Type="http://schemas.openxmlformats.org/officeDocument/2006/relationships/image" Target="media/image300.png"/><Relationship Id="rId345" Type="http://schemas.openxmlformats.org/officeDocument/2006/relationships/image" Target="media/image301.png"/><Relationship Id="rId346" Type="http://schemas.openxmlformats.org/officeDocument/2006/relationships/image" Target="media/image302.png"/><Relationship Id="rId347"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67" Type="http://schemas.openxmlformats.org/officeDocument/2006/relationships/image" Target="media/image323.pn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412" Type="http://schemas.openxmlformats.org/officeDocument/2006/relationships/image" Target="media/image368.png"/><Relationship Id="rId413" Type="http://schemas.openxmlformats.org/officeDocument/2006/relationships/image" Target="media/image369.png"/><Relationship Id="rId41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418" Type="http://schemas.openxmlformats.org/officeDocument/2006/relationships/image" Target="media/image374.png"/><Relationship Id="rId419" Type="http://schemas.openxmlformats.org/officeDocument/2006/relationships/image" Target="media/image375.png"/><Relationship Id="rId420" Type="http://schemas.openxmlformats.org/officeDocument/2006/relationships/image" Target="media/image376.png"/><Relationship Id="rId421" Type="http://schemas.openxmlformats.org/officeDocument/2006/relationships/image" Target="media/image377.png"/><Relationship Id="rId422" Type="http://schemas.openxmlformats.org/officeDocument/2006/relationships/image" Target="media/image378.png"/><Relationship Id="rId423" Type="http://schemas.openxmlformats.org/officeDocument/2006/relationships/image" Target="media/image379.png"/><Relationship Id="rId424" Type="http://schemas.openxmlformats.org/officeDocument/2006/relationships/image" Target="media/image380.png"/><Relationship Id="rId425" Type="http://schemas.openxmlformats.org/officeDocument/2006/relationships/image" Target="media/image381.png"/><Relationship Id="rId426"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429" Type="http://schemas.openxmlformats.org/officeDocument/2006/relationships/image" Target="media/image385.png"/><Relationship Id="rId430" Type="http://schemas.openxmlformats.org/officeDocument/2006/relationships/image" Target="media/image386.png"/><Relationship Id="rId431" Type="http://schemas.openxmlformats.org/officeDocument/2006/relationships/image" Target="media/image387.png"/><Relationship Id="rId432" Type="http://schemas.openxmlformats.org/officeDocument/2006/relationships/image" Target="media/image388.png"/><Relationship Id="rId433" Type="http://schemas.openxmlformats.org/officeDocument/2006/relationships/image" Target="media/image389.png"/><Relationship Id="rId434" Type="http://schemas.openxmlformats.org/officeDocument/2006/relationships/image" Target="media/image390.png"/><Relationship Id="rId435" Type="http://schemas.openxmlformats.org/officeDocument/2006/relationships/image" Target="media/image391.png"/><Relationship Id="rId436" Type="http://schemas.openxmlformats.org/officeDocument/2006/relationships/image" Target="media/image392.png"/><Relationship Id="rId437" Type="http://schemas.openxmlformats.org/officeDocument/2006/relationships/image" Target="media/image393.png"/><Relationship Id="rId438" Type="http://schemas.openxmlformats.org/officeDocument/2006/relationships/image" Target="media/image394.png"/><Relationship Id="rId439" Type="http://schemas.openxmlformats.org/officeDocument/2006/relationships/image" Target="media/image395.png"/><Relationship Id="rId440" Type="http://schemas.openxmlformats.org/officeDocument/2006/relationships/image" Target="media/image396.png"/><Relationship Id="rId441" Type="http://schemas.openxmlformats.org/officeDocument/2006/relationships/image" Target="media/image397.png"/><Relationship Id="rId442" Type="http://schemas.openxmlformats.org/officeDocument/2006/relationships/image" Target="media/image398.png"/><Relationship Id="rId443" Type="http://schemas.openxmlformats.org/officeDocument/2006/relationships/image" Target="media/image399.png"/><Relationship Id="rId444" Type="http://schemas.openxmlformats.org/officeDocument/2006/relationships/image" Target="media/image400.png"/><Relationship Id="rId445" Type="http://schemas.openxmlformats.org/officeDocument/2006/relationships/image" Target="media/image401.png"/><Relationship Id="rId446" Type="http://schemas.openxmlformats.org/officeDocument/2006/relationships/image" Target="media/image402.png"/><Relationship Id="rId447" Type="http://schemas.openxmlformats.org/officeDocument/2006/relationships/image" Target="media/image403.png"/><Relationship Id="rId448" Type="http://schemas.openxmlformats.org/officeDocument/2006/relationships/image" Target="media/image404.png"/><Relationship Id="rId449" Type="http://schemas.openxmlformats.org/officeDocument/2006/relationships/image" Target="media/image405.png"/><Relationship Id="rId450" Type="http://schemas.openxmlformats.org/officeDocument/2006/relationships/image" Target="media/image406.png"/><Relationship Id="rId451" Type="http://schemas.openxmlformats.org/officeDocument/2006/relationships/image" Target="media/image407.png"/><Relationship Id="rId452" Type="http://schemas.openxmlformats.org/officeDocument/2006/relationships/image" Target="media/image408.png"/><Relationship Id="rId453" Type="http://schemas.openxmlformats.org/officeDocument/2006/relationships/image" Target="media/image409.png"/><Relationship Id="rId454" Type="http://schemas.openxmlformats.org/officeDocument/2006/relationships/image" Target="media/image410.png"/><Relationship Id="rId455" Type="http://schemas.openxmlformats.org/officeDocument/2006/relationships/image" Target="media/image411.png"/><Relationship Id="rId456" Type="http://schemas.openxmlformats.org/officeDocument/2006/relationships/image" Target="media/image412.png"/><Relationship Id="rId457" Type="http://schemas.openxmlformats.org/officeDocument/2006/relationships/image" Target="media/image413.png"/><Relationship Id="rId458" Type="http://schemas.openxmlformats.org/officeDocument/2006/relationships/image" Target="media/image414.png"/><Relationship Id="rId459" Type="http://schemas.openxmlformats.org/officeDocument/2006/relationships/image" Target="media/image415.png"/><Relationship Id="rId460" Type="http://schemas.openxmlformats.org/officeDocument/2006/relationships/image" Target="media/image416.png"/><Relationship Id="rId461" Type="http://schemas.openxmlformats.org/officeDocument/2006/relationships/image" Target="media/image417.png"/><Relationship Id="rId462" Type="http://schemas.openxmlformats.org/officeDocument/2006/relationships/image" Target="media/image418.png"/><Relationship Id="rId463" Type="http://schemas.openxmlformats.org/officeDocument/2006/relationships/image" Target="media/image419.png"/><Relationship Id="rId464" Type="http://schemas.openxmlformats.org/officeDocument/2006/relationships/image" Target="media/image420.png"/><Relationship Id="rId465" Type="http://schemas.openxmlformats.org/officeDocument/2006/relationships/image" Target="media/image421.png"/><Relationship Id="rId466" Type="http://schemas.openxmlformats.org/officeDocument/2006/relationships/image" Target="media/image422.png"/><Relationship Id="rId467" Type="http://schemas.openxmlformats.org/officeDocument/2006/relationships/image" Target="media/image423.png"/><Relationship Id="rId468" Type="http://schemas.openxmlformats.org/officeDocument/2006/relationships/image" Target="media/image424.png"/><Relationship Id="rId469" Type="http://schemas.openxmlformats.org/officeDocument/2006/relationships/image" Target="media/image425.png"/><Relationship Id="rId470" Type="http://schemas.openxmlformats.org/officeDocument/2006/relationships/image" Target="media/image426.png"/><Relationship Id="rId471" Type="http://schemas.openxmlformats.org/officeDocument/2006/relationships/image" Target="media/image427.png"/><Relationship Id="rId472" Type="http://schemas.openxmlformats.org/officeDocument/2006/relationships/image" Target="media/image428.png"/><Relationship Id="rId473" Type="http://schemas.openxmlformats.org/officeDocument/2006/relationships/image" Target="media/image429.png"/><Relationship Id="rId474" Type="http://schemas.openxmlformats.org/officeDocument/2006/relationships/image" Target="media/image430.png"/><Relationship Id="rId475" Type="http://schemas.openxmlformats.org/officeDocument/2006/relationships/image" Target="media/image431.png"/><Relationship Id="rId476" Type="http://schemas.openxmlformats.org/officeDocument/2006/relationships/image" Target="media/image432.png"/><Relationship Id="rId477" Type="http://schemas.openxmlformats.org/officeDocument/2006/relationships/image" Target="media/image433.png"/><Relationship Id="rId478" Type="http://schemas.openxmlformats.org/officeDocument/2006/relationships/image" Target="media/image434.png"/><Relationship Id="rId479" Type="http://schemas.openxmlformats.org/officeDocument/2006/relationships/image" Target="media/image435.png"/><Relationship Id="rId480" Type="http://schemas.openxmlformats.org/officeDocument/2006/relationships/image" Target="media/image436.png"/><Relationship Id="rId481" Type="http://schemas.openxmlformats.org/officeDocument/2006/relationships/image" Target="media/image437.png"/><Relationship Id="rId482" Type="http://schemas.openxmlformats.org/officeDocument/2006/relationships/image" Target="media/image438.png"/><Relationship Id="rId483" Type="http://schemas.openxmlformats.org/officeDocument/2006/relationships/image" Target="media/image439.png"/><Relationship Id="rId484" Type="http://schemas.openxmlformats.org/officeDocument/2006/relationships/image" Target="media/image440.png"/><Relationship Id="rId485" Type="http://schemas.openxmlformats.org/officeDocument/2006/relationships/image" Target="media/image441.png"/><Relationship Id="rId486" Type="http://schemas.openxmlformats.org/officeDocument/2006/relationships/image" Target="media/image442.png"/><Relationship Id="rId487" Type="http://schemas.openxmlformats.org/officeDocument/2006/relationships/image" Target="media/image443.png"/><Relationship Id="rId488" Type="http://schemas.openxmlformats.org/officeDocument/2006/relationships/image" Target="media/image444.png"/><Relationship Id="rId489" Type="http://schemas.openxmlformats.org/officeDocument/2006/relationships/image" Target="media/image445.png"/><Relationship Id="rId490" Type="http://schemas.openxmlformats.org/officeDocument/2006/relationships/image" Target="media/image446.png"/><Relationship Id="rId491" Type="http://schemas.openxmlformats.org/officeDocument/2006/relationships/image" Target="media/image447.png"/><Relationship Id="rId492" Type="http://schemas.openxmlformats.org/officeDocument/2006/relationships/image" Target="media/image448.png"/><Relationship Id="rId493" Type="http://schemas.openxmlformats.org/officeDocument/2006/relationships/image" Target="media/image449.png"/><Relationship Id="rId494" Type="http://schemas.openxmlformats.org/officeDocument/2006/relationships/image" Target="media/image450.png"/><Relationship Id="rId495" Type="http://schemas.openxmlformats.org/officeDocument/2006/relationships/image" Target="media/image451.png"/><Relationship Id="rId496" Type="http://schemas.openxmlformats.org/officeDocument/2006/relationships/image" Target="media/image452.png"/><Relationship Id="rId497" Type="http://schemas.openxmlformats.org/officeDocument/2006/relationships/image" Target="media/image453.png"/><Relationship Id="rId498" Type="http://schemas.openxmlformats.org/officeDocument/2006/relationships/image" Target="media/image454.png"/><Relationship Id="rId499" Type="http://schemas.openxmlformats.org/officeDocument/2006/relationships/image" Target="media/image455.png"/><Relationship Id="rId500" Type="http://schemas.openxmlformats.org/officeDocument/2006/relationships/image" Target="media/image456.png"/><Relationship Id="rId501" Type="http://schemas.openxmlformats.org/officeDocument/2006/relationships/image" Target="media/image457.png"/><Relationship Id="rId502" Type="http://schemas.openxmlformats.org/officeDocument/2006/relationships/image" Target="media/image458.png"/><Relationship Id="rId503" Type="http://schemas.openxmlformats.org/officeDocument/2006/relationships/image" Target="media/image459.png"/><Relationship Id="rId504" Type="http://schemas.openxmlformats.org/officeDocument/2006/relationships/image" Target="media/image460.png"/><Relationship Id="rId505" Type="http://schemas.openxmlformats.org/officeDocument/2006/relationships/image" Target="media/image461.png"/><Relationship Id="rId506" Type="http://schemas.openxmlformats.org/officeDocument/2006/relationships/image" Target="media/image462.png"/><Relationship Id="rId507" Type="http://schemas.openxmlformats.org/officeDocument/2006/relationships/image" Target="media/image463.png"/><Relationship Id="rId508" Type="http://schemas.openxmlformats.org/officeDocument/2006/relationships/image" Target="media/image464.png"/><Relationship Id="rId509" Type="http://schemas.openxmlformats.org/officeDocument/2006/relationships/image" Target="media/image465.png"/><Relationship Id="rId510" Type="http://schemas.openxmlformats.org/officeDocument/2006/relationships/image" Target="media/image466.png"/><Relationship Id="rId511" Type="http://schemas.openxmlformats.org/officeDocument/2006/relationships/image" Target="media/image467.png"/><Relationship Id="rId512" Type="http://schemas.openxmlformats.org/officeDocument/2006/relationships/image" Target="media/image468.png"/><Relationship Id="rId513" Type="http://schemas.openxmlformats.org/officeDocument/2006/relationships/image" Target="media/image469.png"/><Relationship Id="rId127" Type="http://schemas.openxmlformats.org/officeDocument/2006/relationships/hyperlink" Target="https://www.sec.gov/Archives/edgar/data/1861795/000095017021003484/dh-ex3_1.htm" TargetMode="External"/><Relationship Id="rId128" Type="http://schemas.openxmlformats.org/officeDocument/2006/relationships/hyperlink" Target="https://www.sec.gov/Archives/edgar/data/1861795/000095017021003484/dh-ex3_2.htm" TargetMode="External"/><Relationship Id="rId129" Type="http://schemas.openxmlformats.org/officeDocument/2006/relationships/hyperlink" Target="https://www.sec.gov/Archives/edgar/data/1861795/000095017021003484/dh-ex3_3.htm" TargetMode="External"/><Relationship Id="rId130" Type="http://schemas.openxmlformats.org/officeDocument/2006/relationships/hyperlink" Target="https://www.sec.gov/Archives/edgar/data/1861795/000095017022003770/dh-ex4_1.htm" TargetMode="External"/><Relationship Id="rId131" Type="http://schemas.openxmlformats.org/officeDocument/2006/relationships/hyperlink" Target="https://www.sec.gov/Archives/edgar/data/1861795/000119312521277423/d402153dex101.htm" TargetMode="External"/><Relationship Id="rId132" Type="http://schemas.openxmlformats.org/officeDocument/2006/relationships/hyperlink" Target="https://www.sec.gov/Archives/edgar/data/1861795/000095017022021958/dh-ex10_5.htm" TargetMode="External"/><Relationship Id="rId133" Type="http://schemas.openxmlformats.org/officeDocument/2006/relationships/hyperlink" Target="https://www.sec.gov/Archives/edgar/data/1861795/000095017021003484/dh-ex10_8.htm" TargetMode="External"/><Relationship Id="rId134" Type="http://schemas.openxmlformats.org/officeDocument/2006/relationships/hyperlink" Target="https://www.sec.gov/Archives/edgar/data/1861795/000095017021003484/dh-ex10_9.htm" TargetMode="External"/><Relationship Id="rId135" Type="http://schemas.openxmlformats.org/officeDocument/2006/relationships/hyperlink" Target="https://www.sec.gov/Archives/edgar/data/1861795/000095017021003484/dh-ex10_10.htm" TargetMode="External"/><Relationship Id="rId136" Type="http://schemas.openxmlformats.org/officeDocument/2006/relationships/hyperlink" Target="https://www.sec.gov/Archives/edgar/data/1861795/000095017021003484/dh-ex10_11.htm" TargetMode="External"/><Relationship Id="rId137" Type="http://schemas.openxmlformats.org/officeDocument/2006/relationships/hyperlink" Target="https://www.sec.gov/Archives/edgar/data/1861795/000095017021003484/dh-ex10_12.htm" TargetMode="External"/><Relationship Id="rId138" Type="http://schemas.openxmlformats.org/officeDocument/2006/relationships/hyperlink" Target="https://www.sec.gov/Archives/edgar/data/1861795/000095017021003484/dh-ex10_13.htm" TargetMode="External"/><Relationship Id="rId139" Type="http://schemas.openxmlformats.org/officeDocument/2006/relationships/hyperlink" Target="https://www.sec.gov/Archives/edgar/data/1861795/000095017021003484/dh-ex10_14.htm" TargetMode="External"/><Relationship Id="rId142" Type="http://schemas.openxmlformats.org/officeDocument/2006/relationships/hyperlink" Target="https://www.sec.gov/Archives/edgar/data/1861795/000119312521266049/d127783dex1019.htm" TargetMode="External"/><Relationship Id="rId143" Type="http://schemas.openxmlformats.org/officeDocument/2006/relationships/hyperlink" Target="https://www.sec.gov/Archives/edgar/data/1861795/000119312521330014/d204687dex1021.htm" TargetMode="External"/><Relationship Id="rId144" Type="http://schemas.openxmlformats.org/officeDocument/2006/relationships/hyperlink" Target="https://www.sec.gov/Archives/edgar/data/1861795/000119312521252899/d127783dex101.htm" TargetMode="External"/><Relationship Id="rId145" Type="http://schemas.openxmlformats.org/officeDocument/2006/relationships/hyperlink" Target="https://www.sec.gov/Archives/edgar/data/1861795/000095017022003770/dh-ex10_12.htm" TargetMode="External"/><Relationship Id="rId146" Type="http://schemas.openxmlformats.org/officeDocument/2006/relationships/hyperlink" Target="https://www.sec.gov/Archives/edgar/data/1861795/000119312521252899/d127783dex103.htm" TargetMode="External"/><Relationship Id="rId147" Type="http://schemas.openxmlformats.org/officeDocument/2006/relationships/hyperlink" Target="https://www.sec.gov/Archives/edgar/data/1861795/000119312521252899/d127783dex104.htm" TargetMode="External"/><Relationship Id="rId148" Type="http://schemas.openxmlformats.org/officeDocument/2006/relationships/hyperlink" Target="https://www.sec.gov/Archives/edgar/data/1861795/000095017022021909/dh-ex10_2.htm" TargetMode="External"/><Relationship Id="rId149" Type="http://schemas.openxmlformats.org/officeDocument/2006/relationships/hyperlink" Target="https://www.sec.gov/Archives/edgar/data/1861795/000119312522256657/d383931dex101.htm" TargetMode="External"/><Relationship Id="rId150" Type="http://schemas.openxmlformats.org/officeDocument/2006/relationships/hyperlink" Target="https://www.sec.gov/Archives/edgar/data/1861795/000095017023004128/dh-ex10_2.htm" TargetMode="External"/><Relationship Id="rId151" Type="http://schemas.openxmlformats.org/officeDocument/2006/relationships/hyperlink" Target="https://www.sec.gov/Archives/edgar/data/1861795/000119312521252899/d127783dex106.htm" TargetMode="External"/><Relationship Id="rId152" Type="http://schemas.openxmlformats.org/officeDocument/2006/relationships/hyperlink" Target="https://www.sec.gov/Archives/edgar/data/1861795/000119312521252899/d127783dex107.htm" TargetMode="External"/><Relationship Id="rId153" Type="http://schemas.openxmlformats.org/officeDocument/2006/relationships/hyperlink" Target="https://www.sec.gov/Archives/edgar/data/1861795/000119312521252899/d127783dex108.htm" TargetMode="External"/><Relationship Id="rId154" Type="http://schemas.openxmlformats.org/officeDocument/2006/relationships/hyperlink" Target="https://www.sec.gov/Archives/edgar/data/1861795/000119312521252899/d127783dex109.htm" TargetMode="External"/><Relationship Id="rId155" Type="http://schemas.openxmlformats.org/officeDocument/2006/relationships/hyperlink" Target="https://www.sec.gov/Archives/edgar/data/1861795/000119312521252899/d127783dex1010.htm" TargetMode="External"/><Relationship Id="rId156" Type="http://schemas.openxmlformats.org/officeDocument/2006/relationships/hyperlink" Target="https://www.sec.gov/Archives/edgar/data/1861795/000119312521295520/d225328dex101.htm" TargetMode="External"/><Relationship Id="rId157" Type="http://schemas.openxmlformats.org/officeDocument/2006/relationships/hyperlink" Target="https://www.sec.gov/Archives/edgar/data/1861795/000119312522142304/d329213dex101.htm" TargetMode="External"/><Relationship Id="rId158" Type="http://schemas.openxmlformats.org/officeDocument/2006/relationships/hyperlink" Target="https://www.sec.gov/Archives/edgar/data/1861795/000119312522142304/d329213dex102.htm" TargetMode="External"/><Relationship Id="rId159" Type="http://schemas.openxmlformats.org/officeDocument/2006/relationships/hyperlink" Target="https://www.sec.gov/Archives/edgar/data/1861795/000095017023004128/dh-ex10_1.htm" TargetMode="External"/><Relationship Id="rId160" Type="http://schemas.openxmlformats.org/officeDocument/2006/relationships/hyperlink" Target="https://www.sec.gov/Archives/edgar/data/1861795/000095017022014843/dh-ex10_3.htm" TargetMode="External"/><Relationship Id="rId163" Type="http://schemas.openxmlformats.org/officeDocument/2006/relationships/hyperlink" Target="https://www.sec.gov/Archives/edgar/data/1861795/000095017022014843/dh-ex10_4.htm" TargetMode="External"/><Relationship Id="rId164" Type="http://schemas.openxmlformats.org/officeDocument/2006/relationships/hyperlink" Target="https://www.sec.gov/Archives/edgar/data/1861795/000095017022014843/dh-ex10_5.htm" TargetMode="External"/><Relationship Id="rId165" Type="http://schemas.openxmlformats.org/officeDocument/2006/relationships/hyperlink" Target="https://www.sec.gov/Archives/edgar/data/1861795/000095017022021909/dh-ex10_1.htm" TargetMode="External"/><Relationship Id="rId166" Type="http://schemas.openxmlformats.org/officeDocument/2006/relationships/hyperlink" Target="https://www.sec.gov/Archives/edgar/data/1861795/000095017022021958/dh-ex10_4.htm" TargetMode="External"/><Relationship Id="rId167" Type="http://schemas.openxmlformats.org/officeDocument/2006/relationships/hyperlink" Target="https://www.sec.gov/Archives/edgar/data/1861795/000119312521252899/d12778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2023-02-27T17:29:41Z</dcterms:created>
  <dcterms:modified xsi:type="dcterms:W3CDTF">2023-02-27T17:29:41Z</dcterms:modified>
</cp:coreProperties>
</file>