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Booth Richard Douglas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197,369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256,350.173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$0.001. The RSUs vest over a four-year period, with 25% of the RSUs vesting on February 1, 2024, followed by quarterly vesting of 6.25% every three months thereafter over the subsequent three years, in each case subject to the Reporting Person's continued service with the Issuer through each such vesting date.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1054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2023-02-21T18:47:45Z</dcterms:created>
  <dcterms:modified xsi:type="dcterms:W3CDTF">2023-02-21T18:47:45Z</dcterms:modified>
</cp:coreProperties>
</file>