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June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8" w:lineRule="exact"/>
        <w:rPr>
          <w:sz w:val="24"/>
          <w:szCs w:val="24"/>
          <w:color w:val="auto"/>
        </w:rPr>
      </w:pPr>
    </w:p>
    <w:tbl>
      <w:tblPr>
        <w:tblLayout w:type="fixed"/>
        <w:tblInd w:w="1420" w:type="dxa"/>
        <w:tblCellMar>
          <w:top w:w="0" w:type="dxa"/>
          <w:left w:w="0" w:type="dxa"/>
          <w:bottom w:w="0" w:type="dxa"/>
          <w:right w:w="0" w:type="dxa"/>
        </w:tblCellMar>
      </w:tblPr>
      <w:tr>
        <w:trPr>
          <w:trHeight w:val="530"/>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Arial" w:cs="Arial" w:eastAsia="Arial" w:hAnsi="Arial"/>
                <w:sz w:val="43"/>
                <w:szCs w:val="43"/>
                <w:b w:val="1"/>
                <w:bCs w:val="1"/>
                <w:color w:val="auto"/>
                <w:w w:val="93"/>
              </w:rPr>
              <w:t>Definitive Healthcare Corp.</w:t>
            </w:r>
          </w:p>
        </w:tc>
      </w:tr>
      <w:tr>
        <w:trPr>
          <w:trHeight w:val="174"/>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Arial" w:cs="Arial" w:eastAsia="Arial" w:hAnsi="Arial"/>
                <w:sz w:val="13"/>
                <w:szCs w:val="13"/>
                <w:b w:val="1"/>
                <w:bCs w:val="1"/>
                <w:color w:val="auto"/>
                <w:w w:val="94"/>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66"/>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Arial" w:cs="Arial" w:eastAsia="Arial" w:hAnsi="Arial"/>
                <w:sz w:val="18"/>
                <w:szCs w:val="18"/>
                <w:b w:val="1"/>
                <w:bCs w:val="1"/>
                <w:color w:val="auto"/>
                <w:w w:val="90"/>
              </w:rPr>
              <w:t>Commission File Number 1-40815</w:t>
            </w:r>
          </w:p>
        </w:tc>
      </w:tr>
      <w:tr>
        <w:trPr>
          <w:trHeight w:val="486"/>
        </w:trPr>
        <w:tc>
          <w:tcPr>
            <w:tcW w:w="1320" w:type="dxa"/>
            <w:vAlign w:val="bottom"/>
          </w:tcPr>
          <w:p>
            <w:pPr>
              <w:jc w:val="center"/>
              <w:ind w:right="245"/>
              <w:spacing w:after="0"/>
              <w:rPr>
                <w:sz w:val="20"/>
                <w:szCs w:val="20"/>
                <w:color w:val="auto"/>
              </w:rPr>
            </w:pPr>
            <w:r>
              <w:rPr>
                <w:rFonts w:ascii="Arial" w:cs="Arial" w:eastAsia="Arial" w:hAnsi="Arial"/>
                <w:sz w:val="18"/>
                <w:szCs w:val="18"/>
                <w:b w:val="1"/>
                <w:bCs w:val="1"/>
                <w:color w:val="auto"/>
                <w:w w:val="91"/>
              </w:rPr>
              <w:t>Delaware</w:t>
            </w:r>
          </w:p>
        </w:tc>
        <w:tc>
          <w:tcPr>
            <w:tcW w:w="7120" w:type="dxa"/>
            <w:vAlign w:val="bottom"/>
            <w:gridSpan w:val="3"/>
          </w:tcPr>
          <w:p>
            <w:pPr>
              <w:jc w:val="center"/>
              <w:ind w:left="5966"/>
              <w:spacing w:after="0"/>
              <w:rPr>
                <w:sz w:val="20"/>
                <w:szCs w:val="20"/>
                <w:color w:val="auto"/>
              </w:rPr>
            </w:pPr>
            <w:r>
              <w:rPr>
                <w:rFonts w:ascii="Arial" w:cs="Arial" w:eastAsia="Arial" w:hAnsi="Arial"/>
                <w:sz w:val="18"/>
                <w:szCs w:val="18"/>
                <w:b w:val="1"/>
                <w:bCs w:val="1"/>
                <w:color w:val="auto"/>
                <w:w w:val="89"/>
              </w:rPr>
              <w:t>86-3988281</w:t>
            </w:r>
          </w:p>
        </w:tc>
      </w:tr>
      <w:tr>
        <w:trPr>
          <w:trHeight w:val="149"/>
        </w:trPr>
        <w:tc>
          <w:tcPr>
            <w:tcW w:w="1320" w:type="dxa"/>
            <w:vAlign w:val="bottom"/>
          </w:tcPr>
          <w:p>
            <w:pPr>
              <w:jc w:val="center"/>
              <w:ind w:right="265"/>
              <w:spacing w:after="0"/>
              <w:rPr>
                <w:sz w:val="20"/>
                <w:szCs w:val="20"/>
                <w:color w:val="auto"/>
              </w:rPr>
            </w:pPr>
            <w:r>
              <w:rPr>
                <w:rFonts w:ascii="Arial" w:cs="Arial" w:eastAsia="Arial" w:hAnsi="Arial"/>
                <w:sz w:val="13"/>
                <w:szCs w:val="13"/>
                <w:b w:val="1"/>
                <w:bCs w:val="1"/>
                <w:color w:val="auto"/>
                <w:w w:val="94"/>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1993"/>
              <w:spacing w:after="0"/>
              <w:rPr>
                <w:sz w:val="20"/>
                <w:szCs w:val="20"/>
                <w:color w:val="auto"/>
              </w:rPr>
            </w:pPr>
            <w:r>
              <w:rPr>
                <w:rFonts w:ascii="Arial" w:cs="Arial" w:eastAsia="Arial" w:hAnsi="Arial"/>
                <w:sz w:val="13"/>
                <w:szCs w:val="13"/>
                <w:b w:val="1"/>
                <w:bCs w:val="1"/>
                <w:color w:val="auto"/>
                <w:w w:val="96"/>
              </w:rPr>
              <w:t>(IRS Employer</w:t>
            </w:r>
          </w:p>
        </w:tc>
      </w:tr>
      <w:tr>
        <w:trPr>
          <w:trHeight w:val="170"/>
        </w:trPr>
        <w:tc>
          <w:tcPr>
            <w:tcW w:w="1320" w:type="dxa"/>
            <w:vAlign w:val="bottom"/>
          </w:tcPr>
          <w:p>
            <w:pPr>
              <w:jc w:val="center"/>
              <w:ind w:right="245"/>
              <w:spacing w:after="0"/>
              <w:rPr>
                <w:sz w:val="20"/>
                <w:szCs w:val="20"/>
                <w:color w:val="auto"/>
              </w:rPr>
            </w:pPr>
            <w:r>
              <w:rPr>
                <w:rFonts w:ascii="Arial" w:cs="Arial" w:eastAsia="Arial" w:hAnsi="Arial"/>
                <w:sz w:val="13"/>
                <w:szCs w:val="13"/>
                <w:b w:val="1"/>
                <w:bCs w:val="1"/>
                <w:color w:val="auto"/>
                <w:w w:val="96"/>
              </w:rPr>
              <w:t>of Incorporation)</w:t>
            </w:r>
          </w:p>
        </w:tc>
        <w:tc>
          <w:tcPr>
            <w:tcW w:w="1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120" w:type="dxa"/>
            <w:vAlign w:val="bottom"/>
          </w:tcPr>
          <w:p>
            <w:pPr>
              <w:jc w:val="center"/>
              <w:ind w:left="1993"/>
              <w:spacing w:after="0"/>
              <w:rPr>
                <w:sz w:val="20"/>
                <w:szCs w:val="20"/>
                <w:color w:val="auto"/>
              </w:rPr>
            </w:pPr>
            <w:r>
              <w:rPr>
                <w:rFonts w:ascii="Arial" w:cs="Arial" w:eastAsia="Arial" w:hAnsi="Arial"/>
                <w:sz w:val="13"/>
                <w:szCs w:val="13"/>
                <w:b w:val="1"/>
                <w:bCs w:val="1"/>
                <w:color w:val="auto"/>
                <w:w w:val="96"/>
              </w:rPr>
              <w:t>Identification No.)</w:t>
            </w:r>
          </w:p>
        </w:tc>
      </w:tr>
      <w:tr>
        <w:trPr>
          <w:trHeight w:val="234"/>
        </w:trPr>
        <w:tc>
          <w:tcPr>
            <w:tcW w:w="1320" w:type="dxa"/>
            <w:vAlign w:val="bottom"/>
          </w:tcPr>
          <w:p>
            <w:pPr>
              <w:spacing w:after="0"/>
              <w:rPr>
                <w:sz w:val="20"/>
                <w:szCs w:val="20"/>
                <w:color w:val="auto"/>
              </w:rPr>
            </w:pPr>
          </w:p>
        </w:tc>
        <w:tc>
          <w:tcPr>
            <w:tcW w:w="7120" w:type="dxa"/>
            <w:vAlign w:val="bottom"/>
            <w:gridSpan w:val="3"/>
          </w:tcPr>
          <w:p>
            <w:pPr>
              <w:jc w:val="center"/>
              <w:ind w:right="1273"/>
              <w:spacing w:after="0"/>
              <w:rPr>
                <w:sz w:val="20"/>
                <w:szCs w:val="20"/>
                <w:color w:val="auto"/>
              </w:rPr>
            </w:pPr>
            <w:r>
              <w:rPr>
                <w:rFonts w:ascii="Arial" w:cs="Arial" w:eastAsia="Arial" w:hAnsi="Arial"/>
                <w:sz w:val="18"/>
                <w:szCs w:val="18"/>
                <w:b w:val="1"/>
                <w:bCs w:val="1"/>
                <w:color w:val="auto"/>
                <w:w w:val="90"/>
              </w:rPr>
              <w:t>492 Old Connecticut Path, Suite 401</w:t>
            </w:r>
          </w:p>
        </w:tc>
      </w:tr>
      <w:tr>
        <w:trPr>
          <w:trHeight w:val="243"/>
        </w:trPr>
        <w:tc>
          <w:tcPr>
            <w:tcW w:w="1320" w:type="dxa"/>
            <w:vAlign w:val="bottom"/>
          </w:tcPr>
          <w:p>
            <w:pPr>
              <w:spacing w:after="0"/>
              <w:rPr>
                <w:sz w:val="21"/>
                <w:szCs w:val="21"/>
                <w:color w:val="auto"/>
              </w:rPr>
            </w:pPr>
          </w:p>
        </w:tc>
        <w:tc>
          <w:tcPr>
            <w:tcW w:w="7120" w:type="dxa"/>
            <w:vAlign w:val="bottom"/>
            <w:gridSpan w:val="3"/>
          </w:tcPr>
          <w:p>
            <w:pPr>
              <w:jc w:val="center"/>
              <w:ind w:right="1233"/>
              <w:spacing w:after="0"/>
              <w:rPr>
                <w:sz w:val="20"/>
                <w:szCs w:val="20"/>
                <w:color w:val="auto"/>
              </w:rPr>
            </w:pPr>
            <w:r>
              <w:rPr>
                <w:rFonts w:ascii="Arial" w:cs="Arial" w:eastAsia="Arial" w:hAnsi="Arial"/>
                <w:sz w:val="18"/>
                <w:szCs w:val="18"/>
                <w:b w:val="1"/>
                <w:bCs w:val="1"/>
                <w:color w:val="auto"/>
                <w:w w:val="89"/>
              </w:rPr>
              <w:t>Framingham, Massachusetts 01701</w:t>
            </w:r>
          </w:p>
        </w:tc>
      </w:tr>
      <w:tr>
        <w:trPr>
          <w:trHeight w:val="229"/>
        </w:trPr>
        <w:tc>
          <w:tcPr>
            <w:tcW w:w="1320" w:type="dxa"/>
            <w:vAlign w:val="bottom"/>
          </w:tcPr>
          <w:p>
            <w:pPr>
              <w:spacing w:after="0"/>
              <w:rPr>
                <w:sz w:val="19"/>
                <w:szCs w:val="19"/>
                <w:color w:val="auto"/>
              </w:rPr>
            </w:pPr>
          </w:p>
        </w:tc>
        <w:tc>
          <w:tcPr>
            <w:tcW w:w="7120" w:type="dxa"/>
            <w:vAlign w:val="bottom"/>
            <w:gridSpan w:val="3"/>
          </w:tcPr>
          <w:p>
            <w:pPr>
              <w:jc w:val="center"/>
              <w:ind w:right="1333"/>
              <w:spacing w:after="0"/>
              <w:rPr>
                <w:sz w:val="20"/>
                <w:szCs w:val="20"/>
                <w:color w:val="auto"/>
              </w:rPr>
            </w:pPr>
            <w:r>
              <w:rPr>
                <w:rFonts w:ascii="Arial" w:cs="Arial" w:eastAsia="Arial" w:hAnsi="Arial"/>
                <w:sz w:val="13"/>
                <w:szCs w:val="13"/>
                <w:b w:val="1"/>
                <w:bCs w:val="1"/>
                <w:color w:val="auto"/>
                <w:w w:val="93"/>
              </w:rPr>
              <w:t>(Address of Principal Executive Offices)</w:t>
            </w:r>
          </w:p>
        </w:tc>
      </w:tr>
      <w:tr>
        <w:trPr>
          <w:trHeight w:val="500"/>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Arial" w:cs="Arial" w:eastAsia="Arial" w:hAnsi="Arial"/>
                <w:sz w:val="18"/>
                <w:szCs w:val="18"/>
                <w:b w:val="1"/>
                <w:bCs w:val="1"/>
                <w:color w:val="auto"/>
                <w:w w:val="89"/>
              </w:rPr>
              <w:t>508 720-4224</w:t>
            </w:r>
          </w:p>
        </w:tc>
        <w:tc>
          <w:tcPr>
            <w:tcW w:w="3120" w:type="dxa"/>
            <w:vAlign w:val="bottom"/>
          </w:tcPr>
          <w:p>
            <w:pPr>
              <w:spacing w:after="0"/>
              <w:rPr>
                <w:sz w:val="24"/>
                <w:szCs w:val="24"/>
                <w:color w:val="auto"/>
              </w:rPr>
            </w:pPr>
          </w:p>
        </w:tc>
      </w:tr>
      <w:tr>
        <w:trPr>
          <w:trHeight w:val="188"/>
        </w:trPr>
        <w:tc>
          <w:tcPr>
            <w:tcW w:w="1320" w:type="dxa"/>
            <w:vAlign w:val="bottom"/>
          </w:tcPr>
          <w:p>
            <w:pPr>
              <w:spacing w:after="0"/>
              <w:rPr>
                <w:sz w:val="16"/>
                <w:szCs w:val="16"/>
                <w:color w:val="auto"/>
              </w:rPr>
            </w:pPr>
          </w:p>
        </w:tc>
        <w:tc>
          <w:tcPr>
            <w:tcW w:w="7120" w:type="dxa"/>
            <w:vAlign w:val="bottom"/>
            <w:gridSpan w:val="3"/>
          </w:tcPr>
          <w:p>
            <w:pPr>
              <w:jc w:val="center"/>
              <w:ind w:right="1293"/>
              <w:spacing w:after="0"/>
              <w:rPr>
                <w:sz w:val="20"/>
                <w:szCs w:val="20"/>
                <w:color w:val="auto"/>
              </w:rPr>
            </w:pPr>
            <w:r>
              <w:rPr>
                <w:rFonts w:ascii="Arial" w:cs="Arial" w:eastAsia="Arial" w:hAnsi="Arial"/>
                <w:sz w:val="13"/>
                <w:szCs w:val="13"/>
                <w:b w:val="1"/>
                <w:bCs w:val="1"/>
                <w:color w:val="auto"/>
                <w:w w:val="92"/>
              </w:rPr>
              <w:t>Registrant’s telephone number, including area code</w:t>
            </w:r>
          </w:p>
        </w:tc>
      </w:tr>
      <w:tr>
        <w:trPr>
          <w:trHeight w:val="635"/>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13"/>
              <w:spacing w:after="0"/>
              <w:rPr>
                <w:sz w:val="20"/>
                <w:szCs w:val="20"/>
                <w:color w:val="auto"/>
              </w:rPr>
            </w:pPr>
            <w:r>
              <w:rPr>
                <w:rFonts w:ascii="Arial" w:cs="Arial" w:eastAsia="Arial" w:hAnsi="Arial"/>
                <w:sz w:val="18"/>
                <w:szCs w:val="18"/>
                <w:b w:val="1"/>
                <w:bCs w:val="1"/>
                <w:color w:val="auto"/>
                <w:w w:val="90"/>
              </w:rPr>
              <w:t>Not Applicable</w:t>
            </w:r>
          </w:p>
        </w:tc>
      </w:tr>
      <w:tr>
        <w:trPr>
          <w:trHeight w:val="175"/>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Arial" w:cs="Arial" w:eastAsia="Arial" w:hAnsi="Arial"/>
                <w:sz w:val="13"/>
                <w:szCs w:val="13"/>
                <w:b w:val="1"/>
                <w:bCs w:val="1"/>
                <w:color w:val="auto"/>
                <w:w w:val="94"/>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128905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5" w:lineRule="exact"/>
        <w:rPr>
          <w:sz w:val="24"/>
          <w:szCs w:val="24"/>
          <w:color w:val="auto"/>
        </w:rPr>
      </w:pPr>
    </w:p>
    <w:tbl>
      <w:tblPr>
        <w:tblLayout w:type="fixed"/>
        <w:tblInd w:w="84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14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Title of Each Class</w:t>
            </w:r>
          </w:p>
        </w:tc>
        <w:tc>
          <w:tcPr>
            <w:tcW w:w="1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Symbol</w:t>
            </w:r>
          </w:p>
        </w:tc>
        <w:tc>
          <w:tcPr>
            <w:tcW w:w="140" w:type="dxa"/>
            <w:vAlign w:val="bottom"/>
          </w:tcPr>
          <w:p>
            <w:pPr>
              <w:spacing w:after="0"/>
              <w:rPr>
                <w:sz w:val="15"/>
                <w:szCs w:val="15"/>
                <w:color w:val="auto"/>
              </w:rPr>
            </w:pPr>
          </w:p>
        </w:tc>
        <w:tc>
          <w:tcPr>
            <w:tcW w:w="336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228"/>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89"/>
              </w:rPr>
              <w:t>Class A Common Stock, $0.001 par value</w:t>
            </w:r>
          </w:p>
        </w:tc>
        <w:tc>
          <w:tcPr>
            <w:tcW w:w="1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DH</w:t>
            </w:r>
          </w:p>
        </w:tc>
        <w:tc>
          <w:tcPr>
            <w:tcW w:w="140" w:type="dxa"/>
            <w:vAlign w:val="bottom"/>
          </w:tcPr>
          <w:p>
            <w:pPr>
              <w:spacing w:after="0"/>
              <w:rPr>
                <w:sz w:val="19"/>
                <w:szCs w:val="19"/>
                <w:color w:val="auto"/>
              </w:rPr>
            </w:pPr>
          </w:p>
        </w:tc>
        <w:tc>
          <w:tcPr>
            <w:tcW w:w="3360" w:type="dxa"/>
            <w:vAlign w:val="bottom"/>
          </w:tcPr>
          <w:p>
            <w:pPr>
              <w:ind w:left="380"/>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14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166"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424180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63" w:right="49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On June 8, 2023, Joseph Mirisola notified the Board of Directors of Definitive Healthcare Corp. (NASDAQ:DH) (the “Company”) of his intent to resign as its Chief Revenue Officer. While the effective date of Mr. Mirisola’s resignation has not been officially determined, it is expected to occur on or around December 31, 2023, following the identification of his successor and an appropriate transition period. Mr. Mirisola is expected to remain in his current role until such time and noted his dedication to the Company, his desire for the Company to succeed, and his intention to assist in leading the transition process. In tendering his notice, Mr. Mirisola noted that he was one of Definitive Healthcare’s first employees, is grateful for the opportunities he has had to contribute over the past 12 years, and is looking forward to the opportunity to get to spend more time with his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DEFINITIVE HEALTHCARE CORP.</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Musslewhite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Robert Musslewhite</w:t>
            </w:r>
          </w:p>
        </w:tc>
      </w:tr>
      <w:tr>
        <w:trPr>
          <w:trHeight w:val="24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2023-06-08T15:32:24Z</dcterms:created>
  <dcterms:modified xsi:type="dcterms:W3CDTF">2023-06-08T15:32:24Z</dcterms:modified>
</cp:coreProperties>
</file>