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Krantz Jason Ronald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0"/>
        <w:gridCol w:w="908"/>
        <w:gridCol w:w="779"/>
        <w:gridCol w:w="603"/>
        <w:gridCol w:w="343"/>
        <w:gridCol w:w="961"/>
        <w:gridCol w:w="435"/>
        <w:gridCol w:w="656"/>
        <w:gridCol w:w="1259"/>
        <w:gridCol w:w="976"/>
        <w:gridCol w:w="11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0.99</w:t>
            </w:r>
            <w:r>
              <w:rPr/>
              <w:t xml:space="preserve"> </w:t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1,201,438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 Holdings (f/k/a Jason R. Krantz 2009 Trust)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450,000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represents the withholding of shares by the issuer to satisfy the reporting person's tax withholding obligations in connection with the vesting and settlement of previously reported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beneficially owned in trust by DH Holdings (fka Jason R. Krantz 2009 Trust), of which the Reporting Person is the beneficiary.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9507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3470</Characters>
  <CharactersWithSpaces>4039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