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Paris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481,505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902,854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("RSUs"), each representing a contingent right to receive one share of the Issuer's Class A Common Stock, par value $0.001, with 25% of the RSUs vesting on March 1, 2027, followed by vesting of 6.25% every three months thereafter over the subsequent three years, subject to the Reporting Person's continued service with the Issuer through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Paris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6482" TargetMode="External"/><Relationship Id="rId5" Type="http://schemas.openxmlformats.org/officeDocument/2006/relationships/hyperlink" Target="http://www.sec.gov/cgi-bin/browse-edgar?action=getcompany&amp;CIK=0001861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3420</Characters>
  <CharactersWithSpaces>3990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