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31102.htm"/>
      <w:bookmarkStart w:id="1" w:name="ksdh20231102"/>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November 2, 2023</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0" w:after="60"/>
        <w:jc w:val="left"/>
        <w:rPr/>
      </w:pPr>
      <w:r>
        <w:rPr>
          <w:color w:val="000000"/>
        </w:rPr>
        <w:t xml:space="preserve">☐ </w:t>
      </w:r>
      <w:r>
        <w:rPr>
          <w:rFonts w:ascii="Times New Roman" w:hAnsi="Times New Roman"/>
          <w:b w:val="false"/>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b w:val="false"/>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b w:val="false"/>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b w:val="false"/>
          <w:color w:val="000000"/>
          <w:sz w:val="20"/>
        </w:rPr>
        <w:t>Pre-commencement communications pursuant to Rule 13e-4(c) under the Exchange Act (17 CFR 240.13e-4(c))</w:t>
      </w:r>
    </w:p>
    <w:p>
      <w:pPr>
        <w:pStyle w:val="TextBody"/>
        <w:bidi w:val="0"/>
        <w:spacing w:before="160" w:after="160"/>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sz w:val="20"/>
        </w:rPr>
      </w:pPr>
      <w:r>
        <w:rPr>
          <w:rFonts w:ascii="Times New Roman" w:hAnsi="Times New Roman"/>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b w:val="false"/>
          <w:color w:val="000000"/>
          <w:sz w:val="2"/>
        </w:rPr>
        <w:br/>
      </w:r>
      <w:r>
        <w:rPr>
          <w:rFonts w:ascii="Times New Roman" w:hAnsi="Times New Roman"/>
          <w:color w:val="000000"/>
          <w:sz w:val="20"/>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November 2, 2023, Definitive Healthcare Corp. (the “Company”) issued a press release announcing its financial results for the third quarter ended September 30, 2023. A copy of the press release is furnished as Exhibit 99.1 to this Current Report on Form 8-K and is incorporated by reference herein.</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(d) Exhibits.</w:t>
      </w:r>
    </w:p>
    <w:tbl>
      <w:tblPr>
        <w:tblW w:w="7232" w:type="dxa"/>
        <w:jc w:val="left"/>
        <w:tblInd w:w="0" w:type="dxa"/>
        <w:tblLayout w:type="fixed"/>
        <w:tblCellMar>
          <w:top w:w="28" w:type="dxa"/>
          <w:left w:w="28" w:type="dxa"/>
          <w:bottom w:w="28" w:type="dxa"/>
          <w:right w:w="28" w:type="dxa"/>
        </w:tblCellMar>
      </w:tblPr>
      <w:tblGrid>
        <w:gridCol w:w="481"/>
        <w:gridCol w:w="6751"/>
      </w:tblGrid>
      <w:tr>
        <w:trPr/>
        <w:tc>
          <w:tcPr>
            <w:tcW w:w="481" w:type="dxa"/>
            <w:tcBorders/>
            <w:vAlign w:val="center"/>
          </w:tcPr>
          <w:p>
            <w:pPr>
              <w:pStyle w:val="TableContents"/>
              <w:bidi w:val="0"/>
              <w:spacing w:before="0" w:after="283"/>
              <w:jc w:val="left"/>
              <w:rPr>
                <w:sz w:val="4"/>
                <w:szCs w:val="4"/>
              </w:rPr>
            </w:pPr>
            <w:r>
              <w:rPr>
                <w:sz w:val="4"/>
                <w:szCs w:val="4"/>
              </w:rPr>
            </w:r>
          </w:p>
        </w:tc>
        <w:tc>
          <w:tcPr>
            <w:tcW w:w="675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99.1</w:t>
            </w:r>
          </w:p>
        </w:tc>
        <w:tc>
          <w:tcPr>
            <w:tcW w:w="6751"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b w:val="false"/>
                  <w:color w:val="0000FF"/>
                  <w:sz w:val="20"/>
                  <w:u w:val="single"/>
                </w:rPr>
                <w:t>Press Release Dated November 2, 2023 (furnished herewith pursuant to Item 2.02)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Richard Booth</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Richard Booth</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h-ex99_1.htm"/>
      <w:bookmarkStart w:id="3" w:name="ksdhex99_1"/>
      <w:bookmarkEnd w:id="2"/>
      <w:bookmarkEnd w:id="3"/>
      <w:r>
        <w:rPr>
          <w:rFonts w:ascii="Arial" w:hAnsi="Arial"/>
          <w:b/>
          <w:color w:val="000000"/>
          <w:sz w:val="22"/>
        </w:rPr>
        <w:t>Exhibit 99.1</w:t>
      </w:r>
      <w:r>
        <w:br w:type="page"/>
      </w:r>
    </w:p>
    <w:p>
      <w:pPr>
        <w:pStyle w:val="TextBody"/>
        <w:bidi w:val="0"/>
        <w:jc w:val="right"/>
        <w:rPr/>
      </w:pPr>
      <w:r>
        <w:rPr/>
        <w:t> </w:t>
      </w:r>
    </w:p>
    <w:p>
      <w:pPr>
        <w:pStyle w:val="TextBody"/>
        <w:bidi w:val="0"/>
        <w:jc w:val="center"/>
        <w:rPr/>
      </w:pPr>
      <w:r>
        <w:rPr/>
        <w:t> </w:t>
      </w:r>
    </w:p>
    <w:p>
      <w:pPr>
        <w:pStyle w:val="TextBody"/>
        <w:bidi w:val="0"/>
        <w:spacing w:before="0" w:after="120"/>
        <w:jc w:val="center"/>
        <w:rPr>
          <w:rFonts w:ascii="Arial" w:hAnsi="Arial"/>
          <w:b/>
          <w:color w:val="000000"/>
          <w:sz w:val="22"/>
        </w:rPr>
      </w:pPr>
      <w:r>
        <w:rPr>
          <w:rFonts w:ascii="Arial" w:hAnsi="Arial"/>
          <w:b/>
          <w:color w:val="000000"/>
          <w:sz w:val="22"/>
        </w:rPr>
        <w:t>Definitive Healthcare Reports Financial Results for Third Quarter Fiscal Year 2023</w:t>
      </w:r>
    </w:p>
    <w:p>
      <w:pPr>
        <w:pStyle w:val="TextBody"/>
        <w:bidi w:val="0"/>
        <w:spacing w:before="0" w:after="120"/>
        <w:jc w:val="center"/>
        <w:rPr>
          <w:rFonts w:ascii="Arial" w:hAnsi="Arial"/>
          <w:b w:val="false"/>
          <w:i/>
          <w:color w:val="000000"/>
          <w:sz w:val="22"/>
        </w:rPr>
      </w:pPr>
      <w:r>
        <w:rPr>
          <w:rFonts w:ascii="Arial" w:hAnsi="Arial"/>
          <w:b w:val="false"/>
          <w:i/>
          <w:color w:val="000000"/>
          <w:sz w:val="22"/>
        </w:rPr>
        <w:t>Third quarter revenue grew 14% year-over-year to $65.3 million</w:t>
      </w:r>
    </w:p>
    <w:p>
      <w:pPr>
        <w:pStyle w:val="TextBody"/>
        <w:bidi w:val="0"/>
        <w:spacing w:before="0" w:after="120"/>
        <w:jc w:val="left"/>
        <w:rPr>
          <w:rFonts w:ascii="Times New Roman" w:hAnsi="Times New Roman"/>
          <w:sz w:val="20"/>
        </w:rPr>
      </w:pPr>
      <w:r>
        <w:rPr>
          <w:rFonts w:ascii="Arial" w:hAnsi="Arial"/>
          <w:b/>
          <w:color w:val="000000"/>
          <w:sz w:val="22"/>
        </w:rPr>
        <w:t xml:space="preserve">Framingham, MA (November 2, 2023) – </w:t>
      </w:r>
      <w:r>
        <w:rPr>
          <w:rFonts w:ascii="Arial" w:hAnsi="Arial"/>
          <w:b w:val="false"/>
          <w:color w:val="000000"/>
          <w:sz w:val="22"/>
        </w:rPr>
        <w:t>Definitive Healthcare Corp. (“Definitive Healthcare” or the “Company”) (Nasdaq: DH), an industry leader in healthcare commercial intelligence, today announced financial results for the quarter ended September 30, 2023.</w:t>
      </w:r>
    </w:p>
    <w:p>
      <w:pPr>
        <w:pStyle w:val="TextBody"/>
        <w:bidi w:val="0"/>
        <w:jc w:val="both"/>
        <w:rPr>
          <w:rFonts w:ascii="Arial" w:hAnsi="Arial"/>
          <w:b/>
          <w:color w:val="000000"/>
          <w:sz w:val="22"/>
        </w:rPr>
      </w:pPr>
      <w:r>
        <w:rPr>
          <w:rFonts w:ascii="Arial" w:hAnsi="Arial"/>
          <w:b/>
          <w:color w:val="000000"/>
          <w:sz w:val="22"/>
        </w:rPr>
        <w:t>Third Quarter 2023 Financial Highlights:</w:t>
      </w:r>
    </w:p>
    <w:p>
      <w:pPr>
        <w:pStyle w:val="TextBody"/>
        <w:bidi w:val="0"/>
        <w:spacing w:before="120" w:after="283"/>
        <w:jc w:val="left"/>
        <w:rPr>
          <w:rFonts w:ascii="Arial" w:hAnsi="Arial"/>
          <w:b w:val="false"/>
          <w:i/>
          <w:color w:val="000000"/>
          <w:sz w:val="22"/>
        </w:rPr>
      </w:pPr>
      <w:r>
        <w:rPr>
          <w:rFonts w:ascii="Arial" w:hAnsi="Arial"/>
          <w:b w:val="false"/>
          <w:i/>
          <w:color w:val="000000"/>
          <w:sz w:val="22"/>
        </w:rPr>
        <w:t>Amounts referencing Q3 2022 and trailing twelve-month periods (excluding revenue) are as restated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b w:val="false"/>
          <w:color w:val="000000"/>
          <w:sz w:val="22"/>
        </w:rPr>
        <w:t>was $65.3 million, an increase of 14% from $57.4 million in Q3 2022.</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Net loss </w:t>
      </w:r>
      <w:r>
        <w:rPr>
          <w:rFonts w:ascii="Arial" w:hAnsi="Arial"/>
          <w:b w:val="false"/>
          <w:color w:val="000000"/>
          <w:sz w:val="22"/>
        </w:rPr>
        <w:t>was ($248.7) million, or 381% of revenue, compared to ($6.9) million, or 12% of revenue in Q3 2022.</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b w:val="false"/>
          <w:color w:val="000000"/>
          <w:sz w:val="22"/>
        </w:rPr>
        <w:t>was $14.6 million, compared to $8.8 million in Q3 2022.</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b w:val="false"/>
          <w:color w:val="000000"/>
          <w:sz w:val="22"/>
        </w:rPr>
        <w:t>was $21.7 million, or 33% of revenue, compared to $16.4 million, or 29% of revenue in Q3 2022.</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b w:val="false"/>
          <w:color w:val="000000"/>
          <w:sz w:val="22"/>
        </w:rPr>
        <w:t>was $9.5 million in the quarter or 15% of revenue. For the trailing twelve-month period, cash flow from operations was $32.3 million, or 13% of revenue.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b w:val="false"/>
          <w:color w:val="000000"/>
          <w:sz w:val="22"/>
        </w:rPr>
        <w:t>was $17.7 million in the quarter, or 27% of revenue. For the trailing twelve-month period, unlevered free cash flow was $54.1 million, or 22% of revenue.</w:t>
      </w:r>
    </w:p>
    <w:p>
      <w:pPr>
        <w:pStyle w:val="TextBody"/>
        <w:bidi w:val="0"/>
        <w:jc w:val="left"/>
        <w:rPr/>
      </w:pPr>
      <w:r>
        <w:rPr/>
        <w:t> </w:t>
      </w:r>
    </w:p>
    <w:p>
      <w:pPr>
        <w:pStyle w:val="TextBody"/>
        <w:bidi w:val="0"/>
        <w:jc w:val="left"/>
        <w:rPr>
          <w:color w:val="000000"/>
        </w:rPr>
      </w:pPr>
      <w:r>
        <w:rPr>
          <w:color w:val="000000"/>
        </w:rPr>
        <w:t>“</w:t>
      </w:r>
      <w:r>
        <w:rPr>
          <w:rFonts w:ascii="Arial" w:hAnsi="Arial"/>
          <w:b w:val="false"/>
          <w:color w:val="000000"/>
          <w:sz w:val="22"/>
        </w:rPr>
        <w:t>Revenue and adjusted EBITDA for the quarter were both above the high-end of our guidance ranges for the quarter,” said Robert Musslewhite, CEO of Definitive Healthcare. “We were pleased with our increased adjusted EBITDA profitability in the quarter. We have been focused on becoming more efficient across all parts of the organization and it is nice to see that work yielding some measurable results. As we continue to pursue the large and growing healthcare commercial intelligence market, we’ll continue to take a balanced approach between growth and profitability and invest in strategic areas that should lay the foundation for faster growth when market conditions improve.”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Recent Business and Operating Highlights:</w:t>
      </w:r>
    </w:p>
    <w:p>
      <w:pPr>
        <w:pStyle w:val="TextBody"/>
        <w:bidi w:val="0"/>
        <w:spacing w:before="120" w:after="283"/>
        <w:jc w:val="both"/>
        <w:rPr>
          <w:rFonts w:ascii="Arial" w:hAnsi="Arial"/>
          <w:b/>
          <w:color w:val="000000"/>
          <w:sz w:val="22"/>
        </w:rPr>
      </w:pPr>
      <w:r>
        <w:rPr>
          <w:rFonts w:ascii="Arial" w:hAnsi="Arial"/>
          <w:b/>
          <w:color w:val="000000"/>
          <w:sz w:val="22"/>
        </w:rPr>
        <w:t>Customer Wins</w:t>
      </w:r>
    </w:p>
    <w:p>
      <w:pPr>
        <w:pStyle w:val="TextBody"/>
        <w:bidi w:val="0"/>
        <w:jc w:val="left"/>
        <w:rPr>
          <w:rFonts w:ascii="Arial" w:hAnsi="Arial"/>
          <w:b w:val="false"/>
          <w:color w:val="000000"/>
          <w:sz w:val="22"/>
        </w:rPr>
      </w:pPr>
      <w:r>
        <w:rPr>
          <w:rFonts w:ascii="Arial" w:hAnsi="Arial"/>
          <w:b w:val="false"/>
          <w:color w:val="000000"/>
          <w:sz w:val="22"/>
        </w:rPr>
        <w:t>In the third quarter, Definitive Healthcare grew its enterprise client base by 10% year-over-year, ending the quarter with 555 enterprise customers, defined as those customers with more than one hundred thousand dollars in annual recurring revenue. Significant customer wins included:</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b w:val="false"/>
          <w:color w:val="000000"/>
          <w:sz w:val="22"/>
        </w:rPr>
      </w:pPr>
      <w:r>
        <w:rPr>
          <w:rFonts w:ascii="Arial" w:hAnsi="Arial"/>
          <w:b w:val="false"/>
          <w:color w:val="000000"/>
          <w:sz w:val="22"/>
        </w:rPr>
        <w:t>A win-back at a leading diagnostic genomics vendor offering a full spectrum of clinically relevant genetic testing. This customer ended its prior Definitive Healthcare contract in December 2022, and then reached out in the second quarter of 2023, ultimately signing a multi-year enterprise agreement in August for access to both the Atlas Reference and Affiliation Dataset and the Atlas All-Payors Claims Dataset. This customer plans to integrate Definitive Healthcare data into its CRM system to improve targeted marketing outreach to clinicians.</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b w:val="false"/>
          <w:color w:val="000000"/>
          <w:sz w:val="22"/>
        </w:rPr>
      </w:pPr>
      <w:r>
        <w:rPr>
          <w:rFonts w:ascii="Arial" w:hAnsi="Arial"/>
          <w:b w:val="false"/>
          <w:color w:val="000000"/>
          <w:sz w:val="22"/>
        </w:rPr>
        <w:t>A patient engagement vendor purchased access to the updated Atlas Technology Install Dataset. Within hours of receiving access to the Dataset, the client ran a report to identify 225 new targets that had its top competitor’s software installed, along with the contact information of the purchasing decision-maker.</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b w:val="false"/>
          <w:color w:val="000000"/>
          <w:sz w:val="22"/>
        </w:rPr>
      </w:pPr>
      <w:r>
        <w:rPr>
          <w:rFonts w:ascii="Arial" w:hAnsi="Arial"/>
          <w:b w:val="false"/>
          <w:color w:val="000000"/>
          <w:sz w:val="22"/>
        </w:rPr>
        <w:t>A large academic medical center in California expanded its contract with Populi, which Definitive Healthcare acquired in July 2023. This customer was using Populi’s network intelligence and market intelligence products, and added population intelligence and campaign activation services. With this expanded product suite, the customer will be able to hyper-segment and target consumers based off clinical propensities and a wealth of other behavioral, demographic, and social determinants of health elements. The customer plans to run omnichannel digital marketing campaigns to recruit more patients in a highly competitive urban market.</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b w:val="false"/>
          <w:color w:val="000000"/>
          <w:sz w:val="22"/>
        </w:rPr>
      </w:pPr>
      <w:r>
        <w:rPr>
          <w:rFonts w:ascii="Arial" w:hAnsi="Arial"/>
          <w:b w:val="false"/>
          <w:color w:val="000000"/>
          <w:sz w:val="22"/>
        </w:rPr>
        <w:t>A commercial-stage biopharmaceutical company focused on transformative medicines purchased a subscription to the Passport Analytics Suite. This firm plans to submit its New Drug Application to the US FDA before the end of 2023, with regulatory filings in additional markets to follow in 2024. This company will use the Passport Planning and Performance modules to assist in the implementation of an evidence plan and to assess the current standard of care, diagnostic path, health economics, treatment path, and outcomes for patients with amyloid cardiomyopathy.</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b w:val="false"/>
          <w:color w:val="000000"/>
          <w:sz w:val="22"/>
        </w:rPr>
      </w:pPr>
      <w:r>
        <w:rPr>
          <w:rFonts w:ascii="Arial" w:hAnsi="Arial"/>
          <w:b w:val="false"/>
          <w:color w:val="000000"/>
          <w:sz w:val="22"/>
        </w:rPr>
        <w:t>The American division of the world’s largest dairy and cheese manufacturer purchased access to the Atlas Reference and Affiliation Dataset to help it expand its presence in both hospitals and long-term care facilities. This customer wants to target Group Purchasing Organizations for integrated delivery networks and plans to use the Atlas Dataset to understand the networks and relationships between different facilities. It plans to integrate Definitive Healthcare’s proprietary data into their Salesforce.com instance to better identify strategic accounts, develop customized pricing proposals, and reach out to the right individuals with purchasing authority for food services.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Arial" w:hAnsi="Arial"/>
          <w:b/>
          <w:color w:val="000000"/>
          <w:sz w:val="22"/>
        </w:rPr>
        <w:t>Innovation</w:t>
      </w:r>
      <w:r>
        <w:rPr>
          <w:rFonts w:ascii="Times New Roman" w:hAnsi="Times New Roman"/>
          <w:color w:val="000000"/>
          <w:sz w:val="20"/>
        </w:rPr>
        <w:t xml:space="preserve"> </w:t>
      </w:r>
    </w:p>
    <w:p>
      <w:pPr>
        <w:pStyle w:val="TextBody"/>
        <w:bidi w:val="0"/>
        <w:spacing w:before="120" w:after="283"/>
        <w:jc w:val="left"/>
        <w:rPr>
          <w:rFonts w:ascii="Arial" w:hAnsi="Arial"/>
          <w:b w:val="false"/>
          <w:color w:val="000000"/>
          <w:sz w:val="22"/>
        </w:rPr>
      </w:pPr>
      <w:r>
        <w:rPr>
          <w:rFonts w:ascii="Arial" w:hAnsi="Arial"/>
          <w:b w:val="false"/>
          <w:color w:val="000000"/>
          <w:sz w:val="22"/>
        </w:rPr>
        <w:t>As previously announced, earlier this year, an independent third-party research firm ranked Definitive Healthcare as #1 for each of the top 10 uses cases for healthcare reference and affiliation data among diversified customers. The company continues to invest to maintain this leadership position and has made a number of enhancements to the Atlas Dataset this year, including:</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b w:val="false"/>
          <w:color w:val="000000"/>
          <w:sz w:val="22"/>
        </w:rPr>
      </w:pPr>
      <w:r>
        <w:rPr>
          <w:rFonts w:ascii="Arial" w:hAnsi="Arial"/>
          <w:b w:val="false"/>
          <w:color w:val="000000"/>
          <w:sz w:val="22"/>
        </w:rPr>
        <w:t>21% increase in the number of healthcare professionals in our database</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b w:val="false"/>
          <w:color w:val="000000"/>
          <w:sz w:val="22"/>
        </w:rPr>
      </w:pPr>
      <w:r>
        <w:rPr>
          <w:rFonts w:ascii="Arial" w:hAnsi="Arial"/>
          <w:b w:val="false"/>
          <w:color w:val="000000"/>
          <w:sz w:val="22"/>
        </w:rPr>
        <w:t>43% increase in the number of practice locations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b w:val="false"/>
          <w:color w:val="000000"/>
          <w:sz w:val="22"/>
        </w:rPr>
      </w:pPr>
      <w:r>
        <w:rPr>
          <w:rFonts w:ascii="Arial" w:hAnsi="Arial"/>
          <w:b w:val="false"/>
          <w:color w:val="000000"/>
          <w:sz w:val="22"/>
        </w:rPr>
        <w:t>120% increase in the number of pharmacy claims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b w:val="false"/>
          <w:color w:val="000000"/>
          <w:sz w:val="22"/>
        </w:rPr>
      </w:pPr>
      <w:r>
        <w:rPr>
          <w:rFonts w:ascii="Arial" w:hAnsi="Arial"/>
          <w:b w:val="false"/>
          <w:color w:val="000000"/>
          <w:sz w:val="22"/>
        </w:rPr>
        <w:t>21% increase in the number of pharmacy patients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b w:val="false"/>
          <w:color w:val="000000"/>
          <w:sz w:val="22"/>
        </w:rPr>
      </w:pPr>
      <w:r>
        <w:rPr>
          <w:rFonts w:ascii="Arial" w:hAnsi="Arial"/>
          <w:b w:val="false"/>
          <w:color w:val="000000"/>
          <w:sz w:val="22"/>
        </w:rPr>
        <w:t>More than 3.5 billion new commercial claims</w:t>
      </w:r>
    </w:p>
    <w:p>
      <w:pPr>
        <w:pStyle w:val="TextBody"/>
        <w:bidi w:val="0"/>
        <w:jc w:val="both"/>
        <w:rPr>
          <w:rFonts w:ascii="Arial" w:hAnsi="Arial"/>
          <w:b w:val="false"/>
          <w:color w:val="000000"/>
          <w:sz w:val="22"/>
        </w:rPr>
      </w:pPr>
      <w:r>
        <w:rPr>
          <w:rFonts w:ascii="Arial" w:hAnsi="Arial"/>
          <w:b w:val="false"/>
          <w:color w:val="000000"/>
          <w:sz w:val="22"/>
        </w:rPr>
        <w:t>The company also launched a new Atlas Behavioral Health Dataset that leverages AI and advanced data science to provide customers with a comprehensive view of behavioral healthcare care settings across the provider landscape. Customers can leverage the Atlas Behavioral Health Dataset to better identify, segment, and research the unique facilities and treatment locations that are part of a patient’s behavioral care journey.</w:t>
      </w:r>
    </w:p>
    <w:p>
      <w:pPr>
        <w:pStyle w:val="TextBody"/>
        <w:bidi w:val="0"/>
        <w:jc w:val="both"/>
        <w:rPr/>
      </w:pPr>
      <w:r>
        <w:rPr/>
        <w:t> </w:t>
      </w:r>
    </w:p>
    <w:p>
      <w:pPr>
        <w:pStyle w:val="TextBody"/>
        <w:bidi w:val="0"/>
        <w:jc w:val="both"/>
        <w:rPr>
          <w:rFonts w:ascii="Arial" w:hAnsi="Arial"/>
          <w:b w:val="false"/>
          <w:color w:val="000000"/>
          <w:sz w:val="22"/>
        </w:rPr>
      </w:pPr>
      <w:r>
        <w:rPr>
          <w:rFonts w:ascii="Arial" w:hAnsi="Arial"/>
          <w:b w:val="false"/>
          <w:color w:val="000000"/>
          <w:sz w:val="22"/>
        </w:rPr>
        <w:t>In August 2023, the company also made significant improvements to the Atlas Technology Install Dataset. Definitive Healthcare updated data on more than 1.5 million technology installations for hospitals, health systems, ambulatory surgery centers, and physician groups, by collecting data from multiple new sources and applying its proprietary cleansing and linking algorithms to generate new intelligence. Clients can benefit from accurate intelligence on hospital, physician, and ambulatory surgery center usage of technology across 15 primary categories such as clinical systems, electronic health records, health information management, human resources, and more.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Business Outlook</w:t>
      </w:r>
    </w:p>
    <w:p>
      <w:pPr>
        <w:pStyle w:val="TextBody"/>
        <w:bidi w:val="0"/>
        <w:spacing w:before="120" w:after="283"/>
        <w:jc w:val="both"/>
        <w:rPr>
          <w:rFonts w:ascii="Arial" w:hAnsi="Arial"/>
          <w:b w:val="false"/>
          <w:color w:val="000000"/>
          <w:sz w:val="22"/>
        </w:rPr>
      </w:pPr>
      <w:r>
        <w:rPr>
          <w:rFonts w:ascii="Arial" w:hAnsi="Arial"/>
          <w:b w:val="false"/>
          <w:color w:val="000000"/>
          <w:sz w:val="22"/>
        </w:rPr>
        <w:t>Based on information as of November 2, 2023, the Company is issuing the following financial guidance. This guidance includes the dilutive effect of the acquisition of Populi and assumes no change in external conditions.</w:t>
      </w:r>
    </w:p>
    <w:p>
      <w:pPr>
        <w:pStyle w:val="TextBody"/>
        <w:bidi w:val="0"/>
        <w:spacing w:before="120" w:after="283"/>
        <w:jc w:val="both"/>
        <w:rPr>
          <w:rFonts w:ascii="Arial" w:hAnsi="Arial"/>
          <w:b/>
          <w:color w:val="000000"/>
          <w:sz w:val="22"/>
        </w:rPr>
      </w:pPr>
      <w:r>
        <w:rPr>
          <w:rFonts w:ascii="Arial" w:hAnsi="Arial"/>
          <w:b/>
          <w:color w:val="000000"/>
          <w:sz w:val="22"/>
        </w:rPr>
        <w:t>Fourth Quarter 2023:</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Revenue</w:t>
      </w:r>
      <w:r>
        <w:rPr>
          <w:color w:val="000000"/>
        </w:rPr>
        <w:t xml:space="preserve"> </w:t>
      </w:r>
      <w:r>
        <w:rPr>
          <w:rFonts w:ascii="Arial" w:hAnsi="Arial"/>
          <w:b w:val="false"/>
          <w:color w:val="000000"/>
          <w:sz w:val="22"/>
        </w:rPr>
        <w:t xml:space="preserve">is expected to be in the range of $65.5 – $66.5 million, an 8-10% increase year over year.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Adjusted Operating Income</w:t>
      </w:r>
      <w:r>
        <w:rPr>
          <w:color w:val="000000"/>
        </w:rPr>
        <w:t xml:space="preserve"> </w:t>
      </w:r>
      <w:r>
        <w:rPr>
          <w:rFonts w:ascii="Arial" w:hAnsi="Arial"/>
          <w:b w:val="false"/>
          <w:color w:val="000000"/>
          <w:sz w:val="22"/>
        </w:rPr>
        <w:t xml:space="preserve">is expected to be in the range of $17.5 – $18.5 million.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Adjusted EBITDA</w:t>
      </w:r>
      <w:r>
        <w:rPr>
          <w:color w:val="000000"/>
        </w:rPr>
        <w:t xml:space="preserve"> </w:t>
      </w:r>
      <w:r>
        <w:rPr>
          <w:rFonts w:ascii="Arial" w:hAnsi="Arial"/>
          <w:b w:val="false"/>
          <w:color w:val="000000"/>
          <w:sz w:val="22"/>
        </w:rPr>
        <w:t xml:space="preserve">is expected to be in the range of $19 – $20 million.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2"/>
        </w:rPr>
        <w:t>Adjusted Net Income</w:t>
      </w:r>
      <w:r>
        <w:rPr>
          <w:color w:val="000000"/>
        </w:rPr>
        <w:t xml:space="preserve"> </w:t>
      </w:r>
      <w:r>
        <w:rPr>
          <w:rFonts w:ascii="Arial" w:hAnsi="Arial"/>
          <w:b w:val="false"/>
          <w:color w:val="000000"/>
          <w:sz w:val="22"/>
        </w:rPr>
        <w:t xml:space="preserve">is expected to be $11.5 – $12.5 million.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2"/>
        </w:rPr>
        <w:t xml:space="preserve">Adjusted Net Income Per Diluted Share </w:t>
      </w:r>
      <w:r>
        <w:rPr>
          <w:rFonts w:ascii="Arial" w:hAnsi="Arial"/>
          <w:b w:val="false"/>
          <w:color w:val="000000"/>
          <w:sz w:val="22"/>
        </w:rPr>
        <w:t xml:space="preserve">is expected to be $0.06 – $0.08 per share on approximately 155.6 million weighted-average shares outstanding.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Conference Call Information</w:t>
      </w:r>
    </w:p>
    <w:p>
      <w:pPr>
        <w:pStyle w:val="TextBody"/>
        <w:bidi w:val="0"/>
        <w:jc w:val="both"/>
        <w:rPr>
          <w:rFonts w:ascii="Times New Roman" w:hAnsi="Times New Roman"/>
          <w:sz w:val="20"/>
        </w:rPr>
      </w:pPr>
      <w:r>
        <w:rPr>
          <w:rFonts w:ascii="Arial" w:hAnsi="Arial"/>
          <w:b w:val="false"/>
          <w:color w:val="000000"/>
          <w:sz w:val="22"/>
        </w:rPr>
        <w:t xml:space="preserve">Definitive Healthcare will host a conference call on November 2, 2023, at 5:00 p.m. (Eastern Time) to discuss the Company's full financial results and current business outlook. Participants may access the call at 1-877-358-7298 or 1-848-488-9244. Shortly after the conclusion of the call, a replay of this conference call will be available through December 2, 2023 at 1-800-645-7964 or 1-757-849-6722. The replay passcode is 1765#. A live audio webcast of the event will be available on the Definitive Healthcare’s Investor Relations website at </w:t>
      </w:r>
      <w:r>
        <w:rPr>
          <w:rFonts w:ascii="Arial" w:hAnsi="Arial"/>
          <w:b w:val="false"/>
          <w:sz w:val="22"/>
        </w:rPr>
        <w:t>https://ir.definitivehc.com/</w:t>
      </w:r>
      <w:r>
        <w:rPr>
          <w:rFonts w:ascii="Arial" w:hAnsi="Arial"/>
          <w:b w:val="false"/>
          <w:color w:val="000000"/>
          <w:sz w:val="22"/>
        </w:rPr>
        <w:t>.</w:t>
      </w:r>
    </w:p>
    <w:p>
      <w:pPr>
        <w:pStyle w:val="TextBody"/>
        <w:bidi w:val="0"/>
        <w:spacing w:before="360" w:after="283"/>
        <w:jc w:val="left"/>
        <w:rPr>
          <w:rFonts w:ascii="Arial" w:hAnsi="Arial"/>
          <w:b/>
          <w:color w:val="000000"/>
          <w:sz w:val="22"/>
        </w:rPr>
      </w:pPr>
      <w:r>
        <w:rPr>
          <w:rFonts w:ascii="Arial" w:hAnsi="Arial"/>
          <w:b/>
          <w:color w:val="000000"/>
          <w:sz w:val="22"/>
        </w:rPr>
        <w:t>About Definitive Healthcare</w:t>
      </w:r>
    </w:p>
    <w:p>
      <w:pPr>
        <w:pStyle w:val="TextBody"/>
        <w:bidi w:val="0"/>
        <w:jc w:val="both"/>
        <w:rPr>
          <w:rFonts w:ascii="Times New Roman" w:hAnsi="Times New Roman"/>
          <w:sz w:val="20"/>
        </w:rPr>
      </w:pPr>
      <w:r>
        <w:rPr>
          <w:rFonts w:ascii="Arial" w:hAnsi="Arial"/>
          <w:b w:val="false"/>
          <w:color w:val="000000"/>
          <w:sz w:val="22"/>
        </w:rPr>
        <w:t xml:space="preserve">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w:t>
      </w:r>
      <w:r>
        <w:rPr>
          <w:rFonts w:ascii="Arial" w:hAnsi="Arial"/>
          <w:b w:val="false"/>
          <w:sz w:val="22"/>
        </w:rPr>
        <w:t>definitivehc.com</w:t>
      </w:r>
      <w:r>
        <w:rPr>
          <w:rFonts w:ascii="Arial" w:hAnsi="Arial"/>
          <w:b w:val="false"/>
          <w:color w:val="000000"/>
          <w:sz w:val="22"/>
        </w:rPr>
        <w:t>.</w:t>
      </w:r>
    </w:p>
    <w:p>
      <w:pPr>
        <w:pStyle w:val="TextBody"/>
        <w:bidi w:val="0"/>
        <w:spacing w:before="240" w:after="283"/>
        <w:jc w:val="both"/>
        <w:rPr>
          <w:rFonts w:ascii="Arial" w:hAnsi="Arial"/>
          <w:b/>
          <w:color w:val="000000"/>
          <w:sz w:val="22"/>
        </w:rPr>
      </w:pPr>
      <w:r>
        <w:rPr>
          <w:rFonts w:ascii="Arial" w:hAnsi="Arial"/>
          <w:b/>
          <w:color w:val="000000"/>
          <w:sz w:val="22"/>
        </w:rPr>
        <w:t>Forward-Looking Statements</w:t>
      </w:r>
    </w:p>
    <w:p>
      <w:pPr>
        <w:pStyle w:val="TextBody"/>
        <w:bidi w:val="0"/>
        <w:spacing w:before="120" w:after="283"/>
        <w:jc w:val="left"/>
        <w:rPr>
          <w:rFonts w:ascii="Arial" w:hAnsi="Arial"/>
          <w:b w:val="false"/>
          <w:i/>
          <w:color w:val="000000"/>
          <w:sz w:val="22"/>
        </w:rPr>
      </w:pPr>
      <w:r>
        <w:rPr>
          <w:rFonts w:ascii="Arial" w:hAnsi="Arial"/>
          <w:b w:val="false"/>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customer behavior and use of our solutions,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p>
    <w:p>
      <w:pPr>
        <w:pStyle w:val="TextBody"/>
        <w:bidi w:val="0"/>
        <w:spacing w:before="120" w:after="283"/>
        <w:jc w:val="left"/>
        <w:rPr>
          <w:rFonts w:ascii="Times New Roman" w:hAnsi="Times New Roman"/>
          <w:sz w:val="20"/>
        </w:rPr>
      </w:pPr>
      <w:r>
        <w:rPr>
          <w:rFonts w:ascii="Arial" w:hAnsi="Arial"/>
          <w:b w:val="false"/>
          <w:i/>
          <w:color w:val="000000"/>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our inability to realize expected business or financial benefits from acquisitions and the risk that our acquisitions or investments could prove difficult to integrate, disrupt our business, dilute stockholder value and adversely affect our business, financial condition and results of operations; our inability to achieve the anticipated cost savings, operating efficiencies or other benefits of our internal restructuring activities, the war between Russia and Ukraine, the evolving conflict in Israel and surrounding areas, global geopolitical tension and worsening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GAAP or non-GAAP profitability in the future compared to historical levels as we increase investments in our business; the loss of our access to our data providers; the failure to respond to advances in healthcare commercial intelligence; an inability to attract new customers and expand subscriptions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sz w:val="20"/>
        </w:rPr>
      </w:pPr>
      <w:r>
        <w:rPr>
          <w:rFonts w:ascii="Arial" w:hAnsi="Arial"/>
          <w:b w:val="false"/>
          <w:i/>
          <w:color w:val="000000"/>
          <w:sz w:val="22"/>
        </w:rPr>
        <w:t>of current customers; the risk of cyber-attacks and security vulnerabilities; litigation, investigations or other legal, governmental or regulatory actions; the possibility that our security measures are breached or unauthorized access to data is otherwise obtained; the risk that additional material weaknesses or significant deficiencies that will occur in the future; and the risks of being required to collecting sales or other related taxes for subscriptions to our platform in jurisdictions where we have not historically done so.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color w:val="000000"/>
          <w:sz w:val="20"/>
        </w:rPr>
        <w:t xml:space="preserve"> </w:t>
      </w:r>
    </w:p>
    <w:p>
      <w:pPr>
        <w:pStyle w:val="TextBody"/>
        <w:bidi w:val="0"/>
        <w:spacing w:before="120" w:after="283"/>
        <w:jc w:val="left"/>
        <w:rPr>
          <w:rFonts w:ascii="Arial" w:hAnsi="Arial"/>
          <w:b w:val="false"/>
          <w:i/>
          <w:color w:val="000000"/>
          <w:sz w:val="22"/>
        </w:rPr>
      </w:pPr>
      <w:r>
        <w:rPr>
          <w:rFonts w:ascii="Arial" w:hAnsi="Arial"/>
          <w:b w:val="false"/>
          <w:i/>
          <w:color w:val="000000"/>
          <w:sz w:val="22"/>
        </w:rPr>
        <w:t>For additional discussion of factors that could impact our operational and financial results, refer to our Quarterly Report on Form 10-Q for the three months ended September 30, 2023 that will be filed following this earnings release, as well as our Current Reports on Form 8-K and other subsequent SEC filings, which are or will be available on the Investor Relations page of our website at ir.definitivehc.com and on the SEC website at www.sec.gov.</w:t>
      </w:r>
    </w:p>
    <w:p>
      <w:pPr>
        <w:pStyle w:val="TextBody"/>
        <w:bidi w:val="0"/>
        <w:spacing w:before="120" w:after="283"/>
        <w:jc w:val="left"/>
        <w:rPr>
          <w:rFonts w:ascii="Arial" w:hAnsi="Arial"/>
          <w:b w:val="false"/>
          <w:i/>
          <w:color w:val="000000"/>
          <w:sz w:val="22"/>
        </w:rPr>
      </w:pPr>
      <w:r>
        <w:rPr>
          <w:rFonts w:ascii="Arial" w:hAnsi="Arial"/>
          <w:b w:val="false"/>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spacing w:before="360" w:after="283"/>
        <w:jc w:val="both"/>
        <w:rPr>
          <w:rFonts w:ascii="Arial" w:hAnsi="Arial"/>
          <w:b/>
          <w:color w:val="000000"/>
          <w:sz w:val="22"/>
        </w:rPr>
      </w:pPr>
      <w:r>
        <w:rPr>
          <w:rFonts w:ascii="Arial" w:hAnsi="Arial"/>
          <w:b/>
          <w:color w:val="000000"/>
          <w:sz w:val="22"/>
        </w:rPr>
        <w:t>Website</w:t>
      </w:r>
    </w:p>
    <w:p>
      <w:pPr>
        <w:pStyle w:val="TextBody"/>
        <w:bidi w:val="0"/>
        <w:jc w:val="both"/>
        <w:rPr>
          <w:rFonts w:ascii="Times New Roman" w:hAnsi="Times New Roman"/>
          <w:sz w:val="20"/>
        </w:rPr>
      </w:pPr>
      <w:r>
        <w:rPr>
          <w:rFonts w:ascii="Arial" w:hAnsi="Arial"/>
          <w:b w:val="false"/>
          <w:color w:val="000000"/>
          <w:sz w:val="22"/>
        </w:rPr>
        <w:t xml:space="preserve">Definitive Healthcare intends to use its website as a distribution channel of material company information. Financial and other important information regarding the Company is routinely posted on and accessible through the Company’s website at </w:t>
      </w:r>
      <w:r>
        <w:rPr>
          <w:rFonts w:ascii="Arial" w:hAnsi="Arial"/>
          <w:b w:val="false"/>
          <w:sz w:val="22"/>
        </w:rPr>
        <w:t>https://www.definitivehc.com/</w:t>
      </w:r>
      <w:r>
        <w:rPr>
          <w:rFonts w:ascii="Arial" w:hAnsi="Arial"/>
          <w:b w:val="false"/>
          <w:color w:val="000000"/>
          <w:sz w:val="22"/>
        </w:rPr>
        <w:t xml:space="preserve">. Accordingly, you should monitor the investor relations portion of our website at </w:t>
      </w:r>
      <w:r>
        <w:rPr>
          <w:rFonts w:ascii="Arial" w:hAnsi="Arial"/>
          <w:b w:val="false"/>
          <w:sz w:val="22"/>
        </w:rPr>
        <w:t>https://ir.definitivehc.com/</w:t>
      </w:r>
      <w:r>
        <w:rPr>
          <w:rFonts w:ascii="Times New Roman" w:hAnsi="Times New Roman"/>
          <w:color w:val="000000"/>
          <w:sz w:val="20"/>
        </w:rPr>
        <w:t xml:space="preserve"> </w:t>
      </w:r>
      <w:r>
        <w:rPr>
          <w:rFonts w:ascii="Arial" w:hAnsi="Arial"/>
          <w:b w:val="false"/>
          <w:color w:val="000000"/>
          <w:sz w:val="22"/>
        </w:rPr>
        <w:t xml:space="preserve">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w:t>
      </w:r>
      <w:r>
        <w:rPr>
          <w:rFonts w:ascii="Arial" w:hAnsi="Arial"/>
          <w:b w:val="false"/>
          <w:sz w:val="22"/>
        </w:rPr>
        <w:t>https://ir.definitivehc.com/</w:t>
      </w:r>
      <w:r>
        <w:rPr>
          <w:rFonts w:ascii="Arial" w:hAnsi="Arial"/>
          <w:b w:val="false"/>
          <w:color w:val="000000"/>
          <w:sz w:val="22"/>
        </w:rPr>
        <w:t>.</w:t>
      </w:r>
    </w:p>
    <w:p>
      <w:pPr>
        <w:pStyle w:val="TextBody"/>
        <w:bidi w:val="0"/>
        <w:spacing w:before="360" w:after="283"/>
        <w:jc w:val="both"/>
        <w:rPr>
          <w:rFonts w:ascii="Times New Roman" w:hAnsi="Times New Roman"/>
          <w:sz w:val="20"/>
        </w:rPr>
      </w:pPr>
      <w:r>
        <w:rPr>
          <w:rFonts w:ascii="Arial" w:hAnsi="Arial"/>
          <w:b/>
          <w:color w:val="000000"/>
          <w:sz w:val="22"/>
        </w:rPr>
        <w:t>Non-GAAP Financial Measures</w:t>
      </w:r>
      <w:r>
        <w:rPr>
          <w:rFonts w:ascii="Times New Roman" w:hAnsi="Times New Roman"/>
          <w:color w:val="000000"/>
          <w:sz w:val="20"/>
        </w:rPr>
        <w:t xml:space="preserve"> </w:t>
      </w:r>
    </w:p>
    <w:p>
      <w:pPr>
        <w:pStyle w:val="TextBody"/>
        <w:bidi w:val="0"/>
        <w:spacing w:before="120" w:after="283"/>
        <w:jc w:val="left"/>
        <w:rPr>
          <w:rFonts w:ascii="Arial" w:hAnsi="Arial"/>
          <w:b w:val="false"/>
          <w:i/>
          <w:color w:val="000000"/>
          <w:sz w:val="22"/>
        </w:rPr>
      </w:pPr>
      <w:r>
        <w:rPr>
          <w:rFonts w:ascii="Arial" w:hAnsi="Arial"/>
          <w:b w:val="false"/>
          <w:i/>
          <w:color w:val="000000"/>
          <w:sz w:val="22"/>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at the end of this press release.</w:t>
      </w:r>
    </w:p>
    <w:p>
      <w:pPr>
        <w:pStyle w:val="TextBody"/>
        <w:bidi w:val="0"/>
        <w:spacing w:before="120" w:after="283"/>
        <w:jc w:val="left"/>
        <w:rPr>
          <w:rFonts w:ascii="Times New Roman" w:hAnsi="Times New Roman"/>
          <w:sz w:val="20"/>
        </w:rPr>
      </w:pPr>
      <w:r>
        <w:rPr>
          <w:rFonts w:ascii="Arial" w:hAnsi="Arial"/>
          <w:b w:val="false"/>
          <w:i/>
          <w:color w:val="000000"/>
          <w:sz w:val="22"/>
        </w:rPr>
        <w:t>We refer to Unlevered Free Cash Flow, Adjusted EBITDA, Adjusted EBITDA Margin, Adjusted Gross Profit, Adjusted Gross Margin, Adjusted Operating Income, and Adjusted Net Income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gross margin, or any other measure derived in accordance with GAAP.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i/>
          <w:color w:val="000000"/>
          <w:sz w:val="22"/>
        </w:rPr>
        <w:t>We define Unlevered Free Cash Flow as net cash provided from operating activities less purchases of property, equipment and other assets, plus cash interest expense, and cash payments related to transaction, integration, and restructuring related expenses, earnouts, and other non-recurring items. Unlevered Free Cash Flow does not represent residual cash flow available for discretionary expenditures since, among other things, we have mandatory debt service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i/>
          <w:color w:val="000000"/>
          <w:sz w:val="22"/>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sz w:val="20"/>
        </w:rPr>
      </w:pPr>
      <w:r>
        <w:rPr>
          <w:rFonts w:ascii="Arial" w:hAnsi="Arial"/>
          <w:b w:val="false"/>
          <w:i/>
          <w:color w:val="000000"/>
          <w:sz w:val="22"/>
        </w:rPr>
        <w:t>expense, equity-based compensation, goodwill impairments, transaction, integration, and restructuring expenses and other non-recurring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i/>
          <w:color w:val="000000"/>
          <w:sz w:val="22"/>
        </w:rPr>
        <w:t>We define Adjusted Gross Profit as Gross Profit excluding acquisition-related depreciation and amortization and equity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i/>
          <w:color w:val="000000"/>
          <w:sz w:val="22"/>
        </w:rPr>
        <w:t>We define Adjusted Operating Income as income (loss) from operations plus acquisition related amortization, equity-based compensation, goodwill impairments, transaction, integration, and restructuring expenses and other non-recurring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i/>
          <w:color w:val="000000"/>
          <w:sz w:val="22"/>
        </w:rPr>
        <w:t>We define Adjusted Net Income as Adjusted Operating Income less interest expense, net, recurring income tax benefit, foreign currency (loss) gain, and tax effects of adjustments to arrive at Adjusted Operating Income. We define Adjusted Net Income Per Diluted Share as Adjusted Net Income divided by diluted outstanding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i/>
          <w:color w:val="000000"/>
          <w:sz w:val="22"/>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income from operations, net (loss) income, gross profit, gross margin, earnings per share or any other performance measures derived in accordance with GAAP, or as measures of operating cash flows or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i/>
          <w:color w:val="000000"/>
          <w:sz w:val="22"/>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r>
        <w:rPr>
          <w:rFonts w:ascii="Times New Roman" w:hAnsi="Times New Roman"/>
          <w:color w:val="000000"/>
          <w:sz w:val="20"/>
        </w:rPr>
        <w:t xml:space="preserve"> </w:t>
      </w:r>
    </w:p>
    <w:p>
      <w:pPr>
        <w:pStyle w:val="TextBody"/>
        <w:bidi w:val="0"/>
        <w:spacing w:before="120" w:after="283"/>
        <w:jc w:val="left"/>
        <w:rPr>
          <w:rFonts w:ascii="Arial" w:hAnsi="Arial"/>
          <w:b w:val="false"/>
          <w:i/>
          <w:color w:val="000000"/>
          <w:sz w:val="22"/>
        </w:rPr>
      </w:pPr>
      <w:r>
        <w:rPr>
          <w:rFonts w:ascii="Arial" w:hAnsi="Arial"/>
          <w:b w:val="false"/>
          <w:i/>
          <w:color w:val="000000"/>
          <w:sz w:val="22"/>
        </w:rPr>
        <w:t>In evaluating our non-GAAP financial measures, you should be aware that in the future we may incur expenses similar to those eliminated in these presentations.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p>
    <w:p>
      <w:pPr>
        <w:pStyle w:val="TextBody"/>
        <w:bidi w:val="0"/>
        <w:jc w:val="left"/>
        <w:rPr>
          <w:rFonts w:ascii="Arial" w:hAnsi="Arial"/>
          <w:b w:val="false"/>
          <w:color w:val="000000"/>
          <w:sz w:val="22"/>
        </w:rPr>
      </w:pPr>
      <w:r>
        <w:rPr>
          <w:rFonts w:ascii="Arial" w:hAnsi="Arial"/>
          <w:b w:val="false"/>
          <w:color w:val="000000"/>
          <w:sz w:val="22"/>
        </w:rPr>
        <w:t>Brian Denyeau</w:t>
      </w:r>
    </w:p>
    <w:p>
      <w:pPr>
        <w:pStyle w:val="TextBody"/>
        <w:bidi w:val="0"/>
        <w:jc w:val="left"/>
        <w:rPr>
          <w:rFonts w:ascii="Times New Roman" w:hAnsi="Times New Roman"/>
          <w:sz w:val="20"/>
        </w:rPr>
      </w:pPr>
      <w:r>
        <w:rPr>
          <w:rFonts w:ascii="Arial" w:hAnsi="Arial"/>
          <w:b w:val="false"/>
          <w:color w:val="000000"/>
          <w:sz w:val="22"/>
        </w:rPr>
        <w:t>ICR for Definitive Healthcare</w:t>
      </w:r>
      <w:r>
        <w:rPr>
          <w:rFonts w:ascii="Times New Roman" w:hAnsi="Times New Roman"/>
          <w:color w:val="000000"/>
          <w:sz w:val="20"/>
        </w:rPr>
        <w:t xml:space="preserve"> </w:t>
      </w:r>
    </w:p>
    <w:p>
      <w:pPr>
        <w:pStyle w:val="TextBody"/>
        <w:bidi w:val="0"/>
        <w:jc w:val="left"/>
        <w:rPr>
          <w:rFonts w:ascii="Arial" w:hAnsi="Arial"/>
          <w:b w:val="false"/>
          <w:color w:val="0000FF"/>
          <w:sz w:val="22"/>
          <w:u w:val="single"/>
        </w:rPr>
      </w:pPr>
      <w:r>
        <w:rPr>
          <w:rFonts w:ascii="Arial" w:hAnsi="Arial"/>
          <w:b w:val="false"/>
          <w:color w:val="0000FF"/>
          <w:sz w:val="22"/>
          <w:u w:val="single"/>
        </w:rPr>
        <w:t>brian.denyeau@icrinc.com</w:t>
      </w:r>
    </w:p>
    <w:p>
      <w:pPr>
        <w:pStyle w:val="TextBody"/>
        <w:bidi w:val="0"/>
        <w:jc w:val="left"/>
        <w:rPr>
          <w:rFonts w:ascii="Arial" w:hAnsi="Arial"/>
          <w:b w:val="false"/>
          <w:color w:val="000000"/>
          <w:sz w:val="22"/>
        </w:rPr>
      </w:pPr>
      <w:r>
        <w:rPr>
          <w:rFonts w:ascii="Arial" w:hAnsi="Arial"/>
          <w:b w:val="false"/>
          <w:color w:val="000000"/>
          <w:sz w:val="22"/>
        </w:rPr>
        <w:t>646-277-1251</w:t>
      </w:r>
    </w:p>
    <w:p>
      <w:pPr>
        <w:pStyle w:val="TextBody"/>
        <w:bidi w:val="0"/>
        <w:spacing w:before="240" w:after="283"/>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2"/>
        </w:rPr>
        <w:t xml:space="preserve">Danielle Johns </w:t>
        <w:br/>
      </w:r>
      <w:r>
        <w:rPr>
          <w:rFonts w:ascii="Arial" w:hAnsi="Arial"/>
          <w:b w:val="false"/>
          <w:color w:val="0000FF"/>
          <w:sz w:val="22"/>
          <w:u w:val="single"/>
        </w:rPr>
        <w:t>djohns@definitivehc.com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490"/>
        <w:gridCol w:w="246"/>
        <w:gridCol w:w="228"/>
        <w:gridCol w:w="1009"/>
        <w:gridCol w:w="166"/>
        <w:gridCol w:w="246"/>
        <w:gridCol w:w="226"/>
        <w:gridCol w:w="1000"/>
        <w:gridCol w:w="594"/>
      </w:tblGrid>
      <w:tr>
        <w:trPr/>
        <w:tc>
          <w:tcPr>
            <w:tcW w:w="64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9611" w:type="dxa"/>
            <w:gridSpan w:val="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594" w:type="dxa"/>
            <w:tcBorders/>
            <w:shd w:fill="FFFFFF" w:val="clear"/>
            <w:vAlign w:val="center"/>
          </w:tcPr>
          <w:p>
            <w:pPr>
              <w:pStyle w:val="TableContents"/>
              <w:bidi w:val="0"/>
              <w:spacing w:before="0" w:after="283"/>
              <w:jc w:val="center"/>
              <w:rPr/>
            </w:pPr>
            <w:r>
              <w:rPr/>
              <w:t> </w:t>
            </w:r>
          </w:p>
        </w:tc>
      </w:tr>
      <w:tr>
        <w:trPr/>
        <w:tc>
          <w:tcPr>
            <w:tcW w:w="9611" w:type="dxa"/>
            <w:gridSpan w:val="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4" w:type="dxa"/>
            <w:tcBorders/>
            <w:shd w:fill="FFFFFF" w:val="clear"/>
            <w:vAlign w:val="center"/>
          </w:tcPr>
          <w:p>
            <w:pPr>
              <w:pStyle w:val="TableContents"/>
              <w:bidi w:val="0"/>
              <w:spacing w:before="0" w:after="283"/>
              <w:jc w:val="center"/>
              <w:rPr/>
            </w:pPr>
            <w:r>
              <w:rPr/>
              <w:t> </w:t>
            </w:r>
          </w:p>
        </w:tc>
      </w:tr>
      <w:tr>
        <w:trPr/>
        <w:tc>
          <w:tcPr>
            <w:tcW w:w="9611" w:type="dxa"/>
            <w:gridSpan w:val="8"/>
            <w:tcBorders/>
            <w:shd w:fill="FFFFFF" w:val="cle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(amounts in thousands, except number of shares and par value; unaudited)</w:t>
            </w:r>
          </w:p>
        </w:tc>
        <w:tc>
          <w:tcPr>
            <w:tcW w:w="594" w:type="dxa"/>
            <w:tcBorders/>
            <w:shd w:fill="FFFFFF" w:val="clear"/>
            <w:vAlign w:val="center"/>
          </w:tcPr>
          <w:p>
            <w:pPr>
              <w:pStyle w:val="TableContents"/>
              <w:bidi w:val="0"/>
              <w:spacing w:before="0" w:after="283"/>
              <w:jc w:val="center"/>
              <w:rPr/>
            </w:pPr>
            <w:r>
              <w:rPr/>
              <w:t> </w:t>
            </w:r>
          </w:p>
        </w:tc>
      </w:tr>
      <w:tr>
        <w:trPr/>
        <w:tc>
          <w:tcPr>
            <w:tcW w:w="649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26" w:type="dxa"/>
            <w:gridSpan w:val="2"/>
            <w:tcBorders/>
            <w:shd w:fill="FFFFFF" w:val="clear"/>
            <w:vAlign w:val="center"/>
          </w:tcPr>
          <w:p>
            <w:pPr>
              <w:pStyle w:val="TableContents"/>
              <w:bidi w:val="0"/>
              <w:spacing w:before="0" w:after="283"/>
              <w:jc w:val="center"/>
              <w:rPr/>
            </w:pPr>
            <w:r>
              <w:rPr/>
              <w:t> </w:t>
            </w:r>
          </w:p>
        </w:tc>
        <w:tc>
          <w:tcPr>
            <w:tcW w:w="594" w:type="dxa"/>
            <w:tcBorders/>
            <w:shd w:fill="FFFFFF" w:val="clear"/>
            <w:vAlign w:val="center"/>
          </w:tcPr>
          <w:p>
            <w:pPr>
              <w:pStyle w:val="TableContents"/>
              <w:bidi w:val="0"/>
              <w:spacing w:before="0" w:after="283"/>
              <w:jc w:val="center"/>
              <w:rPr/>
            </w:pPr>
            <w:r>
              <w:rPr/>
              <w:t> </w:t>
            </w:r>
          </w:p>
        </w:tc>
      </w:tr>
      <w:tr>
        <w:trPr/>
        <w:tc>
          <w:tcPr>
            <w:tcW w:w="649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594" w:type="dxa"/>
            <w:tcBorders/>
            <w:shd w:fill="FFFFFF" w:val="clear"/>
            <w:vAlign w:val="center"/>
          </w:tcPr>
          <w:p>
            <w:pPr>
              <w:pStyle w:val="TableContents"/>
              <w:bidi w:val="0"/>
              <w:spacing w:before="0" w:after="283"/>
              <w:jc w:val="center"/>
              <w:rPr/>
            </w:pPr>
            <w:r>
              <w:rPr/>
              <w:t> </w:t>
            </w:r>
          </w:p>
        </w:tc>
      </w:tr>
      <w:tr>
        <w:trPr/>
        <w:tc>
          <w:tcPr>
            <w:tcW w:w="649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37" w:type="dxa"/>
            <w:gridSpan w:val="2"/>
            <w:tcBorders/>
            <w:shd w:fill="CFF0FC" w:val="clear"/>
            <w:vAlign w:val="center"/>
          </w:tcPr>
          <w:p>
            <w:pPr>
              <w:pStyle w:val="TableContents"/>
              <w:bidi w:val="0"/>
              <w:spacing w:before="0" w:after="283"/>
              <w:ind w:left="100" w:right="0" w:firstLine="100"/>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26" w:type="dxa"/>
            <w:gridSpan w:val="2"/>
            <w:tcBorders/>
            <w:shd w:fill="CFF0FC" w:val="clear"/>
            <w:vAlign w:val="center"/>
          </w:tcPr>
          <w:p>
            <w:pPr>
              <w:pStyle w:val="TableContents"/>
              <w:bidi w:val="0"/>
              <w:spacing w:before="0" w:after="283"/>
              <w:ind w:left="100" w:right="0" w:firstLine="100"/>
              <w:jc w:val="left"/>
              <w:rPr/>
            </w:pPr>
            <w:r>
              <w:rPr/>
              <w:t> </w:t>
            </w:r>
          </w:p>
        </w:tc>
        <w:tc>
          <w:tcPr>
            <w:tcW w:w="594" w:type="dxa"/>
            <w:tcBorders/>
            <w:shd w:fill="CFF0FC" w:val="cle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2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26" w:type="dxa"/>
            <w:gridSpan w:val="2"/>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77,460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146,934</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229,565</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184,939</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41,308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58,799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12,686</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deferred contract costs</w:t>
            </w:r>
          </w:p>
        </w:tc>
        <w:tc>
          <w:tcPr>
            <w:tcW w:w="2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10,387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375,396</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413,745</w:t>
            </w:r>
          </w:p>
        </w:tc>
        <w:tc>
          <w:tcPr>
            <w:tcW w:w="594" w:type="dxa"/>
            <w:tcBorders/>
            <w:shd w:fill="FFFFFF" w:val="clear"/>
            <w:vAlign w:val="center"/>
          </w:tcPr>
          <w:p>
            <w:pPr>
              <w:pStyle w:val="TableContents"/>
              <w:bidi w:val="0"/>
              <w:spacing w:before="0" w:after="283"/>
              <w:jc w:val="left"/>
              <w:rPr/>
            </w:pPr>
            <w:r>
              <w:rPr/>
              <w:t> </w:t>
            </w:r>
          </w:p>
        </w:tc>
      </w:tr>
      <w:tr>
        <w:trPr/>
        <w:tc>
          <w:tcPr>
            <w:tcW w:w="64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4,464</w:t>
            </w:r>
          </w:p>
        </w:tc>
        <w:tc>
          <w:tcPr>
            <w:tcW w:w="594" w:type="dxa"/>
            <w:tcBorders/>
            <w:shd w:fill="CFF0FC" w:val="cle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 net</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9,951</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9,681</w:t>
            </w:r>
          </w:p>
        </w:tc>
        <w:tc>
          <w:tcPr>
            <w:tcW w:w="594" w:type="dxa"/>
            <w:tcBorders/>
            <w:shd w:fill="FFFFFF" w:val="clear"/>
            <w:vAlign w:val="center"/>
          </w:tcPr>
          <w:p>
            <w:pPr>
              <w:pStyle w:val="TableContents"/>
              <w:bidi w:val="0"/>
              <w:spacing w:before="0" w:after="283"/>
              <w:jc w:val="left"/>
              <w:rPr/>
            </w:pPr>
            <w:r>
              <w:rPr/>
              <w:t> </w:t>
            </w:r>
          </w:p>
        </w:tc>
      </w:tr>
      <w:tr>
        <w:trPr/>
        <w:tc>
          <w:tcPr>
            <w:tcW w:w="64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3,414</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4,683</w:t>
            </w:r>
          </w:p>
        </w:tc>
        <w:tc>
          <w:tcPr>
            <w:tcW w:w="594" w:type="dxa"/>
            <w:tcBorders/>
            <w:shd w:fill="CFF0FC" w:val="cle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contract costs, net of current portion</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16,132</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14,596</w:t>
            </w:r>
          </w:p>
        </w:tc>
        <w:tc>
          <w:tcPr>
            <w:tcW w:w="594" w:type="dxa"/>
            <w:tcBorders/>
            <w:shd w:fill="FFFFFF" w:val="clear"/>
            <w:vAlign w:val="center"/>
          </w:tcPr>
          <w:p>
            <w:pPr>
              <w:pStyle w:val="TableContents"/>
              <w:bidi w:val="0"/>
              <w:spacing w:before="0" w:after="283"/>
              <w:jc w:val="left"/>
              <w:rPr/>
            </w:pPr>
            <w:r>
              <w:rPr/>
              <w:t> </w:t>
            </w:r>
          </w:p>
        </w:tc>
      </w:tr>
      <w:tr>
        <w:trPr/>
        <w:tc>
          <w:tcPr>
            <w:tcW w:w="64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336,027</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350,722</w:t>
            </w:r>
          </w:p>
        </w:tc>
        <w:tc>
          <w:tcPr>
            <w:tcW w:w="594" w:type="dxa"/>
            <w:tcBorders/>
            <w:shd w:fill="CFF0FC" w:val="cle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2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1,073,986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1,324,733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1,819,534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2,122,624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64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2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3,948</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35,986</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26,855</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deferred revenue</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89,713</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99,692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term loan</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13,750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8,594</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operating lease liabilities</w:t>
            </w:r>
          </w:p>
        </w:tc>
        <w:tc>
          <w:tcPr>
            <w:tcW w:w="2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147,142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140,610</w:t>
            </w:r>
          </w:p>
        </w:tc>
        <w:tc>
          <w:tcPr>
            <w:tcW w:w="594" w:type="dxa"/>
            <w:tcBorders/>
            <w:shd w:fill="CFF0FC" w:val="cle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 term liabilities:</w:t>
            </w:r>
          </w:p>
        </w:tc>
        <w:tc>
          <w:tcPr>
            <w:tcW w:w="2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 net of current portion</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net of current portion</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245,866</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255,765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net of current portion</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9,873</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9,969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Tax receivable agreements liability, net of current portion</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138,736</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155,111</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tax liabilities</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65,461</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75,737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2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640,679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0" w:type="dxa"/>
            <w:tcBorders/>
            <w:shd w:fill="FFFFFF" w:val="clear"/>
            <w:vAlign w:val="center"/>
          </w:tcPr>
          <w:p>
            <w:pPr>
              <w:pStyle w:val="TableContents"/>
              <w:bidi w:val="0"/>
              <w:spacing w:before="0" w:after="283"/>
              <w:ind w:left="400" w:right="0" w:firstLine="4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649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2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Class A Common Stock, par value $0.001, 600,000,000 shares authorized, 116,281,962 and 105,138,273 shares issued and outstanding at September 30, 2023 and December 31, 2022, respectively</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Class B Common Stock, par value $0.00001, 65,000,000 shares authorized, 39,781,946 and 39,129,867 shares issued and outstanding, respectively, at September 30, 2023, and 50,433,101 and 48,923,952 shares issued and outstanding, respectively at December 31, 2022</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color w:val="000000"/>
              </w:rPr>
            </w:pPr>
            <w:r>
              <w:rPr>
                <w:color w:val="000000"/>
              </w:rPr>
              <w:t>—</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1,077,332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970,207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income</w:t>
            </w:r>
          </w:p>
        </w:tc>
        <w:tc>
          <w:tcPr>
            <w:tcW w:w="2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3,051</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3,668</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2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(217,217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(25,062</w:t>
            </w:r>
          </w:p>
        </w:tc>
        <w:tc>
          <w:tcPr>
            <w:tcW w:w="59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Noncontrolling interests</w:t>
            </w:r>
          </w:p>
        </w:tc>
        <w:tc>
          <w:tcPr>
            <w:tcW w:w="2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533,027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equity</w:t>
            </w:r>
          </w:p>
        </w:tc>
        <w:tc>
          <w:tcPr>
            <w:tcW w:w="2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1,203,450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1,481,945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0"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1,819,534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2,122,624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center"/>
        <w:rPr/>
      </w:pPr>
      <w:r>
        <w:rPr/>
        <w:t> </w:t>
      </w:r>
    </w:p>
    <w:tbl>
      <w:tblPr>
        <w:tblW w:w="11547" w:type="dxa"/>
        <w:jc w:val="left"/>
        <w:tblInd w:w="0" w:type="dxa"/>
        <w:tblLayout w:type="fixed"/>
        <w:tblCellMar>
          <w:top w:w="28" w:type="dxa"/>
          <w:left w:w="28" w:type="dxa"/>
          <w:bottom w:w="28" w:type="dxa"/>
          <w:right w:w="28" w:type="dxa"/>
        </w:tblCellMar>
      </w:tblPr>
      <w:tblGrid>
        <w:gridCol w:w="2551"/>
        <w:gridCol w:w="1346"/>
        <w:gridCol w:w="211"/>
        <w:gridCol w:w="1141"/>
        <w:gridCol w:w="266"/>
        <w:gridCol w:w="246"/>
        <w:gridCol w:w="211"/>
        <w:gridCol w:w="1141"/>
        <w:gridCol w:w="266"/>
        <w:gridCol w:w="246"/>
        <w:gridCol w:w="211"/>
        <w:gridCol w:w="1141"/>
        <w:gridCol w:w="266"/>
        <w:gridCol w:w="246"/>
        <w:gridCol w:w="211"/>
        <w:gridCol w:w="1036"/>
        <w:gridCol w:w="811"/>
      </w:tblGrid>
      <w:tr>
        <w:trP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0736" w:type="dxa"/>
            <w:gridSpan w:val="1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811" w:type="dxa"/>
            <w:tcBorders/>
            <w:shd w:fill="FFFFFF" w:val="clear"/>
            <w:vAlign w:val="center"/>
          </w:tcPr>
          <w:p>
            <w:pPr>
              <w:pStyle w:val="TableContents"/>
              <w:bidi w:val="0"/>
              <w:spacing w:before="0" w:after="283"/>
              <w:jc w:val="center"/>
              <w:rPr/>
            </w:pPr>
            <w:r>
              <w:rPr/>
              <w:t> </w:t>
            </w:r>
          </w:p>
        </w:tc>
      </w:tr>
      <w:tr>
        <w:trPr/>
        <w:tc>
          <w:tcPr>
            <w:tcW w:w="10736" w:type="dxa"/>
            <w:gridSpan w:val="1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811" w:type="dxa"/>
            <w:tcBorders/>
            <w:shd w:fill="FFFFFF" w:val="clear"/>
            <w:vAlign w:val="center"/>
          </w:tcPr>
          <w:p>
            <w:pPr>
              <w:pStyle w:val="TableContents"/>
              <w:bidi w:val="0"/>
              <w:spacing w:before="0" w:after="283"/>
              <w:jc w:val="center"/>
              <w:rPr/>
            </w:pPr>
            <w:r>
              <w:rPr/>
              <w:t> </w:t>
            </w:r>
          </w:p>
        </w:tc>
      </w:tr>
      <w:tr>
        <w:trPr/>
        <w:tc>
          <w:tcPr>
            <w:tcW w:w="10736" w:type="dxa"/>
            <w:gridSpan w:val="16"/>
            <w:tcBorders/>
            <w:shd w:fill="FFFFFF" w:val="cle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(amounts in thousands, except share amounts and per share data; unaudited)</w:t>
            </w:r>
          </w:p>
        </w:tc>
        <w:tc>
          <w:tcPr>
            <w:tcW w:w="811" w:type="dxa"/>
            <w:tcBorders/>
            <w:shd w:fill="FFFFFF" w:val="cle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ind w:left="0" w:right="0" w:firstLine="100"/>
              <w:jc w:val="left"/>
              <w:rPr/>
            </w:pPr>
            <w:r>
              <w:rPr/>
              <w:t> </w:t>
            </w:r>
          </w:p>
        </w:tc>
        <w:tc>
          <w:tcPr>
            <w:tcW w:w="1346" w:type="dxa"/>
            <w:tcBorders/>
            <w:shd w:fill="FFFFFF" w:val="clear"/>
            <w:vAlign w:val="center"/>
          </w:tcPr>
          <w:p>
            <w:pPr>
              <w:pStyle w:val="TableContents"/>
              <w:bidi w:val="0"/>
              <w:spacing w:before="0" w:after="283"/>
              <w:ind w:left="10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ind w:left="0" w:right="0" w:firstLine="100"/>
              <w:jc w:val="left"/>
              <w:rPr/>
            </w:pPr>
            <w:r>
              <w:rPr/>
              <w:t> </w:t>
            </w:r>
          </w:p>
        </w:tc>
        <w:tc>
          <w:tcPr>
            <w:tcW w:w="13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811" w:type="dxa"/>
            <w:tcBorders/>
            <w:shd w:fill="FFFFFF" w:val="cle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ind w:left="0" w:right="0" w:firstLine="100"/>
              <w:jc w:val="left"/>
              <w:rPr/>
            </w:pPr>
            <w:r>
              <w:rPr/>
              <w:t> </w:t>
            </w:r>
          </w:p>
        </w:tc>
        <w:tc>
          <w:tcPr>
            <w:tcW w:w="13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Revenue</w:t>
            </w:r>
          </w:p>
        </w:tc>
        <w:tc>
          <w:tcPr>
            <w:tcW w:w="13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65,325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57,382</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185,483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162,054</w:t>
            </w:r>
          </w:p>
        </w:tc>
        <w:tc>
          <w:tcPr>
            <w:tcW w:w="81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Cost of revenue:</w:t>
            </w:r>
          </w:p>
        </w:tc>
        <w:tc>
          <w:tcPr>
            <w:tcW w:w="13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47" w:type="dxa"/>
            <w:gridSpan w:val="2"/>
            <w:tcBorders/>
            <w:shd w:fill="FFFFFF" w:val="clear"/>
            <w:vAlign w:val="center"/>
          </w:tcPr>
          <w:p>
            <w:pPr>
              <w:pStyle w:val="TableContents"/>
              <w:bidi w:val="0"/>
              <w:spacing w:before="0" w:after="283"/>
              <w:ind w:left="100" w:right="0" w:firstLine="100"/>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 xml:space="preserve">Cost of revenue exclusive of amortization </w:t>
            </w:r>
            <w:r>
              <w:rPr>
                <w:rFonts w:ascii="Times New Roman" w:hAnsi="Times New Roman"/>
                <w:b w:val="false"/>
                <w:color w:val="000000"/>
                <w:sz w:val="13"/>
              </w:rPr>
              <w:t>(1)</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25,293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18,717</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9,676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14,113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Gross profit</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53,430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47,658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150,514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3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47" w:type="dxa"/>
            <w:gridSpan w:val="2"/>
            <w:tcBorders/>
            <w:shd w:fill="FFFFFF" w:val="clear"/>
            <w:vAlign w:val="center"/>
          </w:tcPr>
          <w:p>
            <w:pPr>
              <w:pStyle w:val="TableContents"/>
              <w:bidi w:val="0"/>
              <w:spacing w:before="0" w:after="283"/>
              <w:ind w:left="100" w:right="0" w:firstLine="100"/>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 xml:space="preserve">Sales and marketing </w:t>
            </w:r>
            <w:r>
              <w:rPr>
                <w:rFonts w:ascii="Times New Roman" w:hAnsi="Times New Roman"/>
                <w:b w:val="false"/>
                <w:color w:val="000000"/>
                <w:sz w:val="13"/>
              </w:rPr>
              <w:t>(1)</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22,804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21,184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70,929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66,062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 xml:space="preserve">Product development </w:t>
            </w:r>
            <w:r>
              <w:rPr>
                <w:rFonts w:ascii="Times New Roman" w:hAnsi="Times New Roman"/>
                <w:b w:val="false"/>
                <w:color w:val="000000"/>
                <w:sz w:val="13"/>
              </w:rPr>
              <w:t>(1)</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10,759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9,205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30,872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24,761</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 xml:space="preserve">General and administrative </w:t>
            </w:r>
            <w:r>
              <w:rPr>
                <w:rFonts w:ascii="Times New Roman" w:hAnsi="Times New Roman"/>
                <w:b w:val="false"/>
                <w:color w:val="000000"/>
                <w:sz w:val="13"/>
              </w:rPr>
              <w:t>(1)</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14,545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14,349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42,294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35,440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10,037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29,073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30,105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Transaction, integration, and restructuring expenses</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Goodwill impairment</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287,400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287,400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346" w:type="dxa"/>
            <w:tcBorders/>
            <w:shd w:fill="CFF0FC" w:val="cle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348,808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57,720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470,234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162,730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(295,378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(10,062</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(319,720</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(33,506</w:t>
            </w:r>
          </w:p>
        </w:tc>
        <w:tc>
          <w:tcPr>
            <w:tcW w:w="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5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expense, net</w:t>
            </w:r>
          </w:p>
        </w:tc>
        <w:tc>
          <w:tcPr>
            <w:tcW w:w="13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47" w:type="dxa"/>
            <w:gridSpan w:val="2"/>
            <w:tcBorders/>
            <w:shd w:fill="CFF0FC" w:val="clear"/>
            <w:vAlign w:val="center"/>
          </w:tcPr>
          <w:p>
            <w:pPr>
              <w:pStyle w:val="TableContents"/>
              <w:bidi w:val="0"/>
              <w:spacing w:before="0" w:after="283"/>
              <w:ind w:left="100" w:right="0" w:firstLine="100"/>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(1,434</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(6,930</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5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29,589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25,161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9,716</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255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1346" w:type="dxa"/>
            <w:tcBorders/>
            <w:shd w:fill="FFFFFF" w:val="clear"/>
            <w:vAlign w:val="center"/>
          </w:tcPr>
          <w:p>
            <w:pPr>
              <w:pStyle w:val="TableContents"/>
              <w:bidi w:val="0"/>
              <w:spacing w:before="0" w:after="283"/>
              <w:ind w:left="500" w:right="0" w:firstLine="5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29,156</w:t>
            </w:r>
          </w:p>
        </w:tc>
        <w:tc>
          <w:tcPr>
            <w:tcW w:w="266"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3,162</w:t>
            </w:r>
          </w:p>
        </w:tc>
        <w:tc>
          <w:tcPr>
            <w:tcW w:w="266"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23,727</w:t>
            </w:r>
          </w:p>
        </w:tc>
        <w:tc>
          <w:tcPr>
            <w:tcW w:w="266"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2,786</w:t>
            </w:r>
          </w:p>
        </w:tc>
        <w:tc>
          <w:tcPr>
            <w:tcW w:w="811" w:type="dxa"/>
            <w:tcBorders>
              <w:top w:val="single" w:sz="4" w:space="0" w:color="000000"/>
            </w:tcBorders>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Net loss before income taxes</w:t>
            </w:r>
          </w:p>
        </w:tc>
        <w:tc>
          <w:tcPr>
            <w:tcW w:w="13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(266,222</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(295,993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(30,720</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5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20"/>
              </w:rPr>
            </w:pPr>
            <w:r>
              <w:rPr>
                <w:rFonts w:ascii="Times New Roman" w:hAnsi="Times New Roman"/>
                <w:b w:val="false"/>
                <w:color w:val="000000"/>
                <w:sz w:val="20"/>
              </w:rPr>
              <w:t>Benefit from income taxes</w:t>
            </w:r>
          </w:p>
        </w:tc>
        <w:tc>
          <w:tcPr>
            <w:tcW w:w="1346" w:type="dxa"/>
            <w:tcBorders/>
            <w:shd w:fill="FFFFFF" w:val="cle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17,534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19,728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Net loss</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(248,688</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(6,885</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(276,265</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(30,066</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51" w:type="dxa"/>
            <w:tcBorders/>
            <w:shd w:fill="FFFFFF"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Less: Net loss attributable to noncontrolling interests</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(77,162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(84,110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51" w:type="dxa"/>
            <w:tcBorders/>
            <w:shd w:fill="CFF0FC"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Net loss attributable to Definitive Healthcare Corp.</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(171,526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(192,155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(17,087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51" w:type="dxa"/>
            <w:tcBorders/>
            <w:shd w:fill="FFFFFF"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Net loss per share of Class A Common Stock:</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Basic and diluted</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5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Weighted average Class A Common Stock outstanding:</w:t>
            </w:r>
          </w:p>
        </w:tc>
        <w:tc>
          <w:tcPr>
            <w:tcW w:w="13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47" w:type="dxa"/>
            <w:gridSpan w:val="2"/>
            <w:tcBorders/>
            <w:shd w:fill="FFFFFF" w:val="clear"/>
            <w:vAlign w:val="center"/>
          </w:tcPr>
          <w:p>
            <w:pPr>
              <w:pStyle w:val="TableContents"/>
              <w:bidi w:val="0"/>
              <w:spacing w:before="0" w:after="283"/>
              <w:ind w:left="100" w:right="0" w:firstLine="100"/>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255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20"/>
              </w:rPr>
            </w:pPr>
            <w:r>
              <w:rPr>
                <w:rFonts w:ascii="Times New Roman" w:hAnsi="Times New Roman"/>
                <w:b w:val="false"/>
                <w:color w:val="000000"/>
                <w:sz w:val="20"/>
              </w:rPr>
              <w:t>Basic and diluted</w:t>
            </w:r>
          </w:p>
        </w:tc>
        <w:tc>
          <w:tcPr>
            <w:tcW w:w="1346" w:type="dxa"/>
            <w:tcBorders/>
            <w:shd w:fill="CFF0FC" w:val="clear"/>
            <w:vAlign w:val="center"/>
          </w:tcPr>
          <w:p>
            <w:pPr>
              <w:pStyle w:val="TableContents"/>
              <w:bidi w:val="0"/>
              <w:spacing w:before="0" w:after="283"/>
              <w:ind w:left="80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114,527,514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102,904,565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111,533,166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99,776,742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2551" w:type="dxa"/>
            <w:tcBorders/>
            <w:shd w:fill="FFFFFF" w:val="clear"/>
            <w:vAlign w:val="center"/>
          </w:tcPr>
          <w:p>
            <w:pPr>
              <w:pStyle w:val="TableContents"/>
              <w:bidi w:val="0"/>
              <w:spacing w:before="0" w:after="283"/>
              <w:ind w:left="0" w:right="0" w:firstLine="20"/>
              <w:jc w:val="left"/>
              <w:rPr/>
            </w:pPr>
            <w:r>
              <w:rPr/>
              <w:t> </w:t>
            </w:r>
          </w:p>
        </w:tc>
        <w:tc>
          <w:tcPr>
            <w:tcW w:w="1346" w:type="dxa"/>
            <w:tcBorders/>
            <w:shd w:fill="FFFFFF" w:val="clear"/>
            <w:vAlign w:val="center"/>
          </w:tcPr>
          <w:p>
            <w:pPr>
              <w:pStyle w:val="TableContents"/>
              <w:bidi w:val="0"/>
              <w:spacing w:before="0" w:after="283"/>
              <w:ind w:left="20" w:right="0" w:firstLine="20"/>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w:t>
            </w:r>
            <w:r>
              <w:rPr>
                <w:rFonts w:ascii="Times New Roman" w:hAnsi="Times New Roman"/>
                <w:b w:val="false"/>
                <w:color w:val="000000"/>
                <w:sz w:val="20"/>
              </w:rPr>
              <w:t>Amounts include equity-based compensation expense as follows:</w:t>
            </w:r>
          </w:p>
        </w:tc>
        <w:tc>
          <w:tcPr>
            <w:tcW w:w="13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51" w:type="dxa"/>
            <w:tcBorders/>
            <w:shd w:fill="CFF0FC"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Cost of revenue</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2,728</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8,297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11,062</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346" w:type="dxa"/>
            <w:tcBorders/>
            <w:shd w:fill="FFFFFF" w:val="clear"/>
            <w:vAlign w:val="center"/>
          </w:tcPr>
          <w:p>
            <w:pPr>
              <w:pStyle w:val="TableContents"/>
              <w:bidi w:val="0"/>
              <w:spacing w:before="0" w:after="283"/>
              <w:ind w:left="120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16,792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0" w:right="0" w:firstLine="1200"/>
              <w:jc w:val="left"/>
              <w:rPr>
                <w:rFonts w:ascii="Times New Roman" w:hAnsi="Times New Roman"/>
                <w:b w:val="false"/>
                <w:color w:val="000000"/>
                <w:sz w:val="20"/>
              </w:rPr>
            </w:pPr>
            <w:r>
              <w:rPr>
                <w:rFonts w:ascii="Times New Roman" w:hAnsi="Times New Roman"/>
                <w:b w:val="false"/>
                <w:color w:val="000000"/>
                <w:sz w:val="20"/>
              </w:rPr>
              <w:t>Total equity-based compensation expense</w:t>
            </w:r>
          </w:p>
        </w:tc>
        <w:tc>
          <w:tcPr>
            <w:tcW w:w="1346" w:type="dxa"/>
            <w:tcBorders/>
            <w:shd w:fill="CFF0FC" w:val="clear"/>
            <w:vAlign w:val="center"/>
          </w:tcPr>
          <w:p>
            <w:pPr>
              <w:pStyle w:val="TableContents"/>
              <w:bidi w:val="0"/>
              <w:spacing w:before="0" w:after="283"/>
              <w:ind w:left="120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11,994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35,485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25,010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592" w:type="dxa"/>
        <w:jc w:val="left"/>
        <w:tblInd w:w="0" w:type="dxa"/>
        <w:tblLayout w:type="fixed"/>
        <w:tblCellMar>
          <w:top w:w="28" w:type="dxa"/>
          <w:left w:w="28" w:type="dxa"/>
          <w:bottom w:w="28" w:type="dxa"/>
          <w:right w:w="28" w:type="dxa"/>
        </w:tblCellMar>
      </w:tblPr>
      <w:tblGrid>
        <w:gridCol w:w="1971"/>
        <w:gridCol w:w="946"/>
        <w:gridCol w:w="196"/>
        <w:gridCol w:w="751"/>
        <w:gridCol w:w="266"/>
        <w:gridCol w:w="246"/>
        <w:gridCol w:w="196"/>
        <w:gridCol w:w="691"/>
        <w:gridCol w:w="866"/>
        <w:gridCol w:w="846"/>
        <w:gridCol w:w="196"/>
        <w:gridCol w:w="751"/>
        <w:gridCol w:w="266"/>
        <w:gridCol w:w="246"/>
        <w:gridCol w:w="196"/>
        <w:gridCol w:w="751"/>
        <w:gridCol w:w="1211"/>
      </w:tblGrid>
      <w:tr>
        <w:trPr/>
        <w:tc>
          <w:tcPr>
            <w:tcW w:w="197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9381" w:type="dxa"/>
            <w:gridSpan w:val="1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1211" w:type="dxa"/>
            <w:tcBorders/>
            <w:shd w:fill="FFFFFF" w:val="clear"/>
            <w:vAlign w:val="center"/>
          </w:tcPr>
          <w:p>
            <w:pPr>
              <w:pStyle w:val="TableContents"/>
              <w:bidi w:val="0"/>
              <w:spacing w:before="0" w:after="283"/>
              <w:jc w:val="center"/>
              <w:rPr/>
            </w:pPr>
            <w:r>
              <w:rPr/>
              <w:t> </w:t>
            </w:r>
          </w:p>
        </w:tc>
      </w:tr>
      <w:tr>
        <w:trPr/>
        <w:tc>
          <w:tcPr>
            <w:tcW w:w="9381" w:type="dxa"/>
            <w:gridSpan w:val="1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1211" w:type="dxa"/>
            <w:tcBorders/>
            <w:shd w:fill="FFFFFF" w:val="clear"/>
            <w:vAlign w:val="center"/>
          </w:tcPr>
          <w:p>
            <w:pPr>
              <w:pStyle w:val="TableContents"/>
              <w:bidi w:val="0"/>
              <w:spacing w:before="0" w:after="283"/>
              <w:jc w:val="center"/>
              <w:rPr/>
            </w:pPr>
            <w:r>
              <w:rPr/>
              <w:t> </w:t>
            </w:r>
          </w:p>
        </w:tc>
      </w:tr>
      <w:tr>
        <w:trPr/>
        <w:tc>
          <w:tcPr>
            <w:tcW w:w="9381" w:type="dxa"/>
            <w:gridSpan w:val="16"/>
            <w:tcBorders/>
            <w:shd w:fill="FFFFFF" w:val="cle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(amounts in thousands; unaudited)</w:t>
            </w:r>
          </w:p>
        </w:tc>
        <w:tc>
          <w:tcPr>
            <w:tcW w:w="1211" w:type="dxa"/>
            <w:tcBorders/>
            <w:shd w:fill="FFFFFF" w:val="cle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2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shd w:fill="FFFFFF" w:val="clear"/>
            <w:vAlign w:val="center"/>
          </w:tcPr>
          <w:p>
            <w:pPr>
              <w:pStyle w:val="TableContents"/>
              <w:bidi w:val="0"/>
              <w:spacing w:before="0" w:after="283"/>
              <w:jc w:val="center"/>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866" w:type="dxa"/>
            <w:tcBorders/>
            <w:shd w:fill="FFFFFF" w:val="clear"/>
            <w:vAlign w:val="center"/>
          </w:tcPr>
          <w:p>
            <w:pPr>
              <w:pStyle w:val="TableContents"/>
              <w:bidi w:val="0"/>
              <w:spacing w:before="0" w:after="283"/>
              <w:jc w:val="center"/>
              <w:rPr/>
            </w:pPr>
            <w:r>
              <w:rPr/>
              <w:t> </w:t>
            </w:r>
          </w:p>
        </w:tc>
        <w:tc>
          <w:tcPr>
            <w:tcW w:w="8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1211" w:type="dxa"/>
            <w:tcBorders/>
            <w:shd w:fill="FFFFFF" w:val="cle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8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6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ind w:left="0" w:right="0" w:firstLine="100"/>
              <w:jc w:val="left"/>
              <w:rPr/>
            </w:pPr>
            <w:r>
              <w:rPr/>
              <w:t> </w:t>
            </w:r>
          </w:p>
        </w:tc>
        <w:tc>
          <w:tcPr>
            <w:tcW w:w="947"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947" w:type="dxa"/>
            <w:gridSpan w:val="2"/>
            <w:tcBorders/>
            <w:shd w:fill="CFF0FC" w:val="clear"/>
            <w:vAlign w:val="center"/>
          </w:tcPr>
          <w:p>
            <w:pPr>
              <w:pStyle w:val="TableContents"/>
              <w:bidi w:val="0"/>
              <w:spacing w:before="0" w:after="283"/>
              <w:ind w:left="100" w:right="0" w:firstLine="100"/>
              <w:jc w:val="left"/>
              <w:rPr/>
            </w:pPr>
            <w:r>
              <w:rPr/>
              <w:t> </w:t>
            </w:r>
          </w:p>
        </w:tc>
        <w:tc>
          <w:tcPr>
            <w:tcW w:w="1211" w:type="dxa"/>
            <w:tcBorders/>
            <w:shd w:fill="CFF0FC" w:val="clear"/>
            <w:vAlign w:val="center"/>
          </w:tcPr>
          <w:p>
            <w:pPr>
              <w:pStyle w:val="TableContents"/>
              <w:bidi w:val="0"/>
              <w:spacing w:before="0" w:after="283"/>
              <w:ind w:left="0" w:right="0" w:firstLine="400"/>
              <w:jc w:val="left"/>
              <w:rPr/>
            </w:pPr>
            <w:r>
              <w:rPr/>
              <w:t> </w:t>
            </w:r>
          </w:p>
        </w:tc>
      </w:tr>
      <w:tr>
        <w:trPr/>
        <w:tc>
          <w:tcPr>
            <w:tcW w:w="197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Net loss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(248,688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(6,885</w:t>
            </w:r>
          </w:p>
        </w:tc>
        <w:tc>
          <w:tcPr>
            <w:tcW w:w="86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(276,265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(30,066</w:t>
            </w:r>
          </w:p>
        </w:tc>
        <w:tc>
          <w:tcPr>
            <w:tcW w:w="121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Adjustments to reconcile net loss to net cash provided by operating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6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ind w:left="0" w:right="0" w:firstLine="100"/>
              <w:jc w:val="left"/>
              <w:rPr/>
            </w:pPr>
            <w:r>
              <w:rPr/>
              <w:t> </w:t>
            </w:r>
          </w:p>
        </w:tc>
        <w:tc>
          <w:tcPr>
            <w:tcW w:w="947"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947" w:type="dxa"/>
            <w:gridSpan w:val="2"/>
            <w:tcBorders/>
            <w:shd w:fill="CFF0FC" w:val="clear"/>
            <w:vAlign w:val="center"/>
          </w:tcPr>
          <w:p>
            <w:pPr>
              <w:pStyle w:val="TableContents"/>
              <w:bidi w:val="0"/>
              <w:spacing w:before="0" w:after="283"/>
              <w:ind w:left="100" w:right="0" w:firstLine="100"/>
              <w:jc w:val="left"/>
              <w:rPr/>
            </w:pPr>
            <w:r>
              <w:rPr/>
              <w:t> </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Depreciation and amortization</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469</w:t>
            </w:r>
          </w:p>
        </w:tc>
        <w:tc>
          <w:tcPr>
            <w:tcW w:w="866" w:type="dxa"/>
            <w:tcBorders/>
            <w:shd w:fill="FFFFFF" w:val="clear"/>
            <w:vAlign w:val="center"/>
          </w:tcPr>
          <w:p>
            <w:pPr>
              <w:pStyle w:val="TableContents"/>
              <w:bidi w:val="0"/>
              <w:spacing w:before="0" w:after="283"/>
              <w:ind w:left="0" w:right="0" w:firstLine="700"/>
              <w:jc w:val="left"/>
              <w:rPr/>
            </w:pPr>
            <w:r>
              <w:rPr/>
              <w:t> </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1,391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1,721</w:t>
            </w:r>
          </w:p>
        </w:tc>
        <w:tc>
          <w:tcPr>
            <w:tcW w:w="1211" w:type="dxa"/>
            <w:tcBorders/>
            <w:shd w:fill="FFFFFF" w:val="clear"/>
            <w:vAlign w:val="center"/>
          </w:tcPr>
          <w:p>
            <w:pPr>
              <w:pStyle w:val="TableContents"/>
              <w:bidi w:val="0"/>
              <w:spacing w:before="0" w:after="283"/>
              <w:ind w:left="0" w:right="0" w:firstLine="600"/>
              <w:jc w:val="left"/>
              <w:rPr/>
            </w:pPr>
            <w:r>
              <w:rPr/>
              <w:t> </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Amortization of intangible assets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12,595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12,723</w:t>
            </w:r>
          </w:p>
        </w:tc>
        <w:tc>
          <w:tcPr>
            <w:tcW w:w="866" w:type="dxa"/>
            <w:tcBorders/>
            <w:shd w:fill="CFF0FC" w:val="clear"/>
            <w:vAlign w:val="center"/>
          </w:tcPr>
          <w:p>
            <w:pPr>
              <w:pStyle w:val="TableContents"/>
              <w:bidi w:val="0"/>
              <w:spacing w:before="0" w:after="283"/>
              <w:ind w:left="0" w:right="0" w:firstLine="700"/>
              <w:jc w:val="left"/>
              <w:rPr/>
            </w:pPr>
            <w:r>
              <w:rPr/>
              <w:t> </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37,358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42,497</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Amortization of deferred contract costs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3,445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2,283</w:t>
            </w:r>
          </w:p>
        </w:tc>
        <w:tc>
          <w:tcPr>
            <w:tcW w:w="866" w:type="dxa"/>
            <w:tcBorders/>
            <w:shd w:fill="FFFFFF" w:val="clear"/>
            <w:vAlign w:val="center"/>
          </w:tcPr>
          <w:p>
            <w:pPr>
              <w:pStyle w:val="TableContents"/>
              <w:bidi w:val="0"/>
              <w:spacing w:before="0" w:after="283"/>
              <w:ind w:left="0" w:right="0" w:firstLine="700"/>
              <w:jc w:val="left"/>
              <w:rPr/>
            </w:pPr>
            <w:r>
              <w:rPr/>
              <w:t> </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9,475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6,274</w:t>
            </w:r>
          </w:p>
        </w:tc>
        <w:tc>
          <w:tcPr>
            <w:tcW w:w="1211" w:type="dxa"/>
            <w:tcBorders/>
            <w:shd w:fill="FFFFFF" w:val="clear"/>
            <w:vAlign w:val="center"/>
          </w:tcPr>
          <w:p>
            <w:pPr>
              <w:pStyle w:val="TableContents"/>
              <w:bidi w:val="0"/>
              <w:spacing w:before="0" w:after="283"/>
              <w:ind w:left="0" w:right="0" w:firstLine="600"/>
              <w:jc w:val="left"/>
              <w:rPr/>
            </w:pPr>
            <w:r>
              <w:rPr/>
              <w:t> </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Equity-based compensation</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11,994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9,133</w:t>
            </w:r>
          </w:p>
        </w:tc>
        <w:tc>
          <w:tcPr>
            <w:tcW w:w="866" w:type="dxa"/>
            <w:tcBorders/>
            <w:shd w:fill="CFF0FC" w:val="clear"/>
            <w:vAlign w:val="center"/>
          </w:tcPr>
          <w:p>
            <w:pPr>
              <w:pStyle w:val="TableContents"/>
              <w:bidi w:val="0"/>
              <w:spacing w:before="0" w:after="283"/>
              <w:ind w:left="0" w:right="0" w:firstLine="700"/>
              <w:jc w:val="left"/>
              <w:rPr/>
            </w:pPr>
            <w:r>
              <w:rPr/>
              <w:t> </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35,485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25,010</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Amortization of debt issuance costs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176</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176</w:t>
            </w:r>
          </w:p>
        </w:tc>
        <w:tc>
          <w:tcPr>
            <w:tcW w:w="866" w:type="dxa"/>
            <w:tcBorders/>
            <w:shd w:fill="FFFFFF" w:val="clear"/>
            <w:vAlign w:val="center"/>
          </w:tcPr>
          <w:p>
            <w:pPr>
              <w:pStyle w:val="TableContents"/>
              <w:bidi w:val="0"/>
              <w:spacing w:before="0" w:after="283"/>
              <w:ind w:left="0" w:right="0" w:firstLine="700"/>
              <w:jc w:val="left"/>
              <w:rPr/>
            </w:pPr>
            <w:r>
              <w:rPr/>
              <w:t> </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527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527</w:t>
            </w:r>
          </w:p>
        </w:tc>
        <w:tc>
          <w:tcPr>
            <w:tcW w:w="1211" w:type="dxa"/>
            <w:tcBorders/>
            <w:shd w:fill="FFFFFF" w:val="clear"/>
            <w:vAlign w:val="center"/>
          </w:tcPr>
          <w:p>
            <w:pPr>
              <w:pStyle w:val="TableContents"/>
              <w:bidi w:val="0"/>
              <w:spacing w:before="0" w:after="283"/>
              <w:ind w:left="0" w:right="0" w:firstLine="600"/>
              <w:jc w:val="left"/>
              <w:rPr/>
            </w:pPr>
            <w:r>
              <w:rPr/>
              <w:t> </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Provision for doubtful accounts receivable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763</w:t>
            </w:r>
          </w:p>
        </w:tc>
        <w:tc>
          <w:tcPr>
            <w:tcW w:w="866" w:type="dxa"/>
            <w:tcBorders/>
            <w:shd w:fill="CFF0FC" w:val="clear"/>
            <w:vAlign w:val="center"/>
          </w:tcPr>
          <w:p>
            <w:pPr>
              <w:pStyle w:val="TableContents"/>
              <w:bidi w:val="0"/>
              <w:spacing w:before="0" w:after="283"/>
              <w:ind w:left="0" w:right="0" w:firstLine="700"/>
              <w:jc w:val="left"/>
              <w:rPr/>
            </w:pPr>
            <w:r>
              <w:rPr/>
              <w:t> </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820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769</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Non-cash restructuring charges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66" w:type="dxa"/>
            <w:tcBorders/>
            <w:shd w:fill="FFFFFF" w:val="clear"/>
            <w:vAlign w:val="center"/>
          </w:tcPr>
          <w:p>
            <w:pPr>
              <w:pStyle w:val="TableContents"/>
              <w:bidi w:val="0"/>
              <w:spacing w:before="0" w:after="283"/>
              <w:ind w:left="0" w:right="0" w:firstLine="700"/>
              <w:jc w:val="left"/>
              <w:rPr/>
            </w:pPr>
            <w:r>
              <w:rPr/>
              <w:t> </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1,023</w:t>
            </w:r>
          </w:p>
        </w:tc>
        <w:tc>
          <w:tcPr>
            <w:tcW w:w="1211" w:type="dxa"/>
            <w:tcBorders/>
            <w:shd w:fill="FFFFFF" w:val="clear"/>
            <w:vAlign w:val="center"/>
          </w:tcPr>
          <w:p>
            <w:pPr>
              <w:pStyle w:val="TableContents"/>
              <w:bidi w:val="0"/>
              <w:spacing w:before="0" w:after="283"/>
              <w:ind w:left="0" w:right="0" w:firstLine="600"/>
              <w:jc w:val="left"/>
              <w:rPr/>
            </w:pPr>
            <w:r>
              <w:rPr/>
              <w:t> </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Goodwill impairment charge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287,400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66" w:type="dxa"/>
            <w:tcBorders/>
            <w:shd w:fill="CFF0FC" w:val="clear"/>
            <w:vAlign w:val="center"/>
          </w:tcPr>
          <w:p>
            <w:pPr>
              <w:pStyle w:val="TableContents"/>
              <w:bidi w:val="0"/>
              <w:spacing w:before="0" w:after="283"/>
              <w:ind w:left="0" w:right="0" w:firstLine="700"/>
              <w:jc w:val="left"/>
              <w:rPr/>
            </w:pPr>
            <w:r>
              <w:rPr/>
              <w:t> </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287,400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Tax receivable agreement remeasurement</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(29,675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(5,253</w:t>
            </w:r>
          </w:p>
        </w:tc>
        <w:tc>
          <w:tcPr>
            <w:tcW w:w="866" w:type="dxa"/>
            <w:tcBorders/>
            <w:shd w:fill="FFFFFF" w:val="cle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(24,977</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(8,583</w:t>
            </w:r>
          </w:p>
        </w:tc>
        <w:tc>
          <w:tcPr>
            <w:tcW w:w="12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Deferred income taxes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(17,304</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(42</w:t>
            </w:r>
          </w:p>
        </w:tc>
        <w:tc>
          <w:tcPr>
            <w:tcW w:w="866" w:type="dxa"/>
            <w:tcBorders/>
            <w:shd w:fill="CFF0FC" w:val="cle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(19,728</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(719</w:t>
            </w:r>
          </w:p>
        </w:tc>
        <w:tc>
          <w:tcPr>
            <w:tcW w:w="12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Changes in operating assets and liabilities: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6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ind w:left="0" w:right="0" w:firstLine="100"/>
              <w:jc w:val="lef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1211" w:type="dxa"/>
            <w:tcBorders/>
            <w:shd w:fill="FFFFFF" w:val="clear"/>
            <w:vAlign w:val="center"/>
          </w:tcPr>
          <w:p>
            <w:pPr>
              <w:pStyle w:val="TableContents"/>
              <w:bidi w:val="0"/>
              <w:spacing w:before="0" w:after="283"/>
              <w:ind w:left="0" w:right="0" w:firstLine="600"/>
              <w:jc w:val="left"/>
              <w:rPr/>
            </w:pPr>
            <w:r>
              <w:rPr/>
              <w:t> </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Accounts receivable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5,486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(2,816</w:t>
            </w:r>
          </w:p>
        </w:tc>
        <w:tc>
          <w:tcPr>
            <w:tcW w:w="866" w:type="dxa"/>
            <w:tcBorders/>
            <w:shd w:fill="CFF0FC" w:val="cle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19,370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12,454</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Prepaid expenses and other current assets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(2,237</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1,235</w:t>
            </w:r>
          </w:p>
        </w:tc>
        <w:tc>
          <w:tcPr>
            <w:tcW w:w="866" w:type="dxa"/>
            <w:tcBorders/>
            <w:shd w:fill="FFFFFF" w:val="clear"/>
            <w:vAlign w:val="center"/>
          </w:tcPr>
          <w:p>
            <w:pPr>
              <w:pStyle w:val="TableContents"/>
              <w:bidi w:val="0"/>
              <w:spacing w:before="0" w:after="283"/>
              <w:ind w:left="0" w:right="0" w:firstLine="700"/>
              <w:jc w:val="left"/>
              <w:rPr/>
            </w:pPr>
            <w:r>
              <w:rPr/>
              <w:t> </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(5,808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2,554</w:t>
            </w:r>
          </w:p>
        </w:tc>
        <w:tc>
          <w:tcPr>
            <w:tcW w:w="1211" w:type="dxa"/>
            <w:tcBorders/>
            <w:shd w:fill="FFFFFF" w:val="clear"/>
            <w:vAlign w:val="center"/>
          </w:tcPr>
          <w:p>
            <w:pPr>
              <w:pStyle w:val="TableContents"/>
              <w:bidi w:val="0"/>
              <w:spacing w:before="0" w:after="283"/>
              <w:ind w:left="0" w:right="0" w:firstLine="600"/>
              <w:jc w:val="left"/>
              <w:rPr/>
            </w:pPr>
            <w:r>
              <w:rPr/>
              <w:t> </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Deferred contract costs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(3,913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(3,224</w:t>
            </w:r>
          </w:p>
        </w:tc>
        <w:tc>
          <w:tcPr>
            <w:tcW w:w="866" w:type="dxa"/>
            <w:tcBorders/>
            <w:shd w:fill="CFF0FC" w:val="cle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(13,020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(10,070</w:t>
            </w:r>
          </w:p>
        </w:tc>
        <w:tc>
          <w:tcPr>
            <w:tcW w:w="1211"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Contingent consideration</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6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(6,400</w:t>
            </w:r>
          </w:p>
        </w:tc>
        <w:tc>
          <w:tcPr>
            <w:tcW w:w="12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Accounts payable, accrued expenses, and other liabilities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1,434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6,825</w:t>
            </w:r>
          </w:p>
        </w:tc>
        <w:tc>
          <w:tcPr>
            <w:tcW w:w="866" w:type="dxa"/>
            <w:tcBorders/>
            <w:shd w:fill="CFF0FC" w:val="clear"/>
            <w:vAlign w:val="center"/>
          </w:tcPr>
          <w:p>
            <w:pPr>
              <w:pStyle w:val="TableContents"/>
              <w:bidi w:val="0"/>
              <w:spacing w:before="0" w:after="283"/>
              <w:ind w:left="0" w:right="0" w:firstLine="700"/>
              <w:jc w:val="left"/>
              <w:rPr/>
            </w:pPr>
            <w:r>
              <w:rPr/>
              <w:t> </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(1,589</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5,832</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Deferred revenue</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(11,869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(4,702</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(14,113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(3,024</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Net cash provided by operating activities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9,487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10,685</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36,481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39,799</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6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ind w:left="0" w:right="0" w:firstLine="100"/>
              <w:jc w:val="lef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1211" w:type="dxa"/>
            <w:tcBorders/>
            <w:shd w:fill="FFFFFF" w:val="clear"/>
            <w:vAlign w:val="center"/>
          </w:tcPr>
          <w:p>
            <w:pPr>
              <w:pStyle w:val="TableContents"/>
              <w:bidi w:val="0"/>
              <w:spacing w:before="0" w:after="283"/>
              <w:ind w:left="0" w:right="0" w:firstLine="400"/>
              <w:jc w:val="left"/>
              <w:rPr/>
            </w:pPr>
            <w:r>
              <w:rPr/>
              <w:t> </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Purchases of property, equipment, and other assets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(305</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(1,878</w:t>
            </w:r>
          </w:p>
        </w:tc>
        <w:tc>
          <w:tcPr>
            <w:tcW w:w="866" w:type="dxa"/>
            <w:tcBorders/>
            <w:shd w:fill="CFF0FC" w:val="cle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(2,383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(3,455</w:t>
            </w:r>
          </w:p>
        </w:tc>
        <w:tc>
          <w:tcPr>
            <w:tcW w:w="12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Purchases of short-term investments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(80,814</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(54,309</w:t>
            </w:r>
          </w:p>
        </w:tc>
        <w:tc>
          <w:tcPr>
            <w:tcW w:w="866" w:type="dxa"/>
            <w:tcBorders/>
            <w:shd w:fill="FFFFFF" w:val="cle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(213,613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(217,266</w:t>
            </w:r>
          </w:p>
        </w:tc>
        <w:tc>
          <w:tcPr>
            <w:tcW w:w="12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Maturities of short-term investments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72,083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52,000</w:t>
            </w:r>
          </w:p>
        </w:tc>
        <w:tc>
          <w:tcPr>
            <w:tcW w:w="866" w:type="dxa"/>
            <w:tcBorders/>
            <w:shd w:fill="CFF0FC" w:val="clear"/>
            <w:vAlign w:val="center"/>
          </w:tcPr>
          <w:p>
            <w:pPr>
              <w:pStyle w:val="TableContents"/>
              <w:bidi w:val="0"/>
              <w:spacing w:before="0" w:after="283"/>
              <w:ind w:left="0" w:right="0" w:firstLine="700"/>
              <w:jc w:val="left"/>
              <w:rPr/>
            </w:pPr>
            <w:r>
              <w:rPr/>
              <w:t> </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174,830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96,000</w:t>
            </w:r>
          </w:p>
        </w:tc>
        <w:tc>
          <w:tcPr>
            <w:tcW w:w="1211" w:type="dxa"/>
            <w:tcBorders/>
            <w:shd w:fill="CFF0FC" w:val="clear"/>
            <w:vAlign w:val="center"/>
          </w:tcPr>
          <w:p>
            <w:pPr>
              <w:pStyle w:val="TableContents"/>
              <w:bidi w:val="0"/>
              <w:spacing w:before="0" w:after="283"/>
              <w:ind w:left="0" w:right="0" w:firstLine="400"/>
              <w:jc w:val="left"/>
              <w:rPr/>
            </w:pPr>
            <w:r>
              <w:rPr/>
              <w:t> </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Cash paid for acquisitions, net of cash acquired</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203</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(56,296</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Net cash used in investing activities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(54,059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(3,984</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(86,189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(181,017</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financing activities: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6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ind w:left="0" w:right="0" w:firstLine="100"/>
              <w:jc w:val="lef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1211" w:type="dxa"/>
            <w:tcBorders/>
            <w:shd w:fill="FFFFFF" w:val="clear"/>
            <w:vAlign w:val="center"/>
          </w:tcPr>
          <w:p>
            <w:pPr>
              <w:pStyle w:val="TableContents"/>
              <w:bidi w:val="0"/>
              <w:spacing w:before="0" w:after="283"/>
              <w:ind w:left="0" w:right="0" w:firstLine="400"/>
              <w:jc w:val="left"/>
              <w:rPr/>
            </w:pPr>
            <w:r>
              <w:rPr/>
              <w:t> </w:t>
            </w:r>
          </w:p>
        </w:tc>
      </w:tr>
      <w:tr>
        <w:trPr/>
        <w:tc>
          <w:tcPr>
            <w:tcW w:w="197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Repayments of term loans</w:t>
            </w:r>
          </w:p>
        </w:tc>
        <w:tc>
          <w:tcPr>
            <w:tcW w:w="9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(1,718</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(1,718</w:t>
            </w:r>
          </w:p>
        </w:tc>
        <w:tc>
          <w:tcPr>
            <w:tcW w:w="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(5,156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(5,156</w:t>
            </w:r>
          </w:p>
        </w:tc>
        <w:tc>
          <w:tcPr>
            <w:tcW w:w="12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Taxes paid related to net share settlement of equity awards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(782</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(2,745</w:t>
            </w:r>
          </w:p>
        </w:tc>
        <w:tc>
          <w:tcPr>
            <w:tcW w:w="866" w:type="dxa"/>
            <w:tcBorders/>
            <w:shd w:fill="FFFFFF" w:val="cle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(3,397</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(2,745</w:t>
            </w:r>
          </w:p>
        </w:tc>
        <w:tc>
          <w:tcPr>
            <w:tcW w:w="12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Payment of contingent consideration</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66" w:type="dxa"/>
            <w:tcBorders/>
            <w:shd w:fill="CFF0FC" w:val="clear"/>
            <w:vAlign w:val="center"/>
          </w:tcPr>
          <w:p>
            <w:pPr>
              <w:pStyle w:val="TableContents"/>
              <w:bidi w:val="0"/>
              <w:spacing w:before="0" w:after="283"/>
              <w:ind w:left="0" w:right="0" w:firstLine="700"/>
              <w:jc w:val="left"/>
              <w:rPr/>
            </w:pPr>
            <w:r>
              <w:rPr/>
              <w:t> </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(1,100</w:t>
            </w:r>
          </w:p>
        </w:tc>
        <w:tc>
          <w:tcPr>
            <w:tcW w:w="12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Payments under tax receivable agreement</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66" w:type="dxa"/>
            <w:tcBorders/>
            <w:shd w:fill="FFFFFF" w:val="clear"/>
            <w:vAlign w:val="center"/>
          </w:tcPr>
          <w:p>
            <w:pPr>
              <w:pStyle w:val="TableContents"/>
              <w:bidi w:val="0"/>
              <w:spacing w:before="0" w:after="283"/>
              <w:ind w:left="0" w:right="0" w:firstLine="700"/>
              <w:jc w:val="left"/>
              <w:rPr/>
            </w:pPr>
            <w:r>
              <w:rPr/>
              <w:t> </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211" w:type="dxa"/>
            <w:tcBorders/>
            <w:shd w:fill="FFFFFF" w:val="clear"/>
            <w:vAlign w:val="center"/>
          </w:tcPr>
          <w:p>
            <w:pPr>
              <w:pStyle w:val="TableContents"/>
              <w:bidi w:val="0"/>
              <w:spacing w:before="0" w:after="283"/>
              <w:ind w:left="0" w:right="0" w:firstLine="400"/>
              <w:jc w:val="left"/>
              <w:rPr/>
            </w:pPr>
            <w:r>
              <w:rPr/>
              <w:t> </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Payments of equity offering issuance costs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66" w:type="dxa"/>
            <w:tcBorders/>
            <w:shd w:fill="CFF0FC" w:val="clear"/>
            <w:vAlign w:val="center"/>
          </w:tcPr>
          <w:p>
            <w:pPr>
              <w:pStyle w:val="TableContents"/>
              <w:bidi w:val="0"/>
              <w:spacing w:before="0" w:after="283"/>
              <w:ind w:left="0" w:right="0" w:firstLine="700"/>
              <w:jc w:val="left"/>
              <w:rPr/>
            </w:pPr>
            <w:r>
              <w:rPr/>
              <w:t> </w:t>
            </w:r>
          </w:p>
        </w:tc>
        <w:tc>
          <w:tcPr>
            <w:tcW w:w="846" w:type="dxa"/>
            <w:tcBorders/>
            <w:shd w:fill="CFF0FC" w:val="clear"/>
            <w:vAlign w:val="center"/>
          </w:tcPr>
          <w:p>
            <w:pPr>
              <w:pStyle w:val="TableContents"/>
              <w:bidi w:val="0"/>
              <w:spacing w:before="0" w:after="283"/>
              <w:ind w:left="700" w:right="0" w:firstLine="7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(1,299</w:t>
            </w:r>
          </w:p>
        </w:tc>
        <w:tc>
          <w:tcPr>
            <w:tcW w:w="12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Member distributions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(7,866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(1,652</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FFFFFF" w:val="clear"/>
            <w:vAlign w:val="center"/>
          </w:tcPr>
          <w:p>
            <w:pPr>
              <w:pStyle w:val="TableContents"/>
              <w:bidi w:val="0"/>
              <w:spacing w:before="0" w:after="283"/>
              <w:ind w:left="700" w:right="0" w:firstLine="7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(10,693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(6,939</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Net cash used in financing activities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(10,366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(6,115</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(19,522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(17,239</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Net (decrease) increase in cash and cash equivalents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(54,938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586</w:t>
            </w:r>
          </w:p>
        </w:tc>
        <w:tc>
          <w:tcPr>
            <w:tcW w:w="866" w:type="dxa"/>
            <w:tcBorders/>
            <w:shd w:fill="FFFFFF" w:val="clear"/>
            <w:vAlign w:val="center"/>
          </w:tcPr>
          <w:p>
            <w:pPr>
              <w:pStyle w:val="TableContents"/>
              <w:bidi w:val="0"/>
              <w:spacing w:before="0" w:after="283"/>
              <w:ind w:left="0" w:right="0" w:firstLine="100"/>
              <w:jc w:val="left"/>
              <w:rPr/>
            </w:pPr>
            <w:r>
              <w:rPr/>
              <w:t> </w:t>
            </w:r>
          </w:p>
        </w:tc>
        <w:tc>
          <w:tcPr>
            <w:tcW w:w="8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(69,230</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(158,457</w:t>
            </w:r>
          </w:p>
        </w:tc>
        <w:tc>
          <w:tcPr>
            <w:tcW w:w="12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Effect of exchange rate changes on cash and cash equivalents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40</w:t>
            </w:r>
          </w:p>
        </w:tc>
        <w:tc>
          <w:tcPr>
            <w:tcW w:w="866" w:type="dxa"/>
            <w:tcBorders/>
            <w:shd w:fill="CFF0FC" w:val="clear"/>
            <w:vAlign w:val="center"/>
          </w:tcPr>
          <w:p>
            <w:pPr>
              <w:pStyle w:val="TableContents"/>
              <w:bidi w:val="0"/>
              <w:spacing w:before="0" w:after="283"/>
              <w:ind w:left="0" w:right="0" w:firstLine="100"/>
              <w:jc w:val="left"/>
              <w:rPr/>
            </w:pPr>
            <w:r>
              <w:rPr/>
              <w:t> </w:t>
            </w:r>
          </w:p>
        </w:tc>
        <w:tc>
          <w:tcPr>
            <w:tcW w:w="8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(244</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(213</w:t>
            </w:r>
          </w:p>
        </w:tc>
        <w:tc>
          <w:tcPr>
            <w:tcW w:w="12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Cash and cash equivalents, beginning of period</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132,385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228,202</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146,934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387,498</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7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Cash and cash equivalents, end of period</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77,460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228,828</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846" w:type="dxa"/>
            <w:tcBorders/>
            <w:shd w:fill="CFF0FC" w:val="clear"/>
            <w:vAlign w:val="center"/>
          </w:tcPr>
          <w:p>
            <w:pPr>
              <w:pStyle w:val="TableContents"/>
              <w:bidi w:val="0"/>
              <w:spacing w:before="0" w:after="283"/>
              <w:ind w:left="40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77,460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228,828</w:t>
            </w:r>
          </w:p>
        </w:tc>
        <w:tc>
          <w:tcPr>
            <w:tcW w:w="1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6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ind w:left="0" w:right="0" w:firstLine="100"/>
              <w:jc w:val="lef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1211" w:type="dxa"/>
            <w:tcBorders/>
            <w:shd w:fill="FFFFFF" w:val="clear"/>
            <w:vAlign w:val="center"/>
          </w:tcPr>
          <w:p>
            <w:pPr>
              <w:pStyle w:val="TableContents"/>
              <w:bidi w:val="0"/>
              <w:spacing w:before="0" w:after="283"/>
              <w:ind w:left="0" w:right="0" w:firstLine="400"/>
              <w:jc w:val="left"/>
              <w:rPr/>
            </w:pPr>
            <w:r>
              <w:rPr/>
              <w:t> </w:t>
            </w:r>
          </w:p>
        </w:tc>
      </w:tr>
      <w:tr>
        <w:trPr/>
        <w:tc>
          <w:tcPr>
            <w:tcW w:w="19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Cash paid during the period for:</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6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ind w:left="0" w:right="0" w:firstLine="100"/>
              <w:jc w:val="left"/>
              <w:rPr/>
            </w:pPr>
            <w:r>
              <w:rPr/>
              <w:t> </w:t>
            </w:r>
          </w:p>
        </w:tc>
        <w:tc>
          <w:tcPr>
            <w:tcW w:w="947"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947" w:type="dxa"/>
            <w:gridSpan w:val="2"/>
            <w:tcBorders/>
            <w:shd w:fill="CFF0FC" w:val="clear"/>
            <w:vAlign w:val="center"/>
          </w:tcPr>
          <w:p>
            <w:pPr>
              <w:pStyle w:val="TableContents"/>
              <w:bidi w:val="0"/>
              <w:spacing w:before="0" w:after="283"/>
              <w:ind w:left="100" w:right="0" w:firstLine="100"/>
              <w:jc w:val="left"/>
              <w:rPr/>
            </w:pPr>
            <w:r>
              <w:rPr/>
              <w:t> </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Interest</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3,681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2,898</w:t>
            </w:r>
          </w:p>
        </w:tc>
        <w:tc>
          <w:tcPr>
            <w:tcW w:w="866" w:type="dxa"/>
            <w:tcBorders/>
            <w:shd w:fill="FFFFFF" w:val="clear"/>
            <w:vAlign w:val="center"/>
          </w:tcPr>
          <w:p>
            <w:pPr>
              <w:pStyle w:val="TableContents"/>
              <w:bidi w:val="0"/>
              <w:spacing w:before="0" w:after="283"/>
              <w:ind w:left="0" w:right="0" w:firstLine="400"/>
              <w:jc w:val="left"/>
              <w:rPr/>
            </w:pPr>
            <w:r>
              <w:rPr/>
              <w:t> </w:t>
            </w:r>
          </w:p>
        </w:tc>
        <w:tc>
          <w:tcPr>
            <w:tcW w:w="8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10,772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7,248</w:t>
            </w:r>
          </w:p>
        </w:tc>
        <w:tc>
          <w:tcPr>
            <w:tcW w:w="1211" w:type="dxa"/>
            <w:tcBorders/>
            <w:shd w:fill="FFFFFF" w:val="clear"/>
            <w:vAlign w:val="center"/>
          </w:tcPr>
          <w:p>
            <w:pPr>
              <w:pStyle w:val="TableContents"/>
              <w:bidi w:val="0"/>
              <w:spacing w:before="0" w:after="283"/>
              <w:ind w:left="0" w:right="0" w:firstLine="600"/>
              <w:jc w:val="left"/>
              <w:rPr/>
            </w:pPr>
            <w:r>
              <w:rPr/>
              <w:t> </w:t>
            </w:r>
          </w:p>
        </w:tc>
      </w:tr>
      <w:tr>
        <w:trPr/>
        <w:tc>
          <w:tcPr>
            <w:tcW w:w="197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Income taxes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66" w:type="dxa"/>
            <w:tcBorders/>
            <w:shd w:fill="CFF0FC" w:val="clear"/>
            <w:vAlign w:val="center"/>
          </w:tcPr>
          <w:p>
            <w:pPr>
              <w:pStyle w:val="TableContents"/>
              <w:bidi w:val="0"/>
              <w:spacing w:before="0" w:after="283"/>
              <w:ind w:left="0" w:right="0" w:firstLine="400"/>
              <w:jc w:val="left"/>
              <w:rPr/>
            </w:pPr>
            <w:r>
              <w:rPr/>
              <w:t> </w:t>
            </w:r>
          </w:p>
        </w:tc>
        <w:tc>
          <w:tcPr>
            <w:tcW w:w="8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211" w:type="dxa"/>
            <w:tcBorders/>
            <w:shd w:fill="CFF0FC" w:val="clear"/>
            <w:vAlign w:val="center"/>
          </w:tcPr>
          <w:p>
            <w:pPr>
              <w:pStyle w:val="TableContents"/>
              <w:bidi w:val="0"/>
              <w:spacing w:before="0" w:after="283"/>
              <w:ind w:left="0" w:right="0" w:firstLine="600"/>
              <w:jc w:val="left"/>
              <w:rPr/>
            </w:pPr>
            <w:r>
              <w:rPr/>
              <w:t> </w:t>
            </w:r>
          </w:p>
        </w:tc>
      </w:tr>
      <w:tr>
        <w:trPr/>
        <w:tc>
          <w:tcPr>
            <w:tcW w:w="197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Acquisitions: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66" w:type="dxa"/>
            <w:tcBorders/>
            <w:shd w:fill="FFFFFF" w:val="clear"/>
            <w:vAlign w:val="center"/>
          </w:tcPr>
          <w:p>
            <w:pPr>
              <w:pStyle w:val="TableContents"/>
              <w:bidi w:val="0"/>
              <w:spacing w:before="0" w:after="283"/>
              <w:ind w:left="0" w:right="0" w:firstLine="400"/>
              <w:jc w:val="right"/>
              <w:rPr/>
            </w:pPr>
            <w:r>
              <w:rPr/>
              <w:t> </w:t>
            </w:r>
          </w:p>
        </w:tc>
        <w:tc>
          <w:tcPr>
            <w:tcW w:w="846" w:type="dxa"/>
            <w:tcBorders/>
            <w:shd w:fill="FFFFFF" w:val="clear"/>
            <w:vAlign w:val="center"/>
          </w:tcPr>
          <w:p>
            <w:pPr>
              <w:pStyle w:val="TableContents"/>
              <w:bidi w:val="0"/>
              <w:spacing w:before="0" w:after="283"/>
              <w:ind w:left="400" w:right="0" w:firstLine="4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211" w:type="dxa"/>
            <w:tcBorders/>
            <w:shd w:fill="FFFFFF" w:val="clear"/>
            <w:vAlign w:val="center"/>
          </w:tcPr>
          <w:p>
            <w:pPr>
              <w:pStyle w:val="TableContents"/>
              <w:bidi w:val="0"/>
              <w:spacing w:before="0" w:after="283"/>
              <w:ind w:left="0" w:right="0" w:firstLine="800"/>
              <w:jc w:val="right"/>
              <w:rPr/>
            </w:pPr>
            <w:r>
              <w:rPr/>
              <w:t> </w:t>
            </w:r>
          </w:p>
        </w:tc>
      </w:tr>
      <w:tr>
        <w:trPr/>
        <w:tc>
          <w:tcPr>
            <w:tcW w:w="197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Net assets acquired, net of cash acquired</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52,659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(203</w:t>
            </w:r>
          </w:p>
        </w:tc>
        <w:tc>
          <w:tcPr>
            <w:tcW w:w="86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52,659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97,296</w:t>
            </w:r>
          </w:p>
        </w:tc>
        <w:tc>
          <w:tcPr>
            <w:tcW w:w="1211" w:type="dxa"/>
            <w:tcBorders/>
            <w:shd w:fill="CFF0FC" w:val="clear"/>
            <w:vAlign w:val="center"/>
          </w:tcPr>
          <w:p>
            <w:pPr>
              <w:pStyle w:val="TableContents"/>
              <w:bidi w:val="0"/>
              <w:spacing w:before="0" w:after="283"/>
              <w:ind w:left="0" w:right="0" w:firstLine="800"/>
              <w:jc w:val="left"/>
              <w:rPr/>
            </w:pPr>
            <w:r>
              <w:rPr/>
              <w:t> </w:t>
            </w:r>
          </w:p>
        </w:tc>
      </w:tr>
      <w:tr>
        <w:trPr/>
        <w:tc>
          <w:tcPr>
            <w:tcW w:w="197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Working capital adjustment receivable</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866" w:type="dxa"/>
            <w:tcBorders/>
            <w:shd w:fill="FFFFFF" w:val="clear"/>
            <w:vAlign w:val="center"/>
          </w:tcPr>
          <w:p>
            <w:pPr>
              <w:pStyle w:val="TableContents"/>
              <w:bidi w:val="0"/>
              <w:spacing w:before="0" w:after="283"/>
              <w:ind w:left="0" w:right="0" w:firstLine="100"/>
              <w:jc w:val="left"/>
              <w:rPr/>
            </w:pPr>
            <w:r>
              <w:rPr/>
              <w:t> </w:t>
            </w:r>
          </w:p>
        </w:tc>
        <w:tc>
          <w:tcPr>
            <w:tcW w:w="8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211" w:type="dxa"/>
            <w:tcBorders/>
            <w:shd w:fill="FFFFFF" w:val="clear"/>
            <w:vAlign w:val="center"/>
          </w:tcPr>
          <w:p>
            <w:pPr>
              <w:pStyle w:val="TableContents"/>
              <w:bidi w:val="0"/>
              <w:spacing w:before="0" w:after="283"/>
              <w:ind w:left="0" w:right="0" w:firstLine="800"/>
              <w:jc w:val="left"/>
              <w:rPr/>
            </w:pPr>
            <w:r>
              <w:rPr/>
              <w:t> </w:t>
            </w:r>
          </w:p>
        </w:tc>
      </w:tr>
      <w:tr>
        <w:trPr/>
        <w:tc>
          <w:tcPr>
            <w:tcW w:w="197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Initial cash investment in prior year</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866" w:type="dxa"/>
            <w:tcBorders/>
            <w:shd w:fill="CFF0FC" w:val="clear"/>
            <w:vAlign w:val="center"/>
          </w:tcPr>
          <w:p>
            <w:pPr>
              <w:pStyle w:val="TableContents"/>
              <w:bidi w:val="0"/>
              <w:spacing w:before="0" w:after="283"/>
              <w:ind w:left="0" w:right="0" w:firstLine="100"/>
              <w:jc w:val="left"/>
              <w:rPr/>
            </w:pPr>
            <w:r>
              <w:rPr/>
              <w:t> </w:t>
            </w:r>
          </w:p>
        </w:tc>
        <w:tc>
          <w:tcPr>
            <w:tcW w:w="8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(40,000</w:t>
            </w:r>
          </w:p>
        </w:tc>
        <w:tc>
          <w:tcPr>
            <w:tcW w:w="1211"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Contingent consideration</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(7,800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(7,800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7"/>
              </w:rPr>
            </w:pPr>
            <w:r>
              <w:rPr>
                <w:rFonts w:ascii="Times New Roman" w:hAnsi="Times New Roman"/>
                <w:b w:val="false"/>
                <w:color w:val="000000"/>
                <w:sz w:val="17"/>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(1,000</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b w:val="false"/>
                <w:color w:val="000000"/>
                <w:sz w:val="17"/>
              </w:rPr>
            </w:pPr>
            <w:r>
              <w:rPr>
                <w:rFonts w:ascii="Times New Roman" w:hAnsi="Times New Roman"/>
                <w:b w:val="false"/>
                <w:color w:val="000000"/>
                <w:sz w:val="17"/>
              </w:rPr>
              <w:t>)</w:t>
            </w:r>
          </w:p>
        </w:tc>
      </w:tr>
      <w:tr>
        <w:trPr/>
        <w:tc>
          <w:tcPr>
            <w:tcW w:w="197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Net cash paid for acquisitions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45,023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(203</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c>
          <w:tcPr>
            <w:tcW w:w="846" w:type="dxa"/>
            <w:tcBorders/>
            <w:shd w:fill="CFF0FC" w:val="clear"/>
            <w:vAlign w:val="center"/>
          </w:tcPr>
          <w:p>
            <w:pPr>
              <w:pStyle w:val="TableContents"/>
              <w:bidi w:val="0"/>
              <w:spacing w:before="0" w:after="283"/>
              <w:ind w:left="40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45,023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56,296</w:t>
            </w:r>
          </w:p>
        </w:tc>
        <w:tc>
          <w:tcPr>
            <w:tcW w:w="1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6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ind w:left="0" w:right="0" w:firstLine="100"/>
              <w:jc w:val="lef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1211" w:type="dxa"/>
            <w:tcBorders/>
            <w:shd w:fill="FFFFFF" w:val="clear"/>
            <w:vAlign w:val="center"/>
          </w:tcPr>
          <w:p>
            <w:pPr>
              <w:pStyle w:val="TableContents"/>
              <w:bidi w:val="0"/>
              <w:spacing w:before="0" w:after="283"/>
              <w:ind w:left="0" w:right="0" w:firstLine="400"/>
              <w:jc w:val="left"/>
              <w:rPr/>
            </w:pPr>
            <w:r>
              <w:rPr/>
              <w:t> </w:t>
            </w:r>
          </w:p>
        </w:tc>
      </w:tr>
      <w:tr>
        <w:trPr/>
        <w:tc>
          <w:tcPr>
            <w:tcW w:w="197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Capital expenditures included in accounts payable and accrued expenses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4,504</w:t>
            </w:r>
          </w:p>
        </w:tc>
        <w:tc>
          <w:tcPr>
            <w:tcW w:w="866" w:type="dxa"/>
            <w:tcBorders/>
            <w:shd w:fill="CFF0FC" w:val="clear"/>
            <w:vAlign w:val="center"/>
          </w:tcPr>
          <w:p>
            <w:pPr>
              <w:pStyle w:val="TableContents"/>
              <w:bidi w:val="0"/>
              <w:spacing w:before="0" w:after="283"/>
              <w:ind w:left="0" w:right="0" w:firstLine="400"/>
              <w:jc w:val="left"/>
              <w:rPr/>
            </w:pPr>
            <w:r>
              <w:rPr/>
              <w:t> </w:t>
            </w:r>
          </w:p>
        </w:tc>
        <w:tc>
          <w:tcPr>
            <w:tcW w:w="8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4,504</w:t>
            </w:r>
          </w:p>
        </w:tc>
        <w:tc>
          <w:tcPr>
            <w:tcW w:w="121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disclosure of non-cash financing activities: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6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ind w:left="0" w:right="0" w:firstLine="100"/>
              <w:jc w:val="lef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947" w:type="dxa"/>
            <w:gridSpan w:val="2"/>
            <w:tcBorders/>
            <w:shd w:fill="FFFFFF" w:val="clear"/>
            <w:vAlign w:val="center"/>
          </w:tcPr>
          <w:p>
            <w:pPr>
              <w:pStyle w:val="TableContents"/>
              <w:bidi w:val="0"/>
              <w:spacing w:before="0" w:after="283"/>
              <w:ind w:left="100" w:right="0" w:firstLine="100"/>
              <w:jc w:val="left"/>
              <w:rPr/>
            </w:pPr>
            <w:r>
              <w:rPr/>
              <w:t> </w:t>
            </w:r>
          </w:p>
        </w:tc>
        <w:tc>
          <w:tcPr>
            <w:tcW w:w="1211" w:type="dxa"/>
            <w:tcBorders/>
            <w:shd w:fill="FFFFFF" w:val="clear"/>
            <w:vAlign w:val="center"/>
          </w:tcPr>
          <w:p>
            <w:pPr>
              <w:pStyle w:val="TableContents"/>
              <w:bidi w:val="0"/>
              <w:spacing w:before="0" w:after="283"/>
              <w:ind w:left="0" w:right="0" w:firstLine="400"/>
              <w:jc w:val="left"/>
              <w:rPr/>
            </w:pPr>
            <w:r>
              <w:rPr/>
              <w:t> </w:t>
            </w:r>
          </w:p>
        </w:tc>
      </w:tr>
      <w:tr>
        <w:trPr/>
        <w:tc>
          <w:tcPr>
            <w:tcW w:w="197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17"/>
              </w:rPr>
            </w:pPr>
            <w:r>
              <w:rPr>
                <w:rFonts w:ascii="Times New Roman" w:hAnsi="Times New Roman"/>
                <w:b w:val="false"/>
                <w:color w:val="000000"/>
                <w:sz w:val="17"/>
              </w:rPr>
              <w:t>Unpaid equity offering costs included in accrued expenses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147</w:t>
            </w:r>
          </w:p>
        </w:tc>
        <w:tc>
          <w:tcPr>
            <w:tcW w:w="866" w:type="dxa"/>
            <w:tcBorders/>
            <w:shd w:fill="CFF0FC" w:val="clear"/>
            <w:vAlign w:val="center"/>
          </w:tcPr>
          <w:p>
            <w:pPr>
              <w:pStyle w:val="TableContents"/>
              <w:bidi w:val="0"/>
              <w:spacing w:before="0" w:after="283"/>
              <w:ind w:left="0" w:right="0" w:firstLine="400"/>
              <w:jc w:val="left"/>
              <w:rPr/>
            </w:pPr>
            <w:r>
              <w:rPr/>
              <w:t> </w:t>
            </w:r>
          </w:p>
        </w:tc>
        <w:tc>
          <w:tcPr>
            <w:tcW w:w="8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147</w:t>
            </w:r>
          </w:p>
        </w:tc>
        <w:tc>
          <w:tcPr>
            <w:tcW w:w="12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Reconciliations of Non-GAAP Financial Measures to Closest GAAP Equivalent</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92"/>
        <w:gridCol w:w="240"/>
        <w:gridCol w:w="770"/>
        <w:gridCol w:w="303"/>
        <w:gridCol w:w="280"/>
        <w:gridCol w:w="242"/>
        <w:gridCol w:w="776"/>
        <w:gridCol w:w="1064"/>
        <w:gridCol w:w="1042"/>
        <w:gridCol w:w="238"/>
        <w:gridCol w:w="764"/>
        <w:gridCol w:w="300"/>
        <w:gridCol w:w="278"/>
        <w:gridCol w:w="242"/>
        <w:gridCol w:w="776"/>
        <w:gridCol w:w="498"/>
      </w:tblGrid>
      <w:tr>
        <w:trPr/>
        <w:tc>
          <w:tcPr>
            <w:tcW w:w="23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707" w:type="dxa"/>
            <w:gridSpan w:val="15"/>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Reconciliation of GAAP Operating Cash Flow to Unlevered Free Cash Flow</w:t>
            </w:r>
          </w:p>
        </w:tc>
        <w:tc>
          <w:tcPr>
            <w:tcW w:w="498" w:type="dxa"/>
            <w:tcBorders/>
            <w:shd w:fill="FFFFFF" w:val="clear"/>
            <w:vAlign w:val="center"/>
          </w:tcPr>
          <w:p>
            <w:pPr>
              <w:pStyle w:val="TableContents"/>
              <w:bidi w:val="0"/>
              <w:spacing w:before="0" w:after="283"/>
              <w:jc w:val="center"/>
              <w:rPr/>
            </w:pPr>
            <w:r>
              <w:rPr/>
              <w:t> </w:t>
            </w:r>
          </w:p>
        </w:tc>
      </w:tr>
      <w:tr>
        <w:trPr/>
        <w:tc>
          <w:tcPr>
            <w:tcW w:w="9707" w:type="dxa"/>
            <w:gridSpan w:val="15"/>
            <w:tcBorders/>
            <w:shd w:fill="FFFFFF" w:val="cle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(in thousands; unaudited)</w:t>
            </w:r>
          </w:p>
        </w:tc>
        <w:tc>
          <w:tcPr>
            <w:tcW w:w="498" w:type="dxa"/>
            <w:tcBorders/>
            <w:shd w:fill="FFFFFF" w:val="clear"/>
            <w:vAlign w:val="center"/>
          </w:tcPr>
          <w:p>
            <w:pPr>
              <w:pStyle w:val="TableContents"/>
              <w:bidi w:val="0"/>
              <w:spacing w:before="0" w:after="283"/>
              <w:jc w:val="center"/>
              <w:rPr/>
            </w:pPr>
            <w:r>
              <w:rPr/>
              <w:t> </w:t>
            </w:r>
          </w:p>
        </w:tc>
      </w:tr>
      <w:tr>
        <w:trPr/>
        <w:tc>
          <w:tcPr>
            <w:tcW w:w="2392" w:type="dxa"/>
            <w:tcBorders/>
            <w:shd w:fill="FFFFFF" w:val="clear"/>
            <w:vAlign w:val="center"/>
          </w:tcPr>
          <w:p>
            <w:pPr>
              <w:pStyle w:val="TableContents"/>
              <w:bidi w:val="0"/>
              <w:spacing w:before="0" w:after="283"/>
              <w:jc w:val="center"/>
              <w:rPr/>
            </w:pPr>
            <w:r>
              <w:rPr/>
              <w:t> </w:t>
            </w:r>
          </w:p>
        </w:tc>
        <w:tc>
          <w:tcPr>
            <w:tcW w:w="1010" w:type="dxa"/>
            <w:gridSpan w:val="2"/>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pPr>
            <w:r>
              <w:rPr/>
              <w:t> </w:t>
            </w:r>
          </w:p>
        </w:tc>
        <w:tc>
          <w:tcPr>
            <w:tcW w:w="1042"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300" w:type="dxa"/>
            <w:tcBorders/>
            <w:shd w:fill="FFFFFF" w:val="cle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pPr>
            <w:r>
              <w:rPr/>
              <w:t> </w:t>
            </w:r>
          </w:p>
        </w:tc>
        <w:tc>
          <w:tcPr>
            <w:tcW w:w="498" w:type="dxa"/>
            <w:tcBorders/>
            <w:shd w:fill="FFFFFF" w:val="clear"/>
            <w:vAlign w:val="center"/>
          </w:tcPr>
          <w:p>
            <w:pPr>
              <w:pStyle w:val="TableContents"/>
              <w:bidi w:val="0"/>
              <w:spacing w:before="0" w:after="283"/>
              <w:jc w:val="center"/>
              <w:rPr/>
            </w:pPr>
            <w:r>
              <w:rPr/>
              <w:t> </w:t>
            </w:r>
          </w:p>
        </w:tc>
      </w:tr>
      <w:tr>
        <w:trPr/>
        <w:tc>
          <w:tcPr>
            <w:tcW w:w="2392" w:type="dxa"/>
            <w:tcBorders/>
            <w:shd w:fill="FFFFFF" w:val="clear"/>
            <w:vAlign w:val="center"/>
          </w:tcPr>
          <w:p>
            <w:pPr>
              <w:pStyle w:val="TableContents"/>
              <w:bidi w:val="0"/>
              <w:spacing w:before="0" w:after="283"/>
              <w:jc w:val="left"/>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2" w:type="dxa"/>
            <w:tcBorders/>
            <w:shd w:fill="FFFFFF" w:val="clear"/>
            <w:vAlign w:val="center"/>
          </w:tcPr>
          <w:p>
            <w:pPr>
              <w:pStyle w:val="TableContents"/>
              <w:bidi w:val="0"/>
              <w:spacing w:before="0" w:after="283"/>
              <w:jc w:val="center"/>
              <w:rPr/>
            </w:pPr>
            <w:r>
              <w:rPr/>
              <w:t> </w:t>
            </w:r>
          </w:p>
        </w:tc>
        <w:tc>
          <w:tcPr>
            <w:tcW w:w="25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2"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1064" w:type="dxa"/>
            <w:tcBorders/>
            <w:shd w:fill="FFFFFF" w:val="clear"/>
            <w:vAlign w:val="center"/>
          </w:tcPr>
          <w:p>
            <w:pPr>
              <w:pStyle w:val="TableContents"/>
              <w:bidi w:val="0"/>
              <w:spacing w:before="0" w:after="283"/>
              <w:jc w:val="center"/>
              <w:rPr/>
            </w:pPr>
            <w:r>
              <w:rPr/>
              <w:t> </w:t>
            </w:r>
          </w:p>
        </w:tc>
        <w:tc>
          <w:tcPr>
            <w:tcW w:w="1042"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300" w:type="dxa"/>
            <w:tcBorders/>
            <w:shd w:fill="FFFFFF" w:val="cle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498" w:type="dxa"/>
            <w:tcBorders/>
            <w:shd w:fill="FFFFFF" w:val="clear"/>
            <w:vAlign w:val="center"/>
          </w:tcPr>
          <w:p>
            <w:pPr>
              <w:pStyle w:val="TableContents"/>
              <w:bidi w:val="0"/>
              <w:spacing w:before="0" w:after="283"/>
              <w:jc w:val="center"/>
              <w:rPr/>
            </w:pPr>
            <w:r>
              <w:rPr/>
              <w:t> </w:t>
            </w:r>
          </w:p>
        </w:tc>
      </w:tr>
      <w:tr>
        <w:trPr/>
        <w:tc>
          <w:tcPr>
            <w:tcW w:w="2392"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2" w:type="dxa"/>
            <w:tcBorders/>
            <w:shd w:fill="FFFFFF" w:val="cle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from operating activities</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9,487</w:t>
            </w:r>
          </w:p>
        </w:tc>
        <w:tc>
          <w:tcPr>
            <w:tcW w:w="303" w:type="dxa"/>
            <w:tcBorders/>
            <w:shd w:fill="FFFFFF" w:val="clear"/>
            <w:vAlign w:val="center"/>
          </w:tcPr>
          <w:p>
            <w:pPr>
              <w:pStyle w:val="TableContents"/>
              <w:bidi w:val="0"/>
              <w:spacing w:before="0" w:after="283"/>
              <w:ind w:left="0" w:right="0" w:firstLine="100"/>
              <w:jc w:val="left"/>
              <w:rPr/>
            </w:pPr>
            <w:r>
              <w:rPr/>
              <w:t> </w:t>
            </w:r>
          </w:p>
        </w:tc>
        <w:tc>
          <w:tcPr>
            <w:tcW w:w="280" w:type="dxa"/>
            <w:tcBorders/>
            <w:shd w:fill="FFFFFF" w:val="clear"/>
            <w:vAlign w:val="center"/>
          </w:tcPr>
          <w:p>
            <w:pPr>
              <w:pStyle w:val="TableContents"/>
              <w:bidi w:val="0"/>
              <w:spacing w:before="0" w:after="283"/>
              <w:ind w:left="100" w:right="0" w:firstLine="100"/>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10,685</w:t>
            </w:r>
          </w:p>
        </w:tc>
        <w:tc>
          <w:tcPr>
            <w:tcW w:w="1064" w:type="dxa"/>
            <w:tcBorders/>
            <w:shd w:fill="FFFFFF" w:val="clear"/>
            <w:vAlign w:val="center"/>
          </w:tcPr>
          <w:p>
            <w:pPr>
              <w:pStyle w:val="TableContents"/>
              <w:bidi w:val="0"/>
              <w:spacing w:before="0" w:after="283"/>
              <w:ind w:left="0" w:right="0" w:firstLine="100"/>
              <w:jc w:val="left"/>
              <w:rPr/>
            </w:pPr>
            <w:r>
              <w:rPr/>
              <w:t> </w:t>
            </w:r>
          </w:p>
        </w:tc>
        <w:tc>
          <w:tcPr>
            <w:tcW w:w="1042" w:type="dxa"/>
            <w:tcBorders/>
            <w:shd w:fill="FFFFFF" w:val="clear"/>
            <w:vAlign w:val="center"/>
          </w:tcPr>
          <w:p>
            <w:pPr>
              <w:pStyle w:val="TableContents"/>
              <w:bidi w:val="0"/>
              <w:spacing w:before="0" w:after="283"/>
              <w:ind w:left="100" w:right="0" w:firstLine="100"/>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36,481</w:t>
            </w:r>
          </w:p>
        </w:tc>
        <w:tc>
          <w:tcPr>
            <w:tcW w:w="300" w:type="dxa"/>
            <w:tcBorders/>
            <w:shd w:fill="FFFFFF" w:val="clear"/>
            <w:vAlign w:val="center"/>
          </w:tcPr>
          <w:p>
            <w:pPr>
              <w:pStyle w:val="TableContents"/>
              <w:bidi w:val="0"/>
              <w:spacing w:before="0" w:after="283"/>
              <w:ind w:left="0" w:right="0" w:firstLine="100"/>
              <w:jc w:val="left"/>
              <w:rPr/>
            </w:pPr>
            <w:r>
              <w:rPr/>
              <w:t> </w:t>
            </w:r>
          </w:p>
        </w:tc>
        <w:tc>
          <w:tcPr>
            <w:tcW w:w="278" w:type="dxa"/>
            <w:tcBorders/>
            <w:shd w:fill="FFFFFF" w:val="clear"/>
            <w:vAlign w:val="center"/>
          </w:tcPr>
          <w:p>
            <w:pPr>
              <w:pStyle w:val="TableContents"/>
              <w:bidi w:val="0"/>
              <w:spacing w:before="0" w:after="283"/>
              <w:ind w:left="100" w:right="0" w:firstLine="100"/>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39,799</w:t>
            </w:r>
          </w:p>
        </w:tc>
        <w:tc>
          <w:tcPr>
            <w:tcW w:w="498" w:type="dxa"/>
            <w:tcBorders/>
            <w:shd w:fill="FFFFFF" w:val="clear"/>
            <w:vAlign w:val="center"/>
          </w:tcPr>
          <w:p>
            <w:pPr>
              <w:pStyle w:val="TableContents"/>
              <w:bidi w:val="0"/>
              <w:spacing w:before="0" w:after="283"/>
              <w:ind w:left="0" w:right="0" w:firstLine="100"/>
              <w:jc w:val="left"/>
              <w:rPr/>
            </w:pPr>
            <w:r>
              <w:rPr/>
              <w:t> </w:t>
            </w:r>
          </w:p>
        </w:tc>
      </w:tr>
      <w:tr>
        <w:trPr/>
        <w:tc>
          <w:tcPr>
            <w:tcW w:w="239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Purchases of property, equipment, and other assets</w:t>
            </w:r>
          </w:p>
        </w:tc>
        <w:tc>
          <w:tcPr>
            <w:tcW w:w="240"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w:t>
            </w:r>
          </w:p>
        </w:tc>
        <w:tc>
          <w:tcPr>
            <w:tcW w:w="30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80" w:type="dxa"/>
            <w:tcBorders/>
            <w:shd w:fill="CFF0FC" w:val="clear"/>
            <w:vAlign w:val="center"/>
          </w:tcPr>
          <w:p>
            <w:pPr>
              <w:pStyle w:val="TableContents"/>
              <w:bidi w:val="0"/>
              <w:spacing w:before="0" w:after="283"/>
              <w:ind w:left="100" w:right="0" w:firstLine="100"/>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(1,878</w:t>
            </w:r>
          </w:p>
        </w:tc>
        <w:tc>
          <w:tcPr>
            <w:tcW w:w="1064" w:type="dxa"/>
            <w:tcBorders/>
            <w:shd w:fill="CFF0FC" w:val="clear"/>
            <w:vAlign w:val="center"/>
          </w:tcPr>
          <w:p>
            <w:pPr>
              <w:pStyle w:val="TableContents"/>
              <w:bidi w:val="0"/>
              <w:spacing w:before="0" w:after="283"/>
              <w:ind w:left="0" w:right="0" w:firstLine="800"/>
              <w:jc w:val="left"/>
              <w:rPr>
                <w:rFonts w:ascii="Times New Roman" w:hAnsi="Times New Roman"/>
                <w:b w:val="false"/>
                <w:color w:val="000000"/>
                <w:sz w:val="20"/>
              </w:rPr>
            </w:pPr>
            <w:r>
              <w:rPr>
                <w:rFonts w:ascii="Times New Roman" w:hAnsi="Times New Roman"/>
                <w:b w:val="false"/>
                <w:color w:val="000000"/>
                <w:sz w:val="20"/>
              </w:rPr>
              <w:t>)</w:t>
            </w:r>
          </w:p>
        </w:tc>
        <w:tc>
          <w:tcPr>
            <w:tcW w:w="1042" w:type="dxa"/>
            <w:tcBorders/>
            <w:shd w:fill="CFF0FC" w:val="clear"/>
            <w:vAlign w:val="center"/>
          </w:tcPr>
          <w:p>
            <w:pPr>
              <w:pStyle w:val="TableContents"/>
              <w:bidi w:val="0"/>
              <w:spacing w:before="0" w:after="283"/>
              <w:ind w:left="800" w:right="0" w:firstLine="800"/>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(2,383</w:t>
            </w:r>
          </w:p>
        </w:tc>
        <w:tc>
          <w:tcPr>
            <w:tcW w:w="300"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shd w:fill="CFF0FC" w:val="clear"/>
            <w:vAlign w:val="center"/>
          </w:tcPr>
          <w:p>
            <w:pPr>
              <w:pStyle w:val="TableContents"/>
              <w:bidi w:val="0"/>
              <w:spacing w:before="0" w:after="283"/>
              <w:ind w:left="100" w:right="0" w:firstLine="100"/>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(3,455</w:t>
            </w:r>
          </w:p>
        </w:tc>
        <w:tc>
          <w:tcPr>
            <w:tcW w:w="498"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9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paid in cash</w:t>
            </w:r>
          </w:p>
        </w:tc>
        <w:tc>
          <w:tcPr>
            <w:tcW w:w="2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3,681</w:t>
            </w:r>
          </w:p>
        </w:tc>
        <w:tc>
          <w:tcPr>
            <w:tcW w:w="303" w:type="dxa"/>
            <w:tcBorders/>
            <w:shd w:fill="FFFFFF" w:val="clear"/>
            <w:vAlign w:val="center"/>
          </w:tcPr>
          <w:p>
            <w:pPr>
              <w:pStyle w:val="TableContents"/>
              <w:bidi w:val="0"/>
              <w:spacing w:before="0" w:after="283"/>
              <w:ind w:left="0" w:right="0" w:firstLine="100"/>
              <w:jc w:val="left"/>
              <w:rPr/>
            </w:pPr>
            <w:r>
              <w:rPr/>
              <w:t> </w:t>
            </w:r>
          </w:p>
        </w:tc>
        <w:tc>
          <w:tcPr>
            <w:tcW w:w="280" w:type="dxa"/>
            <w:tcBorders/>
            <w:shd w:fill="FFFFFF" w:val="clear"/>
            <w:vAlign w:val="center"/>
          </w:tcPr>
          <w:p>
            <w:pPr>
              <w:pStyle w:val="TableContents"/>
              <w:bidi w:val="0"/>
              <w:spacing w:before="0" w:after="283"/>
              <w:ind w:left="100" w:right="0" w:firstLine="100"/>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2,898</w:t>
            </w:r>
          </w:p>
        </w:tc>
        <w:tc>
          <w:tcPr>
            <w:tcW w:w="1064" w:type="dxa"/>
            <w:tcBorders/>
            <w:shd w:fill="FFFFFF" w:val="clear"/>
            <w:vAlign w:val="center"/>
          </w:tcPr>
          <w:p>
            <w:pPr>
              <w:pStyle w:val="TableContents"/>
              <w:bidi w:val="0"/>
              <w:spacing w:before="0" w:after="283"/>
              <w:ind w:left="0" w:right="0" w:firstLine="800"/>
              <w:jc w:val="left"/>
              <w:rPr/>
            </w:pPr>
            <w:r>
              <w:rPr/>
              <w:t> </w:t>
            </w:r>
          </w:p>
        </w:tc>
        <w:tc>
          <w:tcPr>
            <w:tcW w:w="1042" w:type="dxa"/>
            <w:tcBorders/>
            <w:shd w:fill="FFFFFF" w:val="clear"/>
            <w:vAlign w:val="center"/>
          </w:tcPr>
          <w:p>
            <w:pPr>
              <w:pStyle w:val="TableContents"/>
              <w:bidi w:val="0"/>
              <w:spacing w:before="0" w:after="283"/>
              <w:ind w:left="800" w:right="0" w:firstLine="800"/>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10,772</w:t>
            </w:r>
          </w:p>
        </w:tc>
        <w:tc>
          <w:tcPr>
            <w:tcW w:w="300" w:type="dxa"/>
            <w:tcBorders/>
            <w:shd w:fill="FFFFFF" w:val="clear"/>
            <w:vAlign w:val="center"/>
          </w:tcPr>
          <w:p>
            <w:pPr>
              <w:pStyle w:val="TableContents"/>
              <w:bidi w:val="0"/>
              <w:spacing w:before="0" w:after="283"/>
              <w:ind w:left="0" w:right="0" w:firstLine="100"/>
              <w:jc w:val="left"/>
              <w:rPr/>
            </w:pPr>
            <w:r>
              <w:rPr/>
              <w:t> </w:t>
            </w:r>
          </w:p>
        </w:tc>
        <w:tc>
          <w:tcPr>
            <w:tcW w:w="278" w:type="dxa"/>
            <w:tcBorders/>
            <w:shd w:fill="FFFFFF" w:val="clear"/>
            <w:vAlign w:val="center"/>
          </w:tcPr>
          <w:p>
            <w:pPr>
              <w:pStyle w:val="TableContents"/>
              <w:bidi w:val="0"/>
              <w:spacing w:before="0" w:after="283"/>
              <w:ind w:left="100" w:right="0" w:firstLine="100"/>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7,248</w:t>
            </w:r>
          </w:p>
        </w:tc>
        <w:tc>
          <w:tcPr>
            <w:tcW w:w="498" w:type="dxa"/>
            <w:tcBorders/>
            <w:shd w:fill="FFFFFF" w:val="clear"/>
            <w:vAlign w:val="center"/>
          </w:tcPr>
          <w:p>
            <w:pPr>
              <w:pStyle w:val="TableContents"/>
              <w:bidi w:val="0"/>
              <w:spacing w:before="0" w:after="283"/>
              <w:ind w:left="0" w:right="0" w:firstLine="100"/>
              <w:jc w:val="left"/>
              <w:rPr/>
            </w:pPr>
            <w:r>
              <w:rPr/>
              <w:t> </w:t>
            </w:r>
          </w:p>
        </w:tc>
      </w:tr>
      <w:tr>
        <w:trPr/>
        <w:tc>
          <w:tcPr>
            <w:tcW w:w="2392"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Transaction, integration, and restructuring expenses paid in cash</w:t>
            </w:r>
            <w:r>
              <w:rPr>
                <w:rFonts w:ascii="Times New Roman" w:hAnsi="Times New Roman"/>
                <w:color w:val="000000"/>
                <w:sz w:val="20"/>
              </w:rPr>
              <w:t> </w:t>
            </w:r>
            <w:r>
              <w:rPr>
                <w:rFonts w:ascii="Times New Roman" w:hAnsi="Times New Roman"/>
                <w:b w:val="false"/>
                <w:color w:val="000000"/>
                <w:sz w:val="13"/>
              </w:rPr>
              <w:t>(a)</w:t>
            </w:r>
          </w:p>
        </w:tc>
        <w:tc>
          <w:tcPr>
            <w:tcW w:w="240"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3,648</w:t>
            </w:r>
          </w:p>
        </w:tc>
        <w:tc>
          <w:tcPr>
            <w:tcW w:w="303" w:type="dxa"/>
            <w:tcBorders/>
            <w:shd w:fill="CFF0FC" w:val="clear"/>
            <w:vAlign w:val="center"/>
          </w:tcPr>
          <w:p>
            <w:pPr>
              <w:pStyle w:val="TableContents"/>
              <w:bidi w:val="0"/>
              <w:spacing w:before="0" w:after="283"/>
              <w:ind w:left="0" w:right="0" w:firstLine="100"/>
              <w:jc w:val="left"/>
              <w:rPr/>
            </w:pPr>
            <w:r>
              <w:rPr/>
              <w:t> </w:t>
            </w:r>
          </w:p>
        </w:tc>
        <w:tc>
          <w:tcPr>
            <w:tcW w:w="280" w:type="dxa"/>
            <w:tcBorders/>
            <w:shd w:fill="CFF0FC" w:val="clear"/>
            <w:vAlign w:val="center"/>
          </w:tcPr>
          <w:p>
            <w:pPr>
              <w:pStyle w:val="TableContents"/>
              <w:bidi w:val="0"/>
              <w:spacing w:before="0" w:after="283"/>
              <w:ind w:left="100" w:right="0" w:firstLine="100"/>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3,249</w:t>
            </w:r>
          </w:p>
        </w:tc>
        <w:tc>
          <w:tcPr>
            <w:tcW w:w="1064" w:type="dxa"/>
            <w:tcBorders/>
            <w:shd w:fill="CFF0FC" w:val="clear"/>
            <w:vAlign w:val="center"/>
          </w:tcPr>
          <w:p>
            <w:pPr>
              <w:pStyle w:val="TableContents"/>
              <w:bidi w:val="0"/>
              <w:spacing w:before="0" w:after="283"/>
              <w:ind w:left="0" w:right="0" w:firstLine="800"/>
              <w:jc w:val="left"/>
              <w:rPr/>
            </w:pPr>
            <w:r>
              <w:rPr/>
              <w:t> </w:t>
            </w:r>
          </w:p>
        </w:tc>
        <w:tc>
          <w:tcPr>
            <w:tcW w:w="1042" w:type="dxa"/>
            <w:tcBorders/>
            <w:shd w:fill="CFF0FC" w:val="clear"/>
            <w:vAlign w:val="center"/>
          </w:tcPr>
          <w:p>
            <w:pPr>
              <w:pStyle w:val="TableContents"/>
              <w:bidi w:val="0"/>
              <w:spacing w:before="0" w:after="283"/>
              <w:ind w:left="800" w:right="0" w:firstLine="800"/>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9,511</w:t>
            </w:r>
          </w:p>
        </w:tc>
        <w:tc>
          <w:tcPr>
            <w:tcW w:w="300" w:type="dxa"/>
            <w:tcBorders/>
            <w:shd w:fill="CFF0FC" w:val="clear"/>
            <w:vAlign w:val="center"/>
          </w:tcPr>
          <w:p>
            <w:pPr>
              <w:pStyle w:val="TableContents"/>
              <w:bidi w:val="0"/>
              <w:spacing w:before="0" w:after="283"/>
              <w:ind w:left="0" w:right="0" w:firstLine="100"/>
              <w:jc w:val="left"/>
              <w:rPr/>
            </w:pPr>
            <w:r>
              <w:rPr/>
              <w:t> </w:t>
            </w:r>
          </w:p>
        </w:tc>
        <w:tc>
          <w:tcPr>
            <w:tcW w:w="278" w:type="dxa"/>
            <w:tcBorders/>
            <w:shd w:fill="CFF0FC" w:val="clear"/>
            <w:vAlign w:val="center"/>
          </w:tcPr>
          <w:p>
            <w:pPr>
              <w:pStyle w:val="TableContents"/>
              <w:bidi w:val="0"/>
              <w:spacing w:before="0" w:after="283"/>
              <w:ind w:left="100" w:right="0" w:firstLine="100"/>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5,744</w:t>
            </w:r>
          </w:p>
        </w:tc>
        <w:tc>
          <w:tcPr>
            <w:tcW w:w="498" w:type="dxa"/>
            <w:tcBorders/>
            <w:shd w:fill="CFF0FC" w:val="clear"/>
            <w:vAlign w:val="center"/>
          </w:tcPr>
          <w:p>
            <w:pPr>
              <w:pStyle w:val="TableContents"/>
              <w:bidi w:val="0"/>
              <w:spacing w:before="0" w:after="283"/>
              <w:ind w:left="0" w:right="0" w:firstLine="100"/>
              <w:jc w:val="left"/>
              <w:rPr/>
            </w:pPr>
            <w:r>
              <w:rPr/>
              <w:t> </w:t>
            </w:r>
          </w:p>
        </w:tc>
      </w:tr>
      <w:tr>
        <w:trPr/>
        <w:tc>
          <w:tcPr>
            <w:tcW w:w="2392"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Earnout payment </w:t>
            </w:r>
            <w:r>
              <w:rPr>
                <w:rFonts w:ascii="Times New Roman" w:hAnsi="Times New Roman"/>
                <w:b w:val="false"/>
                <w:color w:val="000000"/>
                <w:sz w:val="13"/>
              </w:rPr>
              <w:t>(b)</w:t>
            </w:r>
          </w:p>
        </w:tc>
        <w:tc>
          <w:tcPr>
            <w:tcW w:w="2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color w:val="000000"/>
              </w:rPr>
            </w:pPr>
            <w:r>
              <w:rPr>
                <w:color w:val="000000"/>
              </w:rPr>
              <w:t>—</w:t>
            </w:r>
          </w:p>
        </w:tc>
        <w:tc>
          <w:tcPr>
            <w:tcW w:w="303" w:type="dxa"/>
            <w:tcBorders/>
            <w:shd w:fill="FFFFFF" w:val="clear"/>
            <w:vAlign w:val="center"/>
          </w:tcPr>
          <w:p>
            <w:pPr>
              <w:pStyle w:val="TableContents"/>
              <w:bidi w:val="0"/>
              <w:spacing w:before="0" w:after="283"/>
              <w:ind w:left="0" w:right="0" w:firstLine="100"/>
              <w:jc w:val="left"/>
              <w:rPr/>
            </w:pPr>
            <w:r>
              <w:rPr/>
              <w:t> </w:t>
            </w:r>
          </w:p>
        </w:tc>
        <w:tc>
          <w:tcPr>
            <w:tcW w:w="280" w:type="dxa"/>
            <w:tcBorders/>
            <w:shd w:fill="FFFFFF" w:val="clear"/>
            <w:vAlign w:val="center"/>
          </w:tcPr>
          <w:p>
            <w:pPr>
              <w:pStyle w:val="TableContents"/>
              <w:bidi w:val="0"/>
              <w:spacing w:before="0" w:after="283"/>
              <w:ind w:left="100" w:right="0" w:firstLine="100"/>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color w:val="000000"/>
              </w:rPr>
            </w:pPr>
            <w:r>
              <w:rPr>
                <w:color w:val="000000"/>
              </w:rPr>
              <w:t>—</w:t>
            </w:r>
          </w:p>
        </w:tc>
        <w:tc>
          <w:tcPr>
            <w:tcW w:w="1064" w:type="dxa"/>
            <w:tcBorders/>
            <w:shd w:fill="FFFFFF" w:val="clear"/>
            <w:vAlign w:val="center"/>
          </w:tcPr>
          <w:p>
            <w:pPr>
              <w:pStyle w:val="TableContents"/>
              <w:bidi w:val="0"/>
              <w:spacing w:before="0" w:after="283"/>
              <w:ind w:left="0" w:right="0" w:firstLine="800"/>
              <w:jc w:val="left"/>
              <w:rPr/>
            </w:pPr>
            <w:r>
              <w:rPr/>
              <w:t> </w:t>
            </w:r>
          </w:p>
        </w:tc>
        <w:tc>
          <w:tcPr>
            <w:tcW w:w="1042" w:type="dxa"/>
            <w:tcBorders/>
            <w:shd w:fill="FFFFFF" w:val="clear"/>
            <w:vAlign w:val="center"/>
          </w:tcPr>
          <w:p>
            <w:pPr>
              <w:pStyle w:val="TableContents"/>
              <w:bidi w:val="0"/>
              <w:spacing w:before="0" w:after="283"/>
              <w:ind w:left="800" w:right="0" w:firstLine="800"/>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color w:val="000000"/>
              </w:rPr>
            </w:pPr>
            <w:r>
              <w:rPr>
                <w:color w:val="000000"/>
              </w:rPr>
              <w:t>—</w:t>
            </w:r>
          </w:p>
        </w:tc>
        <w:tc>
          <w:tcPr>
            <w:tcW w:w="300" w:type="dxa"/>
            <w:tcBorders/>
            <w:shd w:fill="FFFFFF" w:val="clear"/>
            <w:vAlign w:val="center"/>
          </w:tcPr>
          <w:p>
            <w:pPr>
              <w:pStyle w:val="TableContents"/>
              <w:bidi w:val="0"/>
              <w:spacing w:before="0" w:after="283"/>
              <w:ind w:left="0" w:right="0" w:firstLine="100"/>
              <w:jc w:val="left"/>
              <w:rPr/>
            </w:pPr>
            <w:r>
              <w:rPr/>
              <w:t> </w:t>
            </w:r>
          </w:p>
        </w:tc>
        <w:tc>
          <w:tcPr>
            <w:tcW w:w="278" w:type="dxa"/>
            <w:tcBorders/>
            <w:shd w:fill="FFFFFF" w:val="clear"/>
            <w:vAlign w:val="center"/>
          </w:tcPr>
          <w:p>
            <w:pPr>
              <w:pStyle w:val="TableContents"/>
              <w:bidi w:val="0"/>
              <w:spacing w:before="0" w:after="283"/>
              <w:ind w:left="100" w:right="0" w:firstLine="100"/>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6,400</w:t>
            </w:r>
          </w:p>
        </w:tc>
        <w:tc>
          <w:tcPr>
            <w:tcW w:w="498" w:type="dxa"/>
            <w:tcBorders/>
            <w:shd w:fill="FFFFFF" w:val="clear"/>
            <w:vAlign w:val="center"/>
          </w:tcPr>
          <w:p>
            <w:pPr>
              <w:pStyle w:val="TableContents"/>
              <w:bidi w:val="0"/>
              <w:spacing w:before="0" w:after="283"/>
              <w:ind w:left="0" w:right="0" w:firstLine="100"/>
              <w:jc w:val="left"/>
              <w:rPr/>
            </w:pPr>
            <w:r>
              <w:rPr/>
              <w:t> </w:t>
            </w:r>
          </w:p>
        </w:tc>
      </w:tr>
      <w:tr>
        <w:trPr/>
        <w:tc>
          <w:tcPr>
            <w:tcW w:w="2392"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Other non-recurring items </w:t>
            </w:r>
            <w:r>
              <w:rPr>
                <w:rFonts w:ascii="Times New Roman" w:hAnsi="Times New Roman"/>
                <w:b w:val="false"/>
                <w:color w:val="000000"/>
                <w:sz w:val="13"/>
              </w:rPr>
              <w:t>(c)</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0" w:type="dxa"/>
            <w:tcBorders/>
            <w:shd w:fill="CFF0FC" w:val="clear"/>
            <w:vAlign w:val="center"/>
          </w:tcPr>
          <w:p>
            <w:pPr>
              <w:pStyle w:val="TableContents"/>
              <w:bidi w:val="0"/>
              <w:spacing w:before="0" w:after="283"/>
              <w:ind w:left="100" w:right="0" w:firstLine="100"/>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1,178</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c>
          <w:tcPr>
            <w:tcW w:w="1042" w:type="dxa"/>
            <w:tcBorders/>
            <w:shd w:fill="CFF0FC" w:val="clear"/>
            <w:vAlign w:val="center"/>
          </w:tcPr>
          <w:p>
            <w:pPr>
              <w:pStyle w:val="TableContents"/>
              <w:bidi w:val="0"/>
              <w:spacing w:before="0" w:after="283"/>
              <w:ind w:left="800" w:right="0" w:firstLine="800"/>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8" w:type="dxa"/>
            <w:tcBorders/>
            <w:shd w:fill="CFF0FC" w:val="clear"/>
            <w:vAlign w:val="center"/>
          </w:tcPr>
          <w:p>
            <w:pPr>
              <w:pStyle w:val="TableContents"/>
              <w:bidi w:val="0"/>
              <w:spacing w:before="0" w:after="283"/>
              <w:ind w:left="100" w:right="0" w:firstLine="100"/>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4,614</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92"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Unlevered Free Cash Flow</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17,707</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0" w:type="dxa"/>
            <w:tcBorders/>
            <w:shd w:fill="FFFFFF" w:val="clear"/>
            <w:vAlign w:val="center"/>
          </w:tcPr>
          <w:p>
            <w:pPr>
              <w:pStyle w:val="TableContents"/>
              <w:bidi w:val="0"/>
              <w:spacing w:before="0" w:after="283"/>
              <w:ind w:left="100" w:right="0" w:firstLine="100"/>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16,132</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042" w:type="dxa"/>
            <w:tcBorders/>
            <w:shd w:fill="FFFFFF" w:val="clear"/>
            <w:vAlign w:val="center"/>
          </w:tcPr>
          <w:p>
            <w:pPr>
              <w:pStyle w:val="TableContents"/>
              <w:bidi w:val="0"/>
              <w:spacing w:before="0" w:after="283"/>
              <w:ind w:left="100" w:right="0" w:firstLine="100"/>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57,453</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8" w:type="dxa"/>
            <w:tcBorders/>
            <w:shd w:fill="FFFFFF" w:val="clear"/>
            <w:vAlign w:val="center"/>
          </w:tcPr>
          <w:p>
            <w:pPr>
              <w:pStyle w:val="TableContents"/>
              <w:bidi w:val="0"/>
              <w:spacing w:before="0" w:after="283"/>
              <w:ind w:left="100" w:right="0" w:firstLine="100"/>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60,350</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2"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18" w:type="dxa"/>
            <w:gridSpan w:val="2"/>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018" w:type="dxa"/>
            <w:gridSpan w:val="2"/>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r>
        <w:trPr/>
        <w:tc>
          <w:tcPr>
            <w:tcW w:w="9707" w:type="dxa"/>
            <w:gridSpan w:val="15"/>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Transaction and integration expenses paid in cash primarily represent legal, accounting, and consulting expenses related to our acquisitions. Restructuring expenses paid in cash relate to our restructuring plans announced in the first and third quarters of 2023 and exit costs related to office relocations.</w:t>
              <w:br/>
              <w:t xml:space="preserve">(b) Earnout payment represents final settlement of contingent consideration included in cash flow from operations. </w:t>
              <w:br/>
              <w:t>(c) Non-recurring items represent expenses driven by events that are typically by nature one-time, non-operational, and unrelated to our core operations.</w:t>
            </w:r>
          </w:p>
        </w:tc>
        <w:tc>
          <w:tcPr>
            <w:tcW w:w="498"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376"/>
        <w:gridCol w:w="211"/>
        <w:gridCol w:w="1142"/>
        <w:gridCol w:w="266"/>
        <w:gridCol w:w="246"/>
        <w:gridCol w:w="211"/>
        <w:gridCol w:w="1142"/>
        <w:gridCol w:w="947"/>
        <w:gridCol w:w="947"/>
        <w:gridCol w:w="211"/>
        <w:gridCol w:w="1142"/>
        <w:gridCol w:w="246"/>
        <w:gridCol w:w="246"/>
        <w:gridCol w:w="211"/>
        <w:gridCol w:w="1142"/>
        <w:gridCol w:w="519"/>
      </w:tblGrid>
      <w:tr>
        <w:trPr/>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9686" w:type="dxa"/>
            <w:gridSpan w:val="15"/>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Reconciliation of GAAP Net Loss to Adjusted Net Income and</w:t>
            </w:r>
          </w:p>
        </w:tc>
        <w:tc>
          <w:tcPr>
            <w:tcW w:w="519" w:type="dxa"/>
            <w:tcBorders/>
            <w:shd w:fill="FFFFFF" w:val="clear"/>
            <w:vAlign w:val="center"/>
          </w:tcPr>
          <w:p>
            <w:pPr>
              <w:pStyle w:val="TableContents"/>
              <w:bidi w:val="0"/>
              <w:spacing w:before="0" w:after="283"/>
              <w:jc w:val="center"/>
              <w:rPr/>
            </w:pPr>
            <w:r>
              <w:rPr/>
              <w:t> </w:t>
            </w:r>
          </w:p>
        </w:tc>
      </w:tr>
      <w:tr>
        <w:trPr/>
        <w:tc>
          <w:tcPr>
            <w:tcW w:w="9686" w:type="dxa"/>
            <w:gridSpan w:val="15"/>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GAAP Operating Loss to Adjusted Operating Income</w:t>
            </w:r>
          </w:p>
        </w:tc>
        <w:tc>
          <w:tcPr>
            <w:tcW w:w="519" w:type="dxa"/>
            <w:tcBorders/>
            <w:shd w:fill="FFFFFF" w:val="clear"/>
            <w:vAlign w:val="center"/>
          </w:tcPr>
          <w:p>
            <w:pPr>
              <w:pStyle w:val="TableContents"/>
              <w:bidi w:val="0"/>
              <w:spacing w:before="0" w:after="283"/>
              <w:jc w:val="center"/>
              <w:rPr/>
            </w:pPr>
            <w:r>
              <w:rPr/>
              <w:t> </w:t>
            </w:r>
          </w:p>
        </w:tc>
      </w:tr>
      <w:tr>
        <w:trPr/>
        <w:tc>
          <w:tcPr>
            <w:tcW w:w="9686" w:type="dxa"/>
            <w:gridSpan w:val="15"/>
            <w:tcBorders/>
            <w:shd w:fill="FFFFFF" w:val="cle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(in thousands, except per share amounts; unaudited)</w:t>
            </w:r>
          </w:p>
        </w:tc>
        <w:tc>
          <w:tcPr>
            <w:tcW w:w="519" w:type="dxa"/>
            <w:tcBorders/>
            <w:shd w:fill="FFFFFF" w:val="clear"/>
            <w:vAlign w:val="center"/>
          </w:tcPr>
          <w:p>
            <w:pPr>
              <w:pStyle w:val="TableContents"/>
              <w:bidi w:val="0"/>
              <w:spacing w:before="0" w:after="283"/>
              <w:jc w:val="center"/>
              <w:rPr/>
            </w:pPr>
            <w:r>
              <w:rPr/>
              <w:t> </w:t>
            </w:r>
          </w:p>
        </w:tc>
      </w:tr>
      <w:tr>
        <w:trPr/>
        <w:tc>
          <w:tcPr>
            <w:tcW w:w="1376" w:type="dxa"/>
            <w:tcBorders/>
            <w:shd w:fill="FFFFFF" w:val="clear"/>
            <w:vAlign w:val="center"/>
          </w:tcPr>
          <w:p>
            <w:pPr>
              <w:pStyle w:val="TableContents"/>
              <w:bidi w:val="0"/>
              <w:spacing w:before="0" w:after="283"/>
              <w:jc w:val="center"/>
              <w:rPr/>
            </w:pPr>
            <w:r>
              <w:rPr/>
              <w:t> </w:t>
            </w:r>
          </w:p>
        </w:tc>
        <w:tc>
          <w:tcPr>
            <w:tcW w:w="1353"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3" w:type="dxa"/>
            <w:gridSpan w:val="2"/>
            <w:tcBorders/>
            <w:shd w:fill="FFFFFF" w:val="clear"/>
            <w:vAlign w:val="center"/>
          </w:tcPr>
          <w:p>
            <w:pPr>
              <w:pStyle w:val="TableContents"/>
              <w:bidi w:val="0"/>
              <w:spacing w:before="0" w:after="283"/>
              <w:jc w:val="center"/>
              <w:rPr/>
            </w:pPr>
            <w:r>
              <w:rPr/>
              <w:t> </w:t>
            </w:r>
          </w:p>
        </w:tc>
        <w:tc>
          <w:tcPr>
            <w:tcW w:w="947" w:type="dxa"/>
            <w:tcBorders/>
            <w:shd w:fill="FFFFFF" w:val="clear"/>
            <w:vAlign w:val="center"/>
          </w:tcPr>
          <w:p>
            <w:pPr>
              <w:pStyle w:val="TableContents"/>
              <w:bidi w:val="0"/>
              <w:spacing w:before="0" w:after="283"/>
              <w:jc w:val="center"/>
              <w:rPr/>
            </w:pPr>
            <w:r>
              <w:rPr/>
              <w:t> </w:t>
            </w:r>
          </w:p>
        </w:tc>
        <w:tc>
          <w:tcPr>
            <w:tcW w:w="947" w:type="dxa"/>
            <w:tcBorders/>
            <w:shd w:fill="FFFFFF" w:val="clear"/>
            <w:vAlign w:val="center"/>
          </w:tcPr>
          <w:p>
            <w:pPr>
              <w:pStyle w:val="TableContents"/>
              <w:bidi w:val="0"/>
              <w:spacing w:before="0" w:after="283"/>
              <w:jc w:val="center"/>
              <w:rPr/>
            </w:pPr>
            <w:r>
              <w:rPr/>
              <w:t> </w:t>
            </w:r>
          </w:p>
        </w:tc>
        <w:tc>
          <w:tcPr>
            <w:tcW w:w="1353"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3" w:type="dxa"/>
            <w:gridSpan w:val="2"/>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1376" w:type="dxa"/>
            <w:tcBorders/>
            <w:shd w:fill="FFFFFF" w:val="clear"/>
            <w:vAlign w:val="center"/>
          </w:tcPr>
          <w:p>
            <w:pPr>
              <w:pStyle w:val="TableContents"/>
              <w:bidi w:val="0"/>
              <w:spacing w:before="0" w:after="283"/>
              <w:jc w:val="left"/>
              <w:rPr/>
            </w:pPr>
            <w:r>
              <w:rPr/>
              <w:t> </w:t>
            </w:r>
          </w:p>
        </w:tc>
        <w:tc>
          <w:tcPr>
            <w:tcW w:w="3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tcBorders/>
            <w:shd w:fill="FFFFFF" w:val="clear"/>
            <w:vAlign w:val="center"/>
          </w:tcPr>
          <w:p>
            <w:pPr>
              <w:pStyle w:val="TableContents"/>
              <w:bidi w:val="0"/>
              <w:spacing w:before="0" w:after="283"/>
              <w:jc w:val="center"/>
              <w:rPr/>
            </w:pPr>
            <w:r>
              <w:rPr/>
              <w:t> </w:t>
            </w:r>
          </w:p>
        </w:tc>
        <w:tc>
          <w:tcPr>
            <w:tcW w:w="31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947" w:type="dxa"/>
            <w:tcBorders/>
            <w:shd w:fill="FFFFFF" w:val="clear"/>
            <w:vAlign w:val="center"/>
          </w:tcPr>
          <w:p>
            <w:pPr>
              <w:pStyle w:val="TableContents"/>
              <w:bidi w:val="0"/>
              <w:spacing w:before="0" w:after="283"/>
              <w:jc w:val="center"/>
              <w:rPr/>
            </w:pPr>
            <w:r>
              <w:rPr/>
              <w:t> </w:t>
            </w:r>
          </w:p>
        </w:tc>
        <w:tc>
          <w:tcPr>
            <w:tcW w:w="947" w:type="dxa"/>
            <w:tcBorders/>
            <w:shd w:fill="FFFFFF" w:val="clear"/>
            <w:vAlign w:val="center"/>
          </w:tcPr>
          <w:p>
            <w:pPr>
              <w:pStyle w:val="TableContents"/>
              <w:bidi w:val="0"/>
              <w:spacing w:before="0" w:after="283"/>
              <w:jc w:val="center"/>
              <w:rPr/>
            </w:pPr>
            <w:r>
              <w:rPr/>
              <w:t> </w:t>
            </w:r>
          </w:p>
        </w:tc>
        <w:tc>
          <w:tcPr>
            <w:tcW w:w="1353"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519" w:type="dxa"/>
            <w:tcBorders/>
            <w:shd w:fill="FFFFFF" w:val="clear"/>
            <w:vAlign w:val="center"/>
          </w:tcPr>
          <w:p>
            <w:pPr>
              <w:pStyle w:val="TableContents"/>
              <w:bidi w:val="0"/>
              <w:spacing w:before="0" w:after="283"/>
              <w:jc w:val="center"/>
              <w:rPr/>
            </w:pPr>
            <w:r>
              <w:rPr/>
              <w:t> </w:t>
            </w:r>
          </w:p>
        </w:tc>
      </w:tr>
      <w:tr>
        <w:trPr/>
        <w:tc>
          <w:tcPr>
            <w:tcW w:w="1376" w:type="dxa"/>
            <w:tcBorders/>
            <w:shd w:fill="FFFFFF" w:val="cle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tcBorders/>
            <w:shd w:fill="FFFFFF" w:val="clear"/>
            <w:vAlign w:val="center"/>
          </w:tcPr>
          <w:p>
            <w:pPr>
              <w:pStyle w:val="TableContents"/>
              <w:bidi w:val="0"/>
              <w:spacing w:before="0" w:after="283"/>
              <w:jc w:val="center"/>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(248,688</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(6,885</w:t>
            </w:r>
          </w:p>
        </w:tc>
        <w:tc>
          <w:tcPr>
            <w:tcW w:w="9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7"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(276,265</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(30,066</w:t>
            </w:r>
          </w:p>
        </w:tc>
        <w:tc>
          <w:tcPr>
            <w:tcW w:w="51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 Income tax benefit</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(17,534</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7"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(19,728</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w:t>
            </w:r>
          </w:p>
        </w:tc>
        <w:tc>
          <w:tcPr>
            <w:tcW w:w="51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 Interest expense, net</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947"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6,930</w:t>
            </w:r>
          </w:p>
        </w:tc>
        <w:tc>
          <w:tcPr>
            <w:tcW w:w="519" w:type="dxa"/>
            <w:tcBorders/>
            <w:shd w:fill="CFF0FC" w:val="clear"/>
            <w:vAlign w:val="center"/>
          </w:tcPr>
          <w:p>
            <w:pPr>
              <w:pStyle w:val="TableContents"/>
              <w:bidi w:val="0"/>
              <w:spacing w:before="0" w:after="283"/>
              <w:ind w:left="0" w:right="0" w:firstLine="100"/>
              <w:jc w:val="left"/>
              <w:rPr/>
            </w:pPr>
            <w:r>
              <w:rPr/>
              <w:t> </w:t>
            </w:r>
          </w:p>
        </w:tc>
      </w:tr>
      <w:tr>
        <w:trPr/>
        <w:tc>
          <w:tcPr>
            <w:tcW w:w="1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 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(29,589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(5,628</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7"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(25,161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(9,716</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76"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(295,378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(10,062</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7"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(319,720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(33,506</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 Amortization of intangible assets acquired through business combinations</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11,666</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12,478</w:t>
            </w:r>
          </w:p>
        </w:tc>
        <w:tc>
          <w:tcPr>
            <w:tcW w:w="94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34,589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41,698</w:t>
            </w:r>
          </w:p>
        </w:tc>
        <w:tc>
          <w:tcPr>
            <w:tcW w:w="519" w:type="dxa"/>
            <w:tcBorders/>
            <w:shd w:fill="FFFFFF" w:val="clear"/>
            <w:vAlign w:val="center"/>
          </w:tcPr>
          <w:p>
            <w:pPr>
              <w:pStyle w:val="TableContents"/>
              <w:bidi w:val="0"/>
              <w:spacing w:before="0" w:after="283"/>
              <w:ind w:left="0" w:right="0" w:firstLine="100"/>
              <w:jc w:val="left"/>
              <w:rPr/>
            </w:pPr>
            <w:r>
              <w:rPr/>
              <w:t> </w:t>
            </w:r>
          </w:p>
        </w:tc>
      </w:tr>
      <w:tr>
        <w:trPr/>
        <w:tc>
          <w:tcPr>
            <w:tcW w:w="13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 Equity-based compensation</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11,994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9,133</w:t>
            </w:r>
          </w:p>
        </w:tc>
        <w:tc>
          <w:tcPr>
            <w:tcW w:w="947"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35,485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25,010</w:t>
            </w:r>
          </w:p>
        </w:tc>
        <w:tc>
          <w:tcPr>
            <w:tcW w:w="519" w:type="dxa"/>
            <w:tcBorders/>
            <w:shd w:fill="CFF0FC" w:val="clear"/>
            <w:vAlign w:val="center"/>
          </w:tcPr>
          <w:p>
            <w:pPr>
              <w:pStyle w:val="TableContents"/>
              <w:bidi w:val="0"/>
              <w:spacing w:before="0" w:after="283"/>
              <w:ind w:left="0" w:right="0" w:firstLine="100"/>
              <w:jc w:val="left"/>
              <w:rPr/>
            </w:pPr>
            <w:r>
              <w:rPr/>
              <w:t> </w:t>
            </w:r>
          </w:p>
        </w:tc>
      </w:tr>
      <w:tr>
        <w:trPr/>
        <w:tc>
          <w:tcPr>
            <w:tcW w:w="1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 Transaction, integration, and restructuring expenses</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2,945</w:t>
            </w:r>
          </w:p>
        </w:tc>
        <w:tc>
          <w:tcPr>
            <w:tcW w:w="94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6,362</w:t>
            </w:r>
          </w:p>
        </w:tc>
        <w:tc>
          <w:tcPr>
            <w:tcW w:w="519" w:type="dxa"/>
            <w:tcBorders/>
            <w:shd w:fill="FFFFFF" w:val="clear"/>
            <w:vAlign w:val="center"/>
          </w:tcPr>
          <w:p>
            <w:pPr>
              <w:pStyle w:val="TableContents"/>
              <w:bidi w:val="0"/>
              <w:spacing w:before="0" w:after="283"/>
              <w:ind w:left="0" w:right="0" w:firstLine="100"/>
              <w:jc w:val="left"/>
              <w:rPr/>
            </w:pPr>
            <w:r>
              <w:rPr/>
              <w:t> </w:t>
            </w:r>
          </w:p>
        </w:tc>
      </w:tr>
      <w:tr>
        <w:trPr/>
        <w:tc>
          <w:tcPr>
            <w:tcW w:w="13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 Goodwill impairment charge</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287,400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947"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287,400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color w:val="000000"/>
              </w:rPr>
            </w:pPr>
            <w:r>
              <w:rPr>
                <w:color w:val="000000"/>
              </w:rPr>
              <w:t>—</w:t>
            </w:r>
          </w:p>
        </w:tc>
        <w:tc>
          <w:tcPr>
            <w:tcW w:w="519" w:type="dxa"/>
            <w:tcBorders/>
            <w:shd w:fill="CFF0FC" w:val="clear"/>
            <w:vAlign w:val="center"/>
          </w:tcPr>
          <w:p>
            <w:pPr>
              <w:pStyle w:val="TableContents"/>
              <w:bidi w:val="0"/>
              <w:spacing w:before="0" w:after="283"/>
              <w:ind w:left="0" w:right="0" w:firstLine="100"/>
              <w:jc w:val="left"/>
              <w:rPr/>
            </w:pPr>
            <w:r>
              <w:rPr/>
              <w:t> </w:t>
            </w:r>
          </w:p>
        </w:tc>
      </w:tr>
      <w:tr>
        <w:trPr/>
        <w:tc>
          <w:tcPr>
            <w:tcW w:w="1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 Other non-recurring items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1,178</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4,614</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76"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Adjusted Operating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15,672</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50,492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44,178</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Interest expense, net</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9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7"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(1,434</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(6,930</w:t>
            </w:r>
          </w:p>
        </w:tc>
        <w:tc>
          <w:tcPr>
            <w:tcW w:w="51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Recurring income tax benefit</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947"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519" w:type="dxa"/>
            <w:tcBorders/>
            <w:shd w:fill="CFF0FC" w:val="clear"/>
            <w:vAlign w:val="center"/>
          </w:tcPr>
          <w:p>
            <w:pPr>
              <w:pStyle w:val="TableContents"/>
              <w:bidi w:val="0"/>
              <w:spacing w:before="0" w:after="283"/>
              <w:ind w:left="0" w:right="0" w:firstLine="100"/>
              <w:jc w:val="left"/>
              <w:rPr/>
            </w:pPr>
            <w:r>
              <w:rPr/>
              <w:t> </w:t>
            </w:r>
          </w:p>
        </w:tc>
      </w:tr>
      <w:tr>
        <w:trPr/>
        <w:tc>
          <w:tcPr>
            <w:tcW w:w="1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Foreign currency (loss) gain</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w:t>
            </w:r>
          </w:p>
        </w:tc>
        <w:tc>
          <w:tcPr>
            <w:tcW w:w="94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1,133</w:t>
            </w:r>
          </w:p>
        </w:tc>
        <w:tc>
          <w:tcPr>
            <w:tcW w:w="519" w:type="dxa"/>
            <w:tcBorders/>
            <w:shd w:fill="FFFFFF" w:val="clear"/>
            <w:vAlign w:val="center"/>
          </w:tcPr>
          <w:p>
            <w:pPr>
              <w:pStyle w:val="TableContents"/>
              <w:bidi w:val="0"/>
              <w:spacing w:before="0" w:after="283"/>
              <w:ind w:left="0" w:right="0" w:firstLine="100"/>
              <w:jc w:val="left"/>
              <w:rPr/>
            </w:pPr>
            <w:r>
              <w:rPr/>
              <w:t> </w:t>
            </w:r>
          </w:p>
        </w:tc>
      </w:tr>
      <w:tr>
        <w:trPr/>
        <w:tc>
          <w:tcPr>
            <w:tcW w:w="13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Tax impacts of adjustments to 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(4,840</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7"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(15,747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(13,804</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76"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Adjusted Net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14,576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8,756</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36,044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25,110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Shares for Adjusted Net Income Per Diluted Share </w:t>
            </w:r>
            <w:r>
              <w:rPr>
                <w:rFonts w:ascii="Times New Roman" w:hAnsi="Times New Roman"/>
                <w:b w:val="false"/>
                <w:color w:val="000000"/>
                <w:sz w:val="13"/>
              </w:rPr>
              <w:t>(a)</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154,970,793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155,524,190</w:t>
            </w:r>
          </w:p>
        </w:tc>
        <w:tc>
          <w:tcPr>
            <w:tcW w:w="947"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154,592,703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154,835,056</w:t>
            </w:r>
          </w:p>
        </w:tc>
        <w:tc>
          <w:tcPr>
            <w:tcW w:w="519" w:type="dxa"/>
            <w:tcBorders/>
            <w:shd w:fill="CFF0FC" w:val="clear"/>
            <w:vAlign w:val="center"/>
          </w:tcPr>
          <w:p>
            <w:pPr>
              <w:pStyle w:val="TableContents"/>
              <w:bidi w:val="0"/>
              <w:spacing w:before="0" w:after="283"/>
              <w:ind w:left="0" w:right="0" w:firstLine="100"/>
              <w:jc w:val="left"/>
              <w:rPr/>
            </w:pPr>
            <w:r>
              <w:rPr/>
              <w:t> </w:t>
            </w:r>
          </w:p>
        </w:tc>
      </w:tr>
      <w:tr>
        <w:trPr/>
        <w:tc>
          <w:tcPr>
            <w:tcW w:w="1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Adjusted Net Income Per Share</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947" w:type="dxa"/>
            <w:tcBorders/>
            <w:shd w:fill="FFFFFF" w:val="clear"/>
            <w:vAlign w:val="center"/>
          </w:tcPr>
          <w:p>
            <w:pPr>
              <w:pStyle w:val="TableContents"/>
              <w:bidi w:val="0"/>
              <w:spacing w:before="0" w:after="283"/>
              <w:ind w:left="0" w:right="0" w:firstLine="800"/>
              <w:jc w:val="left"/>
              <w:rPr/>
            </w:pPr>
            <w:r>
              <w:rPr/>
              <w:t> </w:t>
            </w:r>
          </w:p>
        </w:tc>
        <w:tc>
          <w:tcPr>
            <w:tcW w:w="947" w:type="dxa"/>
            <w:tcBorders/>
            <w:shd w:fill="FFFFFF" w:val="clear"/>
            <w:vAlign w:val="center"/>
          </w:tcPr>
          <w:p>
            <w:pPr>
              <w:pStyle w:val="TableContents"/>
              <w:bidi w:val="0"/>
              <w:spacing w:before="0" w:after="283"/>
              <w:ind w:left="800" w:right="0" w:firstLine="8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519" w:type="dxa"/>
            <w:tcBorders/>
            <w:shd w:fill="FFFFFF" w:val="clear"/>
            <w:vAlign w:val="center"/>
          </w:tcPr>
          <w:p>
            <w:pPr>
              <w:pStyle w:val="TableContents"/>
              <w:bidi w:val="0"/>
              <w:spacing w:before="0" w:after="283"/>
              <w:jc w:val="left"/>
              <w:rPr/>
            </w:pPr>
            <w:r>
              <w:rPr/>
              <w:t> </w:t>
            </w:r>
          </w:p>
        </w:tc>
      </w:tr>
      <w:tr>
        <w:trPr/>
        <w:tc>
          <w:tcPr>
            <w:tcW w:w="137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9686" w:type="dxa"/>
            <w:gridSpan w:val="15"/>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162,910,958 and 158,940,807 as of September 30, 2023 and 2022, respectively.</w:t>
            </w:r>
          </w:p>
        </w:tc>
        <w:tc>
          <w:tcPr>
            <w:tcW w:w="51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pPr>
      <w:r>
        <w:rPr/>
        <w:t> </w:t>
      </w:r>
    </w:p>
    <w:tbl>
      <w:tblPr>
        <w:tblW w:w="10274" w:type="dxa"/>
        <w:jc w:val="left"/>
        <w:tblInd w:w="0" w:type="dxa"/>
        <w:tblLayout w:type="fixed"/>
        <w:tblCellMar>
          <w:top w:w="28" w:type="dxa"/>
          <w:left w:w="28" w:type="dxa"/>
          <w:bottom w:w="28" w:type="dxa"/>
          <w:right w:w="28" w:type="dxa"/>
        </w:tblCellMar>
      </w:tblPr>
      <w:tblGrid>
        <w:gridCol w:w="1201"/>
        <w:gridCol w:w="146"/>
        <w:gridCol w:w="196"/>
        <w:gridCol w:w="601"/>
        <w:gridCol w:w="146"/>
        <w:gridCol w:w="146"/>
        <w:gridCol w:w="213"/>
        <w:gridCol w:w="508"/>
        <w:gridCol w:w="256"/>
        <w:gridCol w:w="146"/>
        <w:gridCol w:w="196"/>
        <w:gridCol w:w="601"/>
        <w:gridCol w:w="146"/>
        <w:gridCol w:w="146"/>
        <w:gridCol w:w="213"/>
        <w:gridCol w:w="508"/>
        <w:gridCol w:w="256"/>
        <w:gridCol w:w="146"/>
        <w:gridCol w:w="196"/>
        <w:gridCol w:w="691"/>
        <w:gridCol w:w="146"/>
        <w:gridCol w:w="146"/>
        <w:gridCol w:w="213"/>
        <w:gridCol w:w="508"/>
        <w:gridCol w:w="256"/>
        <w:gridCol w:w="146"/>
        <w:gridCol w:w="196"/>
        <w:gridCol w:w="691"/>
        <w:gridCol w:w="146"/>
        <w:gridCol w:w="146"/>
        <w:gridCol w:w="213"/>
        <w:gridCol w:w="508"/>
        <w:gridCol w:w="30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973" w:type="dxa"/>
            <w:gridSpan w:val="3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Reconciliation of Adjusted Gross Profit and Margin to GAAP Gross Profit and Margin</w:t>
            </w:r>
          </w:p>
        </w:tc>
        <w:tc>
          <w:tcPr>
            <w:tcW w:w="301" w:type="dxa"/>
            <w:tcBorders/>
            <w:shd w:fill="FFFFFF" w:val="clear"/>
            <w:vAlign w:val="center"/>
          </w:tcPr>
          <w:p>
            <w:pPr>
              <w:pStyle w:val="TableContents"/>
              <w:bidi w:val="0"/>
              <w:spacing w:before="0" w:after="283"/>
              <w:jc w:val="center"/>
              <w:rPr/>
            </w:pPr>
            <w:r>
              <w:rPr/>
              <w:t> </w:t>
            </w:r>
          </w:p>
        </w:tc>
      </w:tr>
      <w:tr>
        <w:trPr/>
        <w:tc>
          <w:tcPr>
            <w:tcW w:w="9973" w:type="dxa"/>
            <w:gridSpan w:val="32"/>
            <w:tcBorders/>
            <w:shd w:fill="FFFFFF" w:val="cle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(in thousands; unaudited)</w:t>
            </w:r>
          </w:p>
        </w:tc>
        <w:tc>
          <w:tcPr>
            <w:tcW w:w="30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Reported gross profit</w:t>
            </w:r>
            <w:r>
              <w:rPr>
                <w:rFonts w:ascii="Times New Roman" w:hAnsi="Times New Roman"/>
                <w:color w:val="000000"/>
                <w:sz w:val="18"/>
              </w:rPr>
              <w:t xml:space="preserve"> </w:t>
            </w:r>
            <w:r>
              <w:rPr>
                <w:rFonts w:ascii="Times New Roman" w:hAnsi="Times New Roman"/>
                <w:b/>
                <w:color w:val="000000"/>
                <w:sz w:val="18"/>
              </w:rPr>
              <w:t>and margin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47,658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129,224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Amortization of intangible assets acquired through business</w:t>
              <w:br/>
              <w:t>   combinations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w:t>
            </w:r>
          </w:p>
        </w:tc>
        <w:tc>
          <w:tcPr>
            <w:tcW w:w="3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 compensation costs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gross profit and margin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50,804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158,251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143,236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spacing w:before="240" w:after="283"/>
        <w:jc w:val="left"/>
        <w:rPr/>
      </w:pPr>
      <w:r>
        <w:rPr/>
        <w:t> </w:t>
      </w:r>
    </w:p>
    <w:tbl>
      <w:tblPr>
        <w:tblW w:w="10298" w:type="dxa"/>
        <w:jc w:val="left"/>
        <w:tblInd w:w="0" w:type="dxa"/>
        <w:tblLayout w:type="fixed"/>
        <w:tblCellMar>
          <w:top w:w="28" w:type="dxa"/>
          <w:left w:w="28" w:type="dxa"/>
          <w:bottom w:w="28" w:type="dxa"/>
          <w:right w:w="28" w:type="dxa"/>
        </w:tblCellMar>
      </w:tblPr>
      <w:tblGrid>
        <w:gridCol w:w="1171"/>
        <w:gridCol w:w="196"/>
        <w:gridCol w:w="751"/>
        <w:gridCol w:w="166"/>
        <w:gridCol w:w="146"/>
        <w:gridCol w:w="180"/>
        <w:gridCol w:w="541"/>
        <w:gridCol w:w="241"/>
        <w:gridCol w:w="146"/>
        <w:gridCol w:w="196"/>
        <w:gridCol w:w="601"/>
        <w:gridCol w:w="166"/>
        <w:gridCol w:w="146"/>
        <w:gridCol w:w="213"/>
        <w:gridCol w:w="508"/>
        <w:gridCol w:w="241"/>
        <w:gridCol w:w="146"/>
        <w:gridCol w:w="196"/>
        <w:gridCol w:w="751"/>
        <w:gridCol w:w="166"/>
        <w:gridCol w:w="146"/>
        <w:gridCol w:w="180"/>
        <w:gridCol w:w="541"/>
        <w:gridCol w:w="241"/>
        <w:gridCol w:w="146"/>
        <w:gridCol w:w="196"/>
        <w:gridCol w:w="661"/>
        <w:gridCol w:w="166"/>
        <w:gridCol w:w="146"/>
        <w:gridCol w:w="213"/>
        <w:gridCol w:w="508"/>
        <w:gridCol w:w="286"/>
      </w:tblGrid>
      <w:tr>
        <w:trPr/>
        <w:tc>
          <w:tcPr>
            <w:tcW w:w="1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012" w:type="dxa"/>
            <w:gridSpan w:val="31"/>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Reconciliation of Adjusted EBITDA to GAAP Net Loss</w:t>
            </w:r>
          </w:p>
        </w:tc>
        <w:tc>
          <w:tcPr>
            <w:tcW w:w="286" w:type="dxa"/>
            <w:tcBorders/>
            <w:shd w:fill="FFFFFF" w:val="clear"/>
            <w:vAlign w:val="center"/>
          </w:tcPr>
          <w:p>
            <w:pPr>
              <w:pStyle w:val="TableContents"/>
              <w:bidi w:val="0"/>
              <w:spacing w:before="0" w:after="283"/>
              <w:jc w:val="center"/>
              <w:rPr/>
            </w:pPr>
            <w:r>
              <w:rPr/>
              <w:t> </w:t>
            </w:r>
          </w:p>
        </w:tc>
      </w:tr>
      <w:tr>
        <w:trPr/>
        <w:tc>
          <w:tcPr>
            <w:tcW w:w="10012" w:type="dxa"/>
            <w:gridSpan w:val="31"/>
            <w:tcBorders/>
            <w:shd w:fill="FFFFFF" w:val="cle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(in thousands; unaudited)</w:t>
            </w:r>
          </w:p>
        </w:tc>
        <w:tc>
          <w:tcPr>
            <w:tcW w:w="286"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center"/>
              <w:rPr/>
            </w:pPr>
            <w:r>
              <w:rPr/>
              <w:t> </w:t>
            </w:r>
          </w:p>
        </w:tc>
        <w:tc>
          <w:tcPr>
            <w:tcW w:w="41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Restated)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loss and margin</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(248,688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(6,885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(276,265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(30,066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Interest expense, net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Income tax benefit</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(17,534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(19,728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Depreciation &amp;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EBITDA and margin</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(252,762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8,758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(255,810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(138</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sz w:val="17"/>
              </w:rPr>
            </w:pPr>
            <w:r>
              <w:rPr>
                <w:rFonts w:ascii="Times New Roman" w:hAnsi="Times New Roman"/>
                <w:b w:val="false"/>
                <w:color w:val="000000"/>
                <w:sz w:val="17"/>
              </w:rPr>
              <w:t xml:space="preserve">Other income, net </w:t>
            </w:r>
            <w:r>
              <w:rPr>
                <w:rFonts w:ascii="Times New Roman" w:hAnsi="Times New Roman"/>
                <w:b w:val="false"/>
                <w:color w:val="000000"/>
                <w:sz w:val="11"/>
              </w:rPr>
              <w:t>(a)</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(29,589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(5,628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(25,161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(9,716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sz w:val="17"/>
              </w:rPr>
            </w:pPr>
            <w:r>
              <w:rPr>
                <w:rFonts w:ascii="Times New Roman" w:hAnsi="Times New Roman"/>
                <w:b w:val="false"/>
                <w:color w:val="000000"/>
                <w:sz w:val="17"/>
              </w:rPr>
              <w:t xml:space="preserve">Equity-based compensation </w:t>
            </w:r>
            <w:r>
              <w:rPr>
                <w:rFonts w:ascii="Times New Roman" w:hAnsi="Times New Roman"/>
                <w:b w:val="false"/>
                <w:color w:val="000000"/>
                <w:sz w:val="11"/>
              </w:rPr>
              <w:t>(b)</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sz w:val="17"/>
              </w:rPr>
            </w:pPr>
            <w:r>
              <w:rPr>
                <w:rFonts w:ascii="Times New Roman" w:hAnsi="Times New Roman"/>
                <w:b w:val="false"/>
                <w:color w:val="000000"/>
                <w:sz w:val="17"/>
              </w:rPr>
              <w:t xml:space="preserve">Transaction, integration, and restructuring expenses </w:t>
            </w:r>
            <w:r>
              <w:rPr>
                <w:rFonts w:ascii="Times New Roman" w:hAnsi="Times New Roman"/>
                <w:b w:val="false"/>
                <w:color w:val="000000"/>
                <w:sz w:val="11"/>
              </w:rPr>
              <w:t>(c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sz w:val="17"/>
              </w:rPr>
            </w:pPr>
            <w:r>
              <w:rPr>
                <w:rFonts w:ascii="Times New Roman" w:hAnsi="Times New Roman"/>
                <w:b w:val="false"/>
                <w:color w:val="000000"/>
                <w:sz w:val="17"/>
              </w:rPr>
              <w:t xml:space="preserve">Goodwill impairment </w:t>
            </w:r>
            <w:r>
              <w:rPr>
                <w:rFonts w:ascii="Times New Roman" w:hAnsi="Times New Roman"/>
                <w:b w:val="false"/>
                <w:color w:val="000000"/>
                <w:sz w:val="11"/>
              </w:rPr>
              <w:t>(d)</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287,400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287,400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155</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sz w:val="17"/>
              </w:rPr>
            </w:pPr>
            <w:r>
              <w:rPr>
                <w:rFonts w:ascii="Times New Roman" w:hAnsi="Times New Roman"/>
                <w:b w:val="false"/>
                <w:color w:val="000000"/>
                <w:sz w:val="17"/>
              </w:rPr>
              <w:t xml:space="preserve">Other non-recurring items </w:t>
            </w:r>
            <w:r>
              <w:rPr>
                <w:rFonts w:ascii="Times New Roman" w:hAnsi="Times New Roman"/>
                <w:b w:val="false"/>
                <w:color w:val="000000"/>
                <w:sz w:val="11"/>
              </w:rPr>
              <w:t>(e)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Adjusted EBITDA and margin</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21,744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54,652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10012" w:type="dxa"/>
            <w:gridSpan w:val="31"/>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Primarily represents foreign exchange and TRA liability remeasurement gains and losses.</w:t>
              <w:br/>
              <w:t>(b) Equity-based compensation represents non-cash compensation expense recognized in association with equity awards made to employees and directors.</w:t>
              <w:br/>
              <w:t>(c) Transaction and integration expenses primarily represent legal, accounting, and consulting expenses and fair value adjustments for contingent consideration related to our acquisitions. Restructuring expenses relate to our restructuring plans announced in the first and third quarters of 2023 and impairment and restructuring charges related to office relocations.</w:t>
              <w:br/>
              <w:t>(d) Goodwill impairment represents a non-cash, pretax, goodwill impairment charge of $287.4 million recorded during the three months ended September 30, 2023. We experienced a decline in our market capitalization as a result of a sustained decrease in our stock price, which represented a triggering event requiring our management to perform a quantitative goodwill impairment test as of September 30, 2023. As a result of the impairment test, we determined that the fair value of our single reporting unit was lower than its carrying value and, accordingly, recorded this impairment charge.</w:t>
              <w:br/>
              <w:t>(e) Non-recurring items represent expenses driven by events that are typically by nature one-time, non-operational, and unrelated to our core operations. These expenses are comprised primarily of professional fees related to financing, capital structure changes, and other non-recurring set-up costs related to public company operations, as well as professional fees incurred in the third quarter of 2023 related to the filing delay and restatement of our previously issued financial statements, filed concurrently with our Quarterly Report on Form 10-Q for the second quarter of 2023. In addition, these expenses include sales tax accrual charges recorded during the three and nine months ended September 30, 2023, of $0.3 million and $0.9 million, respectively and during the three and nine months ended September 30, 2022, of $0.6 million and $1.9 million, respectively, after we became aware of a state sales tax liability for sales taxes that we may have been required to collect from customers in 2023 and in certain previous years, which amounts include assumed maximum penalties and interest.</w:t>
            </w:r>
          </w:p>
        </w:tc>
        <w:tc>
          <w:tcPr>
            <w:tcW w:w="28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5942</Words>
  <Characters>33303</Characters>
  <CharactersWithSpaces>40141</CharactersWithSpaces>
  <Paragraphs>3355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