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Krantz Jason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01/24/2024</w:t>
            </w:r>
          </w:p>
        </w:tc>
        <w:tc>
          <w:tcPr>
            <w:tcW w:w="13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33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01/24/2024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110,846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524,950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01/24/2024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11,756</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9.26</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513,194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450,000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performance-based restricted stock units ("PSUs"), each representing a contingent right to receive one share of the Issuer's Class A Common Stock, par value $0.001, earned upon the certification of achievement of certain performance criteria by the Issuer's compensation committee. The PSUs will vest in three substantially equal installments as to 1/3rd on January 24, 2024, 1/3rd on February 1, 2025, and the remaining 1/3rd on February 1, 2026 and will be settled pursuant to the terms of the Issuer's 2021 Equity Incentive Plan (as amended from time to time), in each case subject to the Reporting Person's continued service with the Issuer through each such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previously reported PSUs.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in trust by DH Holdings (fka Jason R. Krantz 2009 Trust), of which the reporting person is the beneficiary.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01/26/2024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2024-01-26T16:47:55Z</dcterms:created>
  <dcterms:modified xsi:type="dcterms:W3CDTF">2024-01-26T16:47:55Z</dcterms:modified>
</cp:coreProperties>
</file>