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Hamood Samuel A</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6"/>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Definitive Healthcare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DH</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80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6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2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20" w:type="dxa"/>
            <w:vAlign w:val="bottom"/>
            <w:gridSpan w:val="6"/>
            <w:vMerge w:val="continue"/>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5"/>
            <w:vMerge w:val="restart"/>
          </w:tcPr>
          <w:p>
            <w:pPr>
              <w:spacing w:after="0"/>
              <w:rPr>
                <w:sz w:val="20"/>
                <w:szCs w:val="20"/>
                <w:color w:val="auto"/>
              </w:rPr>
            </w:pPr>
            <w:r>
              <w:rPr>
                <w:rFonts w:ascii="Arial" w:cs="Arial" w:eastAsia="Arial" w:hAnsi="Arial"/>
                <w:sz w:val="17"/>
                <w:szCs w:val="17"/>
                <w:color w:val="0000FF"/>
              </w:rPr>
              <w:t>C/O DEFINITIVE HEALTHCARE CORP.</w:t>
            </w:r>
          </w:p>
        </w:tc>
        <w:tc>
          <w:tcPr>
            <w:tcW w:w="1640" w:type="dxa"/>
            <w:vAlign w:val="bottom"/>
            <w:gridSpan w:val="6"/>
          </w:tcPr>
          <w:p>
            <w:pPr>
              <w:ind w:left="160"/>
              <w:spacing w:after="0"/>
              <w:rPr>
                <w:sz w:val="20"/>
                <w:szCs w:val="20"/>
                <w:color w:val="auto"/>
              </w:rPr>
            </w:pPr>
            <w:r>
              <w:rPr>
                <w:rFonts w:ascii="Arial" w:cs="Arial" w:eastAsia="Arial" w:hAnsi="Arial"/>
                <w:sz w:val="17"/>
                <w:szCs w:val="17"/>
                <w:color w:val="0000FF"/>
              </w:rPr>
              <w:t>05/24/2022</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550 COCHITUATE RD</w:t>
            </w: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6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60" w:type="dxa"/>
            <w:vAlign w:val="bottom"/>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rPr>
              <w:t>FRAMINGHAM MA</w:t>
            </w:r>
          </w:p>
        </w:tc>
        <w:tc>
          <w:tcPr>
            <w:tcW w:w="1340" w:type="dxa"/>
            <w:vAlign w:val="bottom"/>
          </w:tcPr>
          <w:p>
            <w:pPr>
              <w:ind w:left="180"/>
              <w:spacing w:after="0"/>
              <w:rPr>
                <w:sz w:val="20"/>
                <w:szCs w:val="20"/>
                <w:color w:val="auto"/>
              </w:rPr>
            </w:pPr>
            <w:r>
              <w:rPr>
                <w:rFonts w:ascii="Arial" w:cs="Arial" w:eastAsia="Arial" w:hAnsi="Arial"/>
                <w:sz w:val="17"/>
                <w:szCs w:val="17"/>
                <w:color w:val="0000FF"/>
              </w:rPr>
              <w:t>01701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02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5"/>
          </w:tcPr>
          <w:p>
            <w:pPr>
              <w:spacing w:after="0"/>
              <w:rPr>
                <w:sz w:val="11"/>
                <w:szCs w:val="11"/>
                <w:color w:val="auto"/>
              </w:rPr>
            </w:pPr>
          </w:p>
        </w:tc>
        <w:tc>
          <w:tcPr>
            <w:tcW w:w="138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7560" w:type="dxa"/>
            <w:vAlign w:val="bottom"/>
            <w:tcBorders>
              <w:top w:val="single" w:sz="8" w:color="2C2C2C"/>
            </w:tcBorders>
            <w:gridSpan w:val="18"/>
          </w:tcPr>
          <w:p>
            <w:pPr>
              <w:ind w:left="4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ind w:left="8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7"/>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gridSpan w:val="5"/>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5"/>
          </w:tcPr>
          <w:p>
            <w:pPr>
              <w:ind w:left="900"/>
              <w:spacing w:after="0"/>
              <w:rPr>
                <w:sz w:val="20"/>
                <w:szCs w:val="20"/>
                <w:color w:val="auto"/>
              </w:rPr>
            </w:pPr>
            <w:r>
              <w:rPr>
                <w:rFonts w:ascii="Arial" w:cs="Arial" w:eastAsia="Arial" w:hAnsi="Arial"/>
                <w:sz w:val="17"/>
                <w:szCs w:val="17"/>
                <w:color w:val="0000FF"/>
              </w:rPr>
              <w:t>05/24/2022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0000FF"/>
                <w:w w:val="88"/>
              </w:rPr>
              <w:t>14,545</w:t>
            </w:r>
            <w:r>
              <w:rPr>
                <w:rFonts w:ascii="Arial" w:cs="Arial" w:eastAsia="Arial" w:hAnsi="Arial"/>
                <w:sz w:val="22"/>
                <w:szCs w:val="22"/>
                <w:color w:val="008000"/>
                <w:w w:val="88"/>
                <w:vertAlign w:val="superscript"/>
              </w:rPr>
              <w:t>(1)</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3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1"/>
                <w:szCs w:val="11"/>
                <w:color w:val="008000"/>
              </w:rPr>
              <w:t>(1)</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51,582</w:t>
            </w:r>
            <w:r>
              <w:rPr>
                <w:rFonts w:ascii="Arial" w:cs="Arial" w:eastAsia="Arial" w:hAnsi="Arial"/>
                <w:sz w:val="22"/>
                <w:szCs w:val="22"/>
                <w:color w:val="008000"/>
                <w:vertAlign w:val="superscript"/>
              </w:rPr>
              <w:t>(1)</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gridSpan w:val="4"/>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0" w:type="dxa"/>
            <w:vAlign w:val="bottom"/>
            <w:gridSpan w:val="4"/>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4"/>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40" w:firstLine="7"/>
        <w:spacing w:after="0" w:line="280"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shares of the Issuer's Class A Common Stock, par value $0.001 (the "Class A Common Stock") issuable pursuant to restricted stock units ("RSUs") as follows: (i) 4,475 immediately vested RSUs issued in respect of the Reporting Person's pro-rated service as a director since the Issuer's IPO, and (ii) 10,070 RSUs which vest upon the earlier of May 24, 2023 or the Issuer's next annual shareholder meeting, subject to the Reporting Person's continued service with the Issuer through the vesting date and subject to earlier forfeiture or acceleration.</w:t>
      </w:r>
    </w:p>
    <w:p>
      <w:pPr>
        <w:sectPr>
          <w:pgSz w:w="11900" w:h="16838" w:orient="portrait"/>
          <w:cols w:equalWidth="0" w:num="1">
            <w:col w:w="1108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/s/ David Samuels,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5715</wp:posOffset>
            </wp:positionV>
            <wp:extent cx="13347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4770" cy="8255"/>
                    </a:xfrm>
                    <a:prstGeom prst="rect">
                      <a:avLst/>
                    </a:prstGeom>
                    <a:noFill/>
                  </pic:spPr>
                </pic:pic>
              </a:graphicData>
            </a:graphic>
          </wp:anchor>
        </w:drawing>
      </w:r>
    </w:p>
    <w:p>
      <w:pPr>
        <w:spacing w:after="0" w:line="2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in 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774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77495" cy="8255"/>
                    </a:xfrm>
                    <a:prstGeom prst="rect">
                      <a:avLst/>
                    </a:prstGeom>
                    <a:noFill/>
                  </pic:spPr>
                </pic:pic>
              </a:graphicData>
            </a:graphic>
          </wp:anchor>
        </w:drawing>
      </w:r>
    </w:p>
    <w:p>
      <w:pPr>
        <w:spacing w:after="0" w:line="52"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96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5"/>
          <w:szCs w:val="15"/>
          <w:color w:val="0000FF"/>
        </w:rPr>
        <w:t>05/26/2022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0"/>
          <w:szCs w:val="20"/>
          <w:color w:val="auto"/>
        </w:rPr>
      </w:pPr>
    </w:p>
    <w:p>
      <w:pPr>
        <w:sectPr>
          <w:pgSz w:w="11900" w:h="16838" w:orient="portrait"/>
          <w:cols w:equalWidth="0" w:num="2">
            <w:col w:w="8700" w:space="8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45772" TargetMode="External"/><Relationship Id="rId13"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2022-05-26T15:48:07Z</dcterms:created>
  <dcterms:modified xsi:type="dcterms:W3CDTF">2022-05-26T15:48:07Z</dcterms:modified>
</cp:coreProperties>
</file>