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January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43"/>
        </w:trPr>
        <w:tc>
          <w:tcPr>
            <w:tcW w:w="1320" w:type="dxa"/>
            <w:vAlign w:val="bottom"/>
          </w:tcPr>
          <w:p>
            <w:pPr>
              <w:jc w:val="center"/>
              <w:ind w:right="245"/>
              <w:spacing w:after="0" w:line="143" w:lineRule="exact"/>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line="143" w:lineRule="exact"/>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16"/>
        </w:trPr>
        <w:tc>
          <w:tcPr>
            <w:tcW w:w="1320" w:type="dxa"/>
            <w:vAlign w:val="bottom"/>
          </w:tcPr>
          <w:p>
            <w:pPr>
              <w:spacing w:after="0"/>
              <w:rPr>
                <w:sz w:val="18"/>
                <w:szCs w:val="18"/>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02"/>
        </w:trPr>
        <w:tc>
          <w:tcPr>
            <w:tcW w:w="1320" w:type="dxa"/>
            <w:vAlign w:val="bottom"/>
          </w:tcPr>
          <w:p>
            <w:pPr>
              <w:spacing w:after="0"/>
              <w:rPr>
                <w:sz w:val="17"/>
                <w:szCs w:val="17"/>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DH</w:t>
            </w:r>
          </w:p>
        </w:tc>
        <w:tc>
          <w:tcPr>
            <w:tcW w:w="100" w:type="dxa"/>
            <w:vAlign w:val="bottom"/>
          </w:tcPr>
          <w:p>
            <w:pPr>
              <w:spacing w:after="0"/>
              <w:rPr>
                <w:sz w:val="20"/>
                <w:szCs w:val="20"/>
                <w:color w:val="auto"/>
              </w:rPr>
            </w:pPr>
          </w:p>
        </w:tc>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0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16, 2025 (the “Closing Date”), Definitive Healthcare Holdings, LLC, a Delaware limited liability company (“DHH”), an indirect subsidiary of Definitive Healthcare Corp., a Delaware corporation (the “Company”), entered into an amendment to the credit agreement (the “DHH Credit Agreement Amendment”), dated as of September 17, 2021 (as amended by that certain Amendment No. 1, dated as of October 31, 2022, and as further amended, supplemented or otherwise modified from time to time prior to the date hereof, the “Existing Credit Agreement”, and as further amended by the DHH Credit Agreement Amendment, the “DHH Credit Agreement”), with Bank of America, N.A., as administrative agent, the lenders party thereto and the other parties specified therein.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DHH Credit Agreement Amendment provides for (i) a $175 million term loan facility (the “Term Facility”) and (ii) a $50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loans under the Term Facility and the Revolving Credit Facility mature on January 16, 2030. The Facilities are guaranteed, subject to customary exceptions, by all of DHH’s wholly-owned domestic restricted subsidiaries and AIDH Buyer, LLC, a Delaware limited liability company and the direct parent company of DHH (“Holdings”), and are secured by associated collateral agreements that pledge a lien on substantially all of DHH’s assets, including fixed assets and intangibles, and the assets of the guarantors, in each case, subject to customary exceptions.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Facility and the Revolving Credit Facility bear interest at a rate per annum equal to (a) ABR (as defined in the DHH Credit Agreement) or</w:t>
      </w:r>
    </w:p>
    <w:p>
      <w:pPr>
        <w:spacing w:after="0" w:line="27" w:lineRule="exact"/>
        <w:rPr>
          <w:sz w:val="20"/>
          <w:szCs w:val="20"/>
          <w:color w:val="auto"/>
        </w:rPr>
      </w:pPr>
    </w:p>
    <w:p>
      <w:pPr>
        <w:jc w:val="both"/>
        <w:ind w:firstLine="8"/>
        <w:spacing w:after="0" w:line="253" w:lineRule="auto"/>
        <w:tabs>
          <w:tab w:leader="none" w:pos="2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defined in the DHH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DHH and its restricted subsidiaries on a consolidated basis (the “Total Net Leverage Ratio”). In addition, DHH will pay an unused commitment fee of between 0.25% and 0.30% on the undrawn commitments under the Revolving Credit Facility, also depending on the Total Net Leverage Ratio.</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DHH Credit Agreement, DHH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DHH Credit Agreement does not purport to be complete and is subject to, and qualified in its entirety by, the full text of the DHH Credit Agreement, which is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Amendment No. 2, dated as of January 16, 2025, to Credit Agreement, dated September 17, 2021, by and among Definitive Healthcare</w:t>
            </w:r>
          </w:p>
        </w:tc>
      </w:tr>
      <w:tr>
        <w:trPr>
          <w:trHeight w:val="20"/>
        </w:trPr>
        <w:tc>
          <w:tcPr>
            <w:tcW w:w="1280" w:type="dxa"/>
            <w:vAlign w:val="bottom"/>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Holdings, LLC, AIDH Buyer, LLC, the other loan guarantors from time to time party thereto, Bank of America, N.A., as Administrative</w:t>
            </w:r>
          </w:p>
        </w:tc>
      </w:tr>
      <w:tr>
        <w:trPr>
          <w:trHeight w:val="20"/>
        </w:trPr>
        <w:tc>
          <w:tcPr>
            <w:tcW w:w="1280" w:type="dxa"/>
            <w:vAlign w:val="bottom"/>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Agent, the lenders party thereto and the issuing banks from time to time party thereto.</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2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2</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AMENDMENT NO. 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January 16, 2025, is entered into among Definitive Healthcare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AIDH Buyer,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Loan Guarantors party hereto, the Lenders party thereto and BANK OF AMERICA, N.A., as administrative agent and collateral agent (in such capacities, collectively,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 (as defined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WHEREAS, the Borrower, Holdings, the Lenders and Issuing Banks from time to time party thereto, and Bank of America, N.A., as Administrative Agent, have entered into that certain Credit Agreement dated as of September 17, 2021 (as amended by Amendment No. 1, dated as of October 31, 2022, and as further amended, modified, extended, restated, replaced, or supplemented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Agreement,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WHEREAS, the Borrower has requested to establish refinancing revolving credit commitments and refinancing revolving loans in an aggregate principal amount of $50,000,000 (the “</w:t>
      </w:r>
      <w:r>
        <w:rPr>
          <w:rFonts w:ascii="Times New Roman" w:cs="Times New Roman" w:eastAsia="Times New Roman" w:hAnsi="Times New Roman"/>
          <w:sz w:val="20"/>
          <w:szCs w:val="20"/>
          <w:u w:val="single" w:color="auto"/>
          <w:color w:val="auto"/>
        </w:rPr>
        <w:t>2025 Revolving Credit Commitments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2025 Revolving Loans</w:t>
      </w:r>
      <w:r>
        <w:rPr>
          <w:rFonts w:ascii="Times New Roman" w:cs="Times New Roman" w:eastAsia="Times New Roman" w:hAnsi="Times New Roman"/>
          <w:sz w:val="20"/>
          <w:szCs w:val="20"/>
          <w:color w:val="auto"/>
        </w:rPr>
        <w:t>”) in order to refinance the existing Revolving Loan Commitments and enable the Borrower to refinance all Initial Revolving Loans outstanding under the Existing Credit Agreement immediately prior to the Amendment Effective Date (the “</w:t>
      </w:r>
      <w:r>
        <w:rPr>
          <w:rFonts w:ascii="Times New Roman" w:cs="Times New Roman" w:eastAsia="Times New Roman" w:hAnsi="Times New Roman"/>
          <w:sz w:val="20"/>
          <w:szCs w:val="20"/>
          <w:u w:val="single" w:color="auto"/>
          <w:color w:val="auto"/>
        </w:rPr>
        <w:t>Existing Revolving Loans”</w:t>
      </w:r>
      <w:r>
        <w:rPr>
          <w:rFonts w:ascii="Times New Roman" w:cs="Times New Roman" w:eastAsia="Times New Roman" w:hAnsi="Times New Roman"/>
          <w:sz w:val="20"/>
          <w:szCs w:val="20"/>
          <w:color w:val="auto"/>
        </w:rPr>
        <w:t>, and the refinancing thereof the “</w:t>
      </w:r>
      <w:r>
        <w:rPr>
          <w:rFonts w:ascii="Times New Roman" w:cs="Times New Roman" w:eastAsia="Times New Roman" w:hAnsi="Times New Roman"/>
          <w:sz w:val="20"/>
          <w:szCs w:val="20"/>
          <w:u w:val="single" w:color="auto"/>
          <w:color w:val="auto"/>
        </w:rPr>
        <w:t>Revolving Loan Refinancing</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WHEREAS, the Borrower has requested to establish refinancing term loans (as defined below) in an aggregate amount of $175,000,000 on the Amendment Effective Date (the “</w:t>
      </w:r>
      <w:r>
        <w:rPr>
          <w:rFonts w:ascii="Times New Roman" w:cs="Times New Roman" w:eastAsia="Times New Roman" w:hAnsi="Times New Roman"/>
          <w:sz w:val="20"/>
          <w:szCs w:val="20"/>
          <w:u w:val="single" w:color="auto"/>
          <w:color w:val="auto"/>
        </w:rPr>
        <w:t>2025 Term Loans</w:t>
      </w:r>
      <w:r>
        <w:rPr>
          <w:rFonts w:ascii="Times New Roman" w:cs="Times New Roman" w:eastAsia="Times New Roman" w:hAnsi="Times New Roman"/>
          <w:sz w:val="20"/>
          <w:szCs w:val="20"/>
          <w:color w:val="auto"/>
        </w:rPr>
        <w:t>”) in order to enable the Borrower to refinance all Initial Term Loans outstanding under the Existing Credit Agreement immediately prior to the Amendment Effective Date (the “</w:t>
      </w:r>
      <w:r>
        <w:rPr>
          <w:rFonts w:ascii="Times New Roman" w:cs="Times New Roman" w:eastAsia="Times New Roman" w:hAnsi="Times New Roman"/>
          <w:sz w:val="20"/>
          <w:szCs w:val="20"/>
          <w:u w:val="single" w:color="auto"/>
          <w:color w:val="auto"/>
        </w:rPr>
        <w:t>Existing Term Loans”</w:t>
      </w:r>
      <w:r>
        <w:rPr>
          <w:rFonts w:ascii="Times New Roman" w:cs="Times New Roman" w:eastAsia="Times New Roman" w:hAnsi="Times New Roman"/>
          <w:sz w:val="20"/>
          <w:szCs w:val="20"/>
          <w:color w:val="auto"/>
        </w:rPr>
        <w:t>, and the refinancing thereof the “</w:t>
      </w:r>
      <w:r>
        <w:rPr>
          <w:rFonts w:ascii="Times New Roman" w:cs="Times New Roman" w:eastAsia="Times New Roman" w:hAnsi="Times New Roman"/>
          <w:sz w:val="20"/>
          <w:szCs w:val="20"/>
          <w:u w:val="single" w:color="auto"/>
          <w:color w:val="auto"/>
        </w:rPr>
        <w:t>Term Loan Refinancing</w:t>
      </w:r>
      <w:r>
        <w:rPr>
          <w:rFonts w:ascii="Times New Roman" w:cs="Times New Roman" w:eastAsia="Times New Roman" w:hAnsi="Times New Roman"/>
          <w:sz w:val="20"/>
          <w:szCs w:val="20"/>
          <w:color w:val="auto"/>
        </w:rPr>
        <w:t>”, and together with the Revolving Loan Refinancing the “</w:t>
      </w:r>
      <w:r>
        <w:rPr>
          <w:rFonts w:ascii="Times New Roman" w:cs="Times New Roman" w:eastAsia="Times New Roman" w:hAnsi="Times New Roman"/>
          <w:sz w:val="20"/>
          <w:szCs w:val="20"/>
          <w:u w:val="single" w:color="auto"/>
          <w:color w:val="auto"/>
        </w:rPr>
        <w:t>2025 Refinancing</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WHEREAS, each Lender that is a Revolving Lender prior to the Amendment No. 2 Effective Date that has executed this Agreement (such Lenders, collectively, the “</w:t>
      </w:r>
      <w:r>
        <w:rPr>
          <w:rFonts w:ascii="Times New Roman" w:cs="Times New Roman" w:eastAsia="Times New Roman" w:hAnsi="Times New Roman"/>
          <w:sz w:val="20"/>
          <w:szCs w:val="20"/>
          <w:u w:val="single" w:color="auto"/>
          <w:color w:val="auto"/>
        </w:rPr>
        <w:t>2025 Revolving Lenders</w:t>
      </w:r>
      <w:r>
        <w:rPr>
          <w:rFonts w:ascii="Times New Roman" w:cs="Times New Roman" w:eastAsia="Times New Roman" w:hAnsi="Times New Roman"/>
          <w:sz w:val="20"/>
          <w:szCs w:val="20"/>
          <w:color w:val="auto"/>
        </w:rPr>
        <w:t>”) has agreed to exchange its Existing Revolving Loans and existing Revolving Commitments in an aggregate principal amount equal to such 2025 Revolving Lender’s Existing Revolving Loans and existing Revolving Commitments outstanding on the Amendment No. 2 Effective Date immediately prior to giving effect to this Amendment (or such lesser or greater amount allocated to such 2025 Revolving Lender as set forth opposite its name on Schedule I hereto under the heading “2025 Revolving Credit Commitment”) (such amount, the “</w:t>
      </w:r>
      <w:r>
        <w:rPr>
          <w:rFonts w:ascii="Times New Roman" w:cs="Times New Roman" w:eastAsia="Times New Roman" w:hAnsi="Times New Roman"/>
          <w:sz w:val="20"/>
          <w:szCs w:val="20"/>
          <w:u w:val="single" w:color="auto"/>
          <w:color w:val="auto"/>
        </w:rPr>
        <w:t>Allocated Revolving Amount</w:t>
      </w:r>
      <w:r>
        <w:rPr>
          <w:rFonts w:ascii="Times New Roman" w:cs="Times New Roman" w:eastAsia="Times New Roman" w:hAnsi="Times New Roman"/>
          <w:sz w:val="20"/>
          <w:szCs w:val="20"/>
          <w:color w:val="auto"/>
        </w:rPr>
        <w:t>”) for the 2025 Revolving Loans and 2025 Revolving Credit Commitments in a principal amount equal to the Allocated Revolving Amount (such 2025 Revolving Loans, the “</w:t>
      </w:r>
      <w:r>
        <w:rPr>
          <w:rFonts w:ascii="Times New Roman" w:cs="Times New Roman" w:eastAsia="Times New Roman" w:hAnsi="Times New Roman"/>
          <w:sz w:val="20"/>
          <w:szCs w:val="20"/>
          <w:u w:val="single" w:color="auto"/>
          <w:color w:val="auto"/>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and</w:t>
      </w:r>
    </w:p>
    <w:p>
      <w:pPr>
        <w:spacing w:after="0" w:line="189" w:lineRule="exact"/>
        <w:rPr>
          <w:sz w:val="20"/>
          <w:szCs w:val="20"/>
          <w:color w:val="auto"/>
        </w:rPr>
      </w:pPr>
    </w:p>
    <w:p>
      <w:pPr>
        <w:jc w:val="both"/>
        <w:ind w:left="120" w:right="100" w:firstLine="706"/>
        <w:spacing w:after="0" w:line="245" w:lineRule="auto"/>
        <w:rPr>
          <w:sz w:val="20"/>
          <w:szCs w:val="20"/>
          <w:color w:val="auto"/>
        </w:rPr>
      </w:pPr>
      <w:r>
        <w:rPr>
          <w:rFonts w:ascii="Times New Roman" w:cs="Times New Roman" w:eastAsia="Times New Roman" w:hAnsi="Times New Roman"/>
          <w:sz w:val="20"/>
          <w:szCs w:val="20"/>
          <w:color w:val="auto"/>
        </w:rPr>
        <w:t>WHEREAS, each Lender that is a Term Lender prior to the Amendment No. 2 Effective Date that has executed this Agreement (such Lenders, collectively, the “</w:t>
      </w:r>
      <w:r>
        <w:rPr>
          <w:rFonts w:ascii="Times New Roman" w:cs="Times New Roman" w:eastAsia="Times New Roman" w:hAnsi="Times New Roman"/>
          <w:sz w:val="20"/>
          <w:szCs w:val="20"/>
          <w:u w:val="single" w:color="auto"/>
          <w:color w:val="auto"/>
        </w:rPr>
        <w:t>2025 Term Lenders</w:t>
      </w:r>
      <w:r>
        <w:rPr>
          <w:rFonts w:ascii="Times New Roman" w:cs="Times New Roman" w:eastAsia="Times New Roman" w:hAnsi="Times New Roman"/>
          <w:sz w:val="20"/>
          <w:szCs w:val="20"/>
          <w:color w:val="auto"/>
        </w:rPr>
        <w:t>” and, together with 2025 Revolving Lenders (collectively, the “</w:t>
      </w:r>
      <w:r>
        <w:rPr>
          <w:rFonts w:ascii="Times New Roman" w:cs="Times New Roman" w:eastAsia="Times New Roman" w:hAnsi="Times New Roman"/>
          <w:sz w:val="20"/>
          <w:szCs w:val="20"/>
          <w:u w:val="single" w:color="auto"/>
          <w:color w:val="auto"/>
        </w:rPr>
        <w:t>2025 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has agreed to exchange its Existing Term Loans in an aggregate principal amount equal to such 2025 Term Lender’s Existing Term Loans outstanding on the Amendment No. 2 Effective Date immediately prior to giving effect to this Amendment (or such lesser or greater amount allocated to such 2025 Term Lender as is set forth opposite its name on Schedule II hereto under the heading “2025 Term Commitment”) (such amount,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line="189" w:lineRule="exact"/>
        <w:rPr>
          <w:sz w:val="20"/>
          <w:szCs w:val="20"/>
          <w:color w:val="auto"/>
        </w:rPr>
      </w:pPr>
    </w:p>
    <w:p>
      <w:pPr>
        <w:ind w:left="120" w:right="1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Allocated Term Amount</w:t>
      </w:r>
      <w:r>
        <w:rPr>
          <w:rFonts w:ascii="Times New Roman" w:cs="Times New Roman" w:eastAsia="Times New Roman" w:hAnsi="Times New Roman"/>
          <w:sz w:val="20"/>
          <w:szCs w:val="20"/>
          <w:color w:val="auto"/>
        </w:rPr>
        <w:t>”) for 2025 Term Loans in a principal amount equal to the Allocated Term Amount exchanged therefor (such 2025 Term Loans, the “</w:t>
      </w:r>
      <w:r>
        <w:rPr>
          <w:rFonts w:ascii="Times New Roman" w:cs="Times New Roman" w:eastAsia="Times New Roman" w:hAnsi="Times New Roman"/>
          <w:sz w:val="20"/>
          <w:szCs w:val="20"/>
          <w:u w:val="single" w:color="auto"/>
          <w:color w:val="auto"/>
        </w:rPr>
        <w:t>2025 Term Loans</w:t>
      </w:r>
      <w:r>
        <w:rPr>
          <w:rFonts w:ascii="Times New Roman" w:cs="Times New Roman" w:eastAsia="Times New Roman" w:hAnsi="Times New Roman"/>
          <w:sz w:val="20"/>
          <w:szCs w:val="20"/>
          <w:color w:val="auto"/>
        </w:rPr>
        <w:t>”).</w:t>
      </w:r>
    </w:p>
    <w:p>
      <w:pPr>
        <w:spacing w:after="0" w:line="37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w:t>
      </w:r>
      <w:r>
        <w:rPr>
          <w:sz w:val="20"/>
          <w:szCs w:val="20"/>
          <w:color w:val="auto"/>
        </w:rPr>
        <w:tab/>
      </w:r>
      <w:r>
        <w:rPr>
          <w:rFonts w:ascii="Times New Roman" w:cs="Times New Roman" w:eastAsia="Times New Roman" w:hAnsi="Times New Roman"/>
          <w:sz w:val="19"/>
          <w:szCs w:val="19"/>
          <w:color w:val="auto"/>
        </w:rPr>
        <w:t>AMENDMENT TO CREDIT AGREEMENT</w:t>
      </w:r>
    </w:p>
    <w:p>
      <w:pPr>
        <w:spacing w:after="0" w:line="229" w:lineRule="exact"/>
        <w:rPr>
          <w:sz w:val="20"/>
          <w:szCs w:val="20"/>
          <w:color w:val="auto"/>
        </w:rPr>
      </w:pPr>
    </w:p>
    <w:p>
      <w:pPr>
        <w:ind w:left="1160" w:hanging="403"/>
        <w:spacing w:after="0"/>
        <w:tabs>
          <w:tab w:leader="none" w:pos="11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Credit Agreement</w:t>
      </w:r>
      <w:r>
        <w:rPr>
          <w:rFonts w:ascii="Times New Roman" w:cs="Times New Roman" w:eastAsia="Times New Roman" w:hAnsi="Times New Roman"/>
          <w:sz w:val="20"/>
          <w:szCs w:val="20"/>
          <w:color w:val="auto"/>
        </w:rPr>
        <w:t>. Effective as of the Amendment Effective Date:</w:t>
      </w:r>
    </w:p>
    <w:p>
      <w:pPr>
        <w:spacing w:after="0" w:line="215" w:lineRule="exact"/>
        <w:rPr>
          <w:rFonts w:ascii="Times New Roman" w:cs="Times New Roman" w:eastAsia="Times New Roman" w:hAnsi="Times New Roman"/>
          <w:sz w:val="20"/>
          <w:szCs w:val="20"/>
          <w:color w:val="auto"/>
        </w:rPr>
      </w:pPr>
    </w:p>
    <w:p>
      <w:pPr>
        <w:jc w:val="both"/>
        <w:ind w:firstLine="1153"/>
        <w:spacing w:after="0" w:line="254" w:lineRule="auto"/>
        <w:tabs>
          <w:tab w:leader="none" w:pos="15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(x) delete the stricken text (indicated textually in the same manner as the following example: </w:t>
      </w:r>
      <w:r>
        <w:rPr>
          <w:rFonts w:ascii="Times New Roman" w:cs="Times New Roman" w:eastAsia="Times New Roman" w:hAnsi="Times New Roman"/>
          <w:sz w:val="20"/>
          <w:szCs w:val="20"/>
          <w:color w:val="C00000"/>
          <w:strike w:val="1"/>
        </w:rPr>
        <w:t>stricken text</w:t>
      </w:r>
      <w:r>
        <w:rPr>
          <w:rFonts w:ascii="Times New Roman" w:cs="Times New Roman" w:eastAsia="Times New Roman" w:hAnsi="Times New Roman"/>
          <w:sz w:val="20"/>
          <w:szCs w:val="20"/>
          <w:color w:val="auto"/>
        </w:rPr>
        <w:t xml:space="preserve">) and (y) add the double-underlined text (indicated textually in the same manner as the following example: </w:t>
      </w:r>
      <w:r>
        <w:rPr>
          <w:rFonts w:ascii="Times New Roman" w:cs="Times New Roman" w:eastAsia="Times New Roman" w:hAnsi="Times New Roman"/>
          <w:sz w:val="20"/>
          <w:szCs w:val="20"/>
          <w:u w:val="single" w:color="auto"/>
          <w:color w:val="0070C0"/>
        </w:rPr>
        <w:t>double-underlined text</w:t>
      </w:r>
      <w:r>
        <w:rPr>
          <w:rFonts w:ascii="Times New Roman" w:cs="Times New Roman" w:eastAsia="Times New Roman" w:hAnsi="Times New Roman"/>
          <w:sz w:val="20"/>
          <w:szCs w:val="20"/>
          <w:color w:val="auto"/>
        </w:rPr>
        <w:t xml:space="preserve">), in each case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w:t>
      </w:r>
    </w:p>
    <w:p>
      <w:pPr>
        <w:spacing w:after="0" w:line="174" w:lineRule="exact"/>
        <w:rPr>
          <w:rFonts w:ascii="Times New Roman" w:cs="Times New Roman" w:eastAsia="Times New Roman" w:hAnsi="Times New Roman"/>
          <w:sz w:val="20"/>
          <w:szCs w:val="20"/>
          <w:color w:val="auto"/>
        </w:rPr>
      </w:pPr>
    </w:p>
    <w:p>
      <w:pPr>
        <w:ind w:right="60" w:firstLine="1153"/>
        <w:spacing w:after="0" w:line="269" w:lineRule="auto"/>
        <w:tabs>
          <w:tab w:leader="none" w:pos="15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Schedule 1.01(c) to the Existing Credit Agreement is hereby amended and restated in its entirety in the form of the schedule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II. 2025 REVOLVING LOANS</w:t>
      </w:r>
    </w:p>
    <w:p>
      <w:pPr>
        <w:spacing w:after="0" w:line="216" w:lineRule="exact"/>
        <w:rPr>
          <w:sz w:val="20"/>
          <w:szCs w:val="20"/>
          <w:color w:val="auto"/>
        </w:rPr>
      </w:pPr>
    </w:p>
    <w:p>
      <w:pPr>
        <w:jc w:val="both"/>
        <w:ind w:firstLine="757"/>
        <w:spacing w:after="0" w:line="242" w:lineRule="auto"/>
        <w:tabs>
          <w:tab w:leader="none" w:pos="11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2025 Revolving Lender hereby (x) severally, but not jointly, agrees to (A) exchange, on a cashless basis, its Existing Revolving Loans in an aggregate principal amount equal to such 2025 Revolving Lender’s Allocated Revolving Amount for 2025 Revolving Loans in an equivalent principal amount on the Amendment No. 2 Effective Date (such cashless exchange the “</w:t>
      </w:r>
      <w:r>
        <w:rPr>
          <w:rFonts w:ascii="Times New Roman" w:cs="Times New Roman" w:eastAsia="Times New Roman" w:hAnsi="Times New Roman"/>
          <w:sz w:val="20"/>
          <w:szCs w:val="20"/>
          <w:u w:val="single" w:color="auto"/>
          <w:color w:val="auto"/>
        </w:rPr>
        <w:t>Revolving Cashless Rollover</w:t>
      </w:r>
      <w:r>
        <w:rPr>
          <w:rFonts w:ascii="Times New Roman" w:cs="Times New Roman" w:eastAsia="Times New Roman" w:hAnsi="Times New Roman"/>
          <w:sz w:val="20"/>
          <w:szCs w:val="20"/>
          <w:color w:val="auto"/>
        </w:rPr>
        <w:t xml:space="preserve">”), (B) receive in cash on the Amendment No. 2 Effective Date all accrued and unpaid interest and fees (including, for the avoidance of doubt, all accrued and unpaid participation fees) in respect of its Existing Revolving Loans, and the aggregate principal amount of any outstanding Existing Revolving Loans that exceed its Allocated Revolving Amount, and (C) make available hereafter such amounts as set forth opposite its name on Schedule I hereto under the heading “2025 Revolving Credit Commitments” and (y) waives (solely with respect to such portion of its Existing Revolving Loans exchanged pursuant to the Revolving Cashless Rollover) any right to receive its share of the cash prepayment of Existing Revolving Loans referred to in this </w:t>
      </w:r>
      <w:r>
        <w:rPr>
          <w:rFonts w:ascii="Times New Roman" w:cs="Times New Roman" w:eastAsia="Times New Roman" w:hAnsi="Times New Roman"/>
          <w:sz w:val="20"/>
          <w:szCs w:val="20"/>
          <w:u w:val="single" w:color="auto"/>
          <w:color w:val="auto"/>
        </w:rPr>
        <w:t>Section II</w:t>
      </w:r>
      <w:r>
        <w:rPr>
          <w:rFonts w:ascii="Times New Roman" w:cs="Times New Roman" w:eastAsia="Times New Roman" w:hAnsi="Times New Roman"/>
          <w:sz w:val="20"/>
          <w:szCs w:val="20"/>
          <w:color w:val="auto"/>
        </w:rPr>
        <w:t xml:space="preserve"> with the proceeds of the 2025 Revolving Loans.</w:t>
      </w:r>
    </w:p>
    <w:p>
      <w:pPr>
        <w:spacing w:after="0" w:line="192"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upon the Amendment No. 2 Effective Date, the Revolving Cashless Rollover shall be deemed to have occurred, the 2025 Revolving Loans shall be deemed to have been funded by the 2025 Revolving Lenders and shall be outstanding under the Credit Agreement and any Existing Revolving Loan exchanged for 2025 Revolving Loans pursuant to the Cashless Rollover shall be (and shall be deemed to be) extinguished, repaid in full and no longer outstanding under the Credit Agreement. The parties hereto agree that the Revolving Cashless Rollover shall constitute a “funding” of such 2025 Revolving Loans in “immediately available funds” for all purposes of this Amendment and the Credit Agreement. Unless the context shall otherwise require, (i) the 2025 Revolving Lenders shall constitute “Initial Revolving Lenders”, “Revolving Lenders” and “Lenders”, (ii) the 2025 Revolving Loans shall constitute “Initial Revolving Loans”, “Revolving Loans” and “Loans”, (iii) the 2025 Revolving Loan Commitments shall constitute “Revolving Credit Commitments” and “Commitments”, in each case, for all purposes of the Credit Agreement and the other Loan Documents and (iv) the 2025 Revolving Loans shall have an initial Interest Periods as the interest period applicable thereto under the Existing Credit Agreement as of the Amendment No. 2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20" w:firstLine="757"/>
        <w:spacing w:after="0" w:line="269" w:lineRule="auto"/>
        <w:tabs>
          <w:tab w:leader="none" w:pos="11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2025 Revolving Loans on the Amendment No. 2 Effective Date shall be used to finance the Revolving Loan Refinancing and to pay the fees and expenses related to the 2025 Refinancing (the “</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95" w:lineRule="auto"/>
        <w:tabs>
          <w:tab w:leader="none" w:pos="1145"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make adjustments to the Register to effectuate and evidence the 2025 Revolving Loans and related reallocations, assignments, payments, prepayments and cashless settlements in accordance with Section 1.08 of the Credit Agreement.</w:t>
      </w:r>
    </w:p>
    <w:p>
      <w:pPr>
        <w:spacing w:after="0" w:line="137" w:lineRule="exact"/>
        <w:rPr>
          <w:rFonts w:ascii="Times New Roman" w:cs="Times New Roman" w:eastAsia="Times New Roman" w:hAnsi="Times New Roman"/>
          <w:sz w:val="19"/>
          <w:szCs w:val="19"/>
          <w:color w:val="auto"/>
        </w:rPr>
      </w:pPr>
    </w:p>
    <w:p>
      <w:pPr>
        <w:jc w:val="both"/>
        <w:ind w:firstLine="757"/>
        <w:spacing w:after="0" w:line="249" w:lineRule="auto"/>
        <w:tabs>
          <w:tab w:leader="none" w:pos="11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Existing Credit Agreement or this Amendment, each 2025 Revolving Lender hereby waives (solely with respect to itself) its right to receive compensation pursuant to Section 2.16 of the Existing Credit Agreement or the Credit Agreement as a result of or in connection with the 2025 Revolving Loans, the Revolving Loan Refinancing and/or this Amendment.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III. 2025 TERM LOANS</w:t>
      </w:r>
    </w:p>
    <w:p>
      <w:pPr>
        <w:spacing w:after="0" w:line="216" w:lineRule="exact"/>
        <w:rPr>
          <w:sz w:val="20"/>
          <w:szCs w:val="20"/>
          <w:color w:val="auto"/>
        </w:rPr>
      </w:pPr>
    </w:p>
    <w:p>
      <w:pPr>
        <w:jc w:val="both"/>
        <w:ind w:firstLine="757"/>
        <w:spacing w:after="0" w:line="243" w:lineRule="auto"/>
        <w:tabs>
          <w:tab w:leader="none" w:pos="11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2025 Term Lender hereby (x) severally, but not jointly, agrees to (A) exchange, on a cashless basis, its Existing Term Loans in an aggregate principal amount equal to such 2025 Term Lender’s Allocated Term Amount for 2025 Term Loans in an equivalent principal amount on the Amendment No. 2 Effective Date (such cashless exchange,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Cashless Rollover</w:t>
      </w:r>
      <w:r>
        <w:rPr>
          <w:rFonts w:ascii="Times New Roman" w:cs="Times New Roman" w:eastAsia="Times New Roman" w:hAnsi="Times New Roman"/>
          <w:sz w:val="20"/>
          <w:szCs w:val="20"/>
          <w:color w:val="auto"/>
        </w:rPr>
        <w:t>”, and together with the Revolving Cashless Rollover, the “</w:t>
      </w:r>
      <w:r>
        <w:rPr>
          <w:rFonts w:ascii="Times New Roman" w:cs="Times New Roman" w:eastAsia="Times New Roman" w:hAnsi="Times New Roman"/>
          <w:sz w:val="20"/>
          <w:szCs w:val="20"/>
          <w:u w:val="single" w:color="auto"/>
          <w:color w:val="auto"/>
        </w:rPr>
        <w:t>Cashless Rollover”)</w:t>
      </w:r>
      <w:r>
        <w:rPr>
          <w:rFonts w:ascii="Times New Roman" w:cs="Times New Roman" w:eastAsia="Times New Roman" w:hAnsi="Times New Roman"/>
          <w:sz w:val="20"/>
          <w:szCs w:val="20"/>
          <w:color w:val="auto"/>
        </w:rPr>
        <w:t xml:space="preserve">, and (B) receive in cash on the Amendment No. 2 Effective Date all accrued and unpaid interest in respect of its Existing Term Loans, and the aggregate principal amount of any outstanding Existing Term Loans that exceed its Allocated Term Amount, and (y) waives (solely with respect to such portion of its Existing Term Loans exchanged pursuant to the Term Cashless Rollover) any right to receive its share of the cash prepayment of Existing Term Loans referred to in this </w:t>
      </w:r>
      <w:r>
        <w:rPr>
          <w:rFonts w:ascii="Times New Roman" w:cs="Times New Roman" w:eastAsia="Times New Roman" w:hAnsi="Times New Roman"/>
          <w:sz w:val="20"/>
          <w:szCs w:val="20"/>
          <w:u w:val="single" w:color="auto"/>
          <w:color w:val="auto"/>
        </w:rPr>
        <w:t>Section III</w:t>
      </w:r>
      <w:r>
        <w:rPr>
          <w:rFonts w:ascii="Times New Roman" w:cs="Times New Roman" w:eastAsia="Times New Roman" w:hAnsi="Times New Roman"/>
          <w:sz w:val="20"/>
          <w:szCs w:val="20"/>
          <w:color w:val="auto"/>
        </w:rPr>
        <w:t xml:space="preserve"> with the proceeds of the 2025 Term Loans.</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upon the Amendment No. 2 Effective Date, the Term Cashless Rollover shall be deemed to have occurred, the 2025 Term Loans shall be deemed to have been funded by the 2025 Term Lenders and shall be outstanding under the Credit Agreement and any Existing Term Loan exchanged for 2025 Term Loans pursuant to the Cashless Rollover shall be (and shall be deemed to be) extinguished, repaid in full and no longer outstanding under the Credit Agreement. The parties hereto agree that the Term Cashless Rollover shall constitute a “funding” of such 2025 Term Loans in “immediately available funds” for all purposes of this Amendment and the Credit Agreement. Unless the context shall otherwise require, (i) the 2025 Term Lenders shall constitute “Initial Term Lenders”, “Term Lenders” and “Lenders”, (ii) the 2025 Term Loans shall constitute “Initial Term Loans”, “Term Loans” and “Loans”, (iii) the 2025 Term Loan Commitments shall constitute “Term Commitments”, and “Commitments”, in each case, for all purposes of the Credit Agreement and the other Loan Documents and (iv) the 2025 Term Loans shall have an initial Interest Period as the interest period applicable to the Term Loans (as defined in the Existing Credit Agreement) as of the Amendment No. 2 Effective Date).</w:t>
      </w:r>
    </w:p>
    <w:p>
      <w:pPr>
        <w:spacing w:after="0" w:line="19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2025 Term Loans shall be used to finance the Term Loan Refinancing and to pay the Transaction Costs.</w:t>
      </w:r>
    </w:p>
    <w:p>
      <w:pPr>
        <w:spacing w:after="0" w:line="215" w:lineRule="exact"/>
        <w:rPr>
          <w:rFonts w:ascii="Times New Roman" w:cs="Times New Roman" w:eastAsia="Times New Roman" w:hAnsi="Times New Roman"/>
          <w:sz w:val="20"/>
          <w:szCs w:val="20"/>
          <w:color w:val="auto"/>
        </w:rPr>
      </w:pPr>
    </w:p>
    <w:p>
      <w:pPr>
        <w:ind w:right="20" w:firstLine="757"/>
        <w:spacing w:after="0" w:line="295" w:lineRule="auto"/>
        <w:tabs>
          <w:tab w:leader="none" w:pos="1145"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make adjustments to the Register to effectuate and evidence the 2025 Term Loans and related reallocations, assignments, payments, prepayments and cashless settlements in accordance with Section 1.08 of the Credit Agreement.</w:t>
      </w:r>
    </w:p>
    <w:p>
      <w:pPr>
        <w:spacing w:after="0" w:line="137" w:lineRule="exact"/>
        <w:rPr>
          <w:rFonts w:ascii="Times New Roman" w:cs="Times New Roman" w:eastAsia="Times New Roman" w:hAnsi="Times New Roman"/>
          <w:sz w:val="19"/>
          <w:szCs w:val="19"/>
          <w:color w:val="auto"/>
        </w:rPr>
      </w:pPr>
    </w:p>
    <w:p>
      <w:pPr>
        <w:ind w:firstLine="757"/>
        <w:spacing w:after="0" w:line="269" w:lineRule="auto"/>
        <w:tabs>
          <w:tab w:leader="none" w:pos="11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Existing Credit Agreement or this Amendment, each 2025 Term Lender hereby waives (solely with respect to itself) its right to receive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269" w:lineRule="auto"/>
        <w:rPr>
          <w:sz w:val="20"/>
          <w:szCs w:val="20"/>
          <w:color w:val="auto"/>
        </w:rPr>
      </w:pPr>
      <w:r>
        <w:rPr>
          <w:rFonts w:ascii="Times New Roman" w:cs="Times New Roman" w:eastAsia="Times New Roman" w:hAnsi="Times New Roman"/>
          <w:sz w:val="20"/>
          <w:szCs w:val="20"/>
          <w:color w:val="auto"/>
        </w:rPr>
        <w:t>compensation pursuant to Section 2.16 of the Existing Credit Agreement or the Amended Credit Agreement as a result of or in connection with the 2025 Term Loans, the Term Loan Refinancing and/or this Amendment.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IV. CONDITIONS PRECEDENT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This Amendment shall become effective as of the first date on which each of the following conditions in this </w:t>
      </w:r>
      <w:r>
        <w:rPr>
          <w:rFonts w:ascii="Times New Roman" w:cs="Times New Roman" w:eastAsia="Times New Roman" w:hAnsi="Times New Roman"/>
          <w:sz w:val="20"/>
          <w:szCs w:val="20"/>
          <w:u w:val="single" w:color="auto"/>
          <w:color w:val="auto"/>
        </w:rPr>
        <w:t>Section IV</w:t>
      </w:r>
      <w:r>
        <w:rPr>
          <w:rFonts w:ascii="Times New Roman" w:cs="Times New Roman" w:eastAsia="Times New Roman" w:hAnsi="Times New Roman"/>
          <w:sz w:val="20"/>
          <w:szCs w:val="20"/>
          <w:color w:val="auto"/>
        </w:rPr>
        <w:t xml:space="preserve"> have been satisfied (the date of satisfaction of such conditions being referred to herein as the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40" w:firstLine="757"/>
        <w:spacing w:after="0" w:line="254"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The Administrative Agent shall have received (i) a counterpart signature page of this Amendment duly executed by each of the Loan Parties, (ii) a counterpart signature page of this Amendment duly executed by each 2025 Term Lender and each 2025 Revolving Lender and (iii) a counterpart signature page of this Amendment duly executed by the Administrative Agent.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from the Borrower and each Loan Party, to the extent party thereto, (i) a Borrowing Request requesting the borrowing of the 2025 Revolving Loans, (ii) a Borrowing Request requesting the borrowing of the 2025 Term Loans, (iii) a notice of prepayment of the Existing Revolving Loans and (iv) a notice of prepayment of the Existing Term Loans, in each case, in accordance with the Existing Credit Agreement.</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Loan Parties set forth in this Amendment and the other Loan Documents shall be true and correct in all material respects on and as of the Amendment No. 2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At the time of and immediately after giving effect to this Amendment, no Default or Event of Default has occurred and is continuing.</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Administrative Agent shall have received a certificate from a Responsible Officer of the Borrower certifying the satisfaction of the conditions precedent set forth in </w:t>
      </w:r>
      <w:r>
        <w:rPr>
          <w:rFonts w:ascii="Times New Roman" w:cs="Times New Roman" w:eastAsia="Times New Roman" w:hAnsi="Times New Roman"/>
          <w:sz w:val="20"/>
          <w:szCs w:val="20"/>
          <w:u w:val="single" w:color="auto"/>
          <w:color w:val="auto"/>
        </w:rPr>
        <w:t>Paragraphs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 and Good Standing Certificates of Loan Parties</w:t>
      </w:r>
      <w:r>
        <w:rPr>
          <w:rFonts w:ascii="Times New Roman" w:cs="Times New Roman" w:eastAsia="Times New Roman" w:hAnsi="Times New Roman"/>
          <w:sz w:val="20"/>
          <w:szCs w:val="20"/>
          <w:color w:val="auto"/>
        </w:rPr>
        <w:t>. The Administrative Agent (or its counsel) shall have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w:t>
      </w:r>
    </w:p>
    <w:p>
      <w:pPr>
        <w:spacing w:after="0" w:line="193"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each Loan Party, dated the Amendment No. 2 Effective Date and executed by a Responsible Officer, which</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shall:</w:t>
      </w:r>
    </w:p>
    <w:p>
      <w:pPr>
        <w:spacing w:after="0" w:line="193" w:lineRule="exact"/>
        <w:rPr>
          <w:rFonts w:ascii="Times New Roman" w:cs="Times New Roman" w:eastAsia="Times New Roman" w:hAnsi="Times New Roman"/>
          <w:sz w:val="19"/>
          <w:szCs w:val="19"/>
          <w:color w:val="auto"/>
        </w:rPr>
      </w:pPr>
    </w:p>
    <w:p>
      <w:pPr>
        <w:jc w:val="both"/>
        <w:ind w:firstLine="1548"/>
        <w:spacing w:after="0" w:line="249" w:lineRule="auto"/>
        <w:tabs>
          <w:tab w:leader="none" w:pos="1936"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this Amendment and that such resolutions or written consents have not been modified, rescinded or amended and are in full force and effect,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ind w:right="40" w:firstLine="1548"/>
        <w:spacing w:after="0" w:line="269" w:lineRule="auto"/>
        <w:tabs>
          <w:tab w:leader="none" w:pos="1936"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by name and title and bear the signatures of the Responsible Officer or authorized signatory of such Loan Party on the Amendment No. 2 Effective Date that is authorized to sign this Amendment, as applicable, and</w:t>
      </w:r>
    </w:p>
    <w:p>
      <w:pPr>
        <w:spacing w:after="0" w:line="159" w:lineRule="exact"/>
        <w:rPr>
          <w:rFonts w:ascii="Times New Roman" w:cs="Times New Roman" w:eastAsia="Times New Roman" w:hAnsi="Times New Roman"/>
          <w:sz w:val="20"/>
          <w:szCs w:val="20"/>
          <w:color w:val="auto"/>
        </w:rPr>
      </w:pPr>
    </w:p>
    <w:p>
      <w:pPr>
        <w:ind w:firstLine="1548"/>
        <w:spacing w:after="0" w:line="245" w:lineRule="auto"/>
        <w:tabs>
          <w:tab w:leader="none" w:pos="1936"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(I) that attached thereto is a true and complete copy of the certificate or articles of incorporation or organization (or memorandum of association, articles of association or other equivalent thereof) of each Loan Party on the Amendment No. 2 Effective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184" w:lineRule="exact"/>
        <w:rPr>
          <w:rFonts w:ascii="Times New Roman" w:cs="Times New Roman" w:eastAsia="Times New Roman" w:hAnsi="Times New Roman"/>
          <w:sz w:val="20"/>
          <w:szCs w:val="20"/>
          <w:color w:val="auto"/>
        </w:rPr>
      </w:pPr>
    </w:p>
    <w:p>
      <w:pPr>
        <w:ind w:right="20" w:firstLine="1153"/>
        <w:spacing w:after="0" w:line="269" w:lineRule="auto"/>
        <w:tabs>
          <w:tab w:leader="none" w:pos="15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The Administrative Agent (or its counsel) shall have received a certificate in substantially the form of </w:t>
      </w:r>
      <w:r>
        <w:rPr>
          <w:rFonts w:ascii="Times New Roman" w:cs="Times New Roman" w:eastAsia="Times New Roman" w:hAnsi="Times New Roman"/>
          <w:sz w:val="20"/>
          <w:szCs w:val="20"/>
          <w:u w:val="single" w:color="auto"/>
          <w:color w:val="auto"/>
        </w:rPr>
        <w:t>Exhibit P</w:t>
      </w:r>
      <w:r>
        <w:rPr>
          <w:rFonts w:ascii="Times New Roman" w:cs="Times New Roman" w:eastAsia="Times New Roman" w:hAnsi="Times New Roman"/>
          <w:sz w:val="20"/>
          <w:szCs w:val="20"/>
          <w:color w:val="auto"/>
        </w:rPr>
        <w:t xml:space="preserve"> to the Credit Agreement from a Responsible Officer of the Borrower dated as of the Amendment No. 2 Effective Date and certifying as to the matters set forth therein.</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2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w:t>
      </w:r>
      <w:r>
        <w:rPr>
          <w:rFonts w:ascii="Times New Roman" w:cs="Times New Roman" w:eastAsia="Times New Roman" w:hAnsi="Times New Roman"/>
          <w:sz w:val="20"/>
          <w:szCs w:val="20"/>
          <w:color w:val="auto"/>
        </w:rPr>
        <w:t>. The Administrative Agent (or its counsel) shall have received, on behalf of itself, the Lenders and each Issuing Bank on the Amendment No. 2 Effective Date, a customary written opinion of Sidley Austin LLP, in its capacity as special counsel for Holdings and the Loan Parties, dated the Amendment No. 2 Effective Date and addressed to the Administrative Agent, the Lenders and each Issuing Bank.</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Administrative Agent shall have received to the extent invoiced at least two (2) Business Days prior to the Amendment No. 2 Effective Date (except as otherwise reasonably agreed by the Borrower), all reasonable and documented out-of-pocket expenses incurred on or prior to the Amendment No. 2 Effective Date in connection with the preparation, execution and delivery of this Amendment and any other matters in connection herewith.</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7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Interest and fees</w:t>
      </w:r>
      <w:r>
        <w:rPr>
          <w:rFonts w:ascii="Times New Roman" w:cs="Times New Roman" w:eastAsia="Times New Roman" w:hAnsi="Times New Roman"/>
          <w:sz w:val="20"/>
          <w:szCs w:val="20"/>
          <w:color w:val="auto"/>
        </w:rPr>
        <w:t>. The Administrative Agent shall have received, on behalf of the 2025 Term Lenders and 2025 Revolving Lenders, all accrued and unpaid interest and fees (including, for the avoidance of doubt, all accrued and unpaid participation fees) on the Existing Term Loans, Existing Revolving Loans and Letters of Credit outstanding on the Amendment No. 2 Effective Date.</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and fees to exiting Lenders</w:t>
      </w:r>
      <w:r>
        <w:rPr>
          <w:rFonts w:ascii="Times New Roman" w:cs="Times New Roman" w:eastAsia="Times New Roman" w:hAnsi="Times New Roman"/>
          <w:sz w:val="20"/>
          <w:szCs w:val="20"/>
          <w:color w:val="auto"/>
        </w:rPr>
        <w:t>. The Administrative Agent shall have received on behalf of Barclays Bank PLC New York, Morgan Stanley Senior Funding, Inc., Stifel Bank and Trust, U.S. Bank National Association, and UBS AG Stamford Branch (together, collectively, the “</w:t>
      </w:r>
      <w:r>
        <w:rPr>
          <w:rFonts w:ascii="Times New Roman" w:cs="Times New Roman" w:eastAsia="Times New Roman" w:hAnsi="Times New Roman"/>
          <w:sz w:val="20"/>
          <w:szCs w:val="20"/>
          <w:u w:val="single" w:color="auto"/>
          <w:color w:val="auto"/>
        </w:rPr>
        <w:t>Exiting Lenders</w:t>
      </w:r>
      <w:r>
        <w:rPr>
          <w:rFonts w:ascii="Times New Roman" w:cs="Times New Roman" w:eastAsia="Times New Roman" w:hAnsi="Times New Roman"/>
          <w:sz w:val="20"/>
          <w:szCs w:val="20"/>
          <w:color w:val="auto"/>
        </w:rPr>
        <w:t>”) all principal amounts under the Existing Term Loans and Existing Revolving Loans outstanding on the Amendment No. 2 Effective Date (or the consideration for the assignment thereof effected pursuant to Section 1.08 of the Credit Agreement), and all accrued and unpaid interest and fees on the Existing Term Loans, Existing Revolving Loans and Letters of Credit, in each case, owing to each Exiting Lender and outstanding on the Amendment No. 2 Effective Date.</w:t>
      </w:r>
    </w:p>
    <w:p>
      <w:pPr>
        <w:spacing w:after="0" w:line="184" w:lineRule="exact"/>
        <w:rPr>
          <w:rFonts w:ascii="Times New Roman" w:cs="Times New Roman" w:eastAsia="Times New Roman" w:hAnsi="Times New Roman"/>
          <w:sz w:val="20"/>
          <w:szCs w:val="20"/>
          <w:color w:val="auto"/>
        </w:rPr>
      </w:pPr>
    </w:p>
    <w:p>
      <w:pPr>
        <w:ind w:left="1220" w:hanging="463"/>
        <w:spacing w:after="0"/>
        <w:tabs>
          <w:tab w:leader="none" w:pos="12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The 2025 Refinancing shall be consummated contemporaneously with the Amendment No. 2</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Date.</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22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xml:space="preserve"> No later than three (3) Business Days in advance of the Amendment No. 2 Effective Date, the Administrative Agent shall have received all documentation and other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20"/>
          <w:szCs w:val="20"/>
          <w:color w:val="auto"/>
        </w:rPr>
        <w:t>reasonably requested with respect to any Loan Party in writing by any 2025 Refinancing Lender at least ten (10) Business Days in advance of the Amendment No. 2 Effective Date, which documentation or other information is required by regulatory authorities under applicable “know your customer” and anti-money laundering rules and regulations, including the USA PATRIOT Act.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determining whether the conditions specified in this </w:t>
      </w:r>
      <w:r>
        <w:rPr>
          <w:rFonts w:ascii="Times New Roman" w:cs="Times New Roman" w:eastAsia="Times New Roman" w:hAnsi="Times New Roman"/>
          <w:sz w:val="20"/>
          <w:szCs w:val="20"/>
          <w:u w:val="single" w:color="auto"/>
          <w:color w:val="auto"/>
        </w:rPr>
        <w:t>Section IV</w:t>
      </w:r>
      <w:r>
        <w:rPr>
          <w:rFonts w:ascii="Times New Roman" w:cs="Times New Roman" w:eastAsia="Times New Roman" w:hAnsi="Times New Roman"/>
          <w:sz w:val="20"/>
          <w:szCs w:val="20"/>
          <w:color w:val="auto"/>
        </w:rPr>
        <w:t xml:space="preserve"> have been satisfied on the Amendment No. 2 Effective Date, by executing and delivering its signature page(s) to this Amendment, the Administrative Agent and each 2025 Refinancing Lender, as applicable, shall be deemed to have consented to, approved or accepted, or to be satisfied with, each document or other matter required hereunder to be consented to or approved by or acceptable or satisfactory to the Administrative Agent or such 2025 Refinancing Lender, as the case may be.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V.  REPRESENTATIONS AND WARRANTIES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of the Loan Parties hereby represents and warrants that, as of the Amendment No. 2 Effective Date:</w:t>
      </w:r>
    </w:p>
    <w:p>
      <w:pPr>
        <w:spacing w:after="0" w:line="216" w:lineRule="exact"/>
        <w:rPr>
          <w:sz w:val="20"/>
          <w:szCs w:val="20"/>
          <w:color w:val="auto"/>
        </w:rPr>
      </w:pPr>
    </w:p>
    <w:p>
      <w:pPr>
        <w:jc w:val="both"/>
        <w:ind w:firstLine="757"/>
        <w:spacing w:after="0" w:line="246" w:lineRule="auto"/>
        <w:tabs>
          <w:tab w:leader="none" w:pos="114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each Loan Party in the Credit Agreement and the other Loan Documents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this Amendment, no Default or Event of Default has occurred and 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and each of the other Loan Parties party hereto is (i) duly organized or incorporated (as applicable) and validly existing and (ii) in good standing (to the extent such concept exists in the relevant jurisdiction) under the Requirements of Law of its jurisdiction of organization. The execution, delivery and performance by each Loan Party of this Amendment (a) are within such Loan Party’s corporate or other organizational power and (b) have been duly authorized by all necessary corporate or other organizational action of such Loan Party. This Amendment has been duly executed and delivered by such Loan Party and is a legal, valid and binding obligation of such Loan Party, enforceable in accordance with its terms, subject to the Legal Reservations; and</w:t>
      </w:r>
    </w:p>
    <w:p>
      <w:pPr>
        <w:spacing w:after="0" w:line="184" w:lineRule="exact"/>
        <w:rPr>
          <w:rFonts w:ascii="Times New Roman" w:cs="Times New Roman" w:eastAsia="Times New Roman" w:hAnsi="Times New Roman"/>
          <w:sz w:val="20"/>
          <w:szCs w:val="20"/>
          <w:color w:val="auto"/>
        </w:rPr>
      </w:pPr>
    </w:p>
    <w:p>
      <w:pPr>
        <w:jc w:val="both"/>
        <w:ind w:firstLine="757"/>
        <w:spacing w:after="0" w:line="255" w:lineRule="auto"/>
        <w:tabs>
          <w:tab w:leader="none" w:pos="1145"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execution and delivery of this Amendment and the performance by such Loan Party of its obligations hereunder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 of Law applicable to such Loan Party which violation, in the case of this </w:t>
      </w:r>
      <w:r>
        <w:rPr>
          <w:rFonts w:ascii="Times New Roman" w:cs="Times New Roman" w:eastAsia="Times New Roman" w:hAnsi="Times New Roman"/>
          <w:sz w:val="19"/>
          <w:szCs w:val="19"/>
          <w:u w:val="single" w:color="auto"/>
          <w:color w:val="auto"/>
        </w:rPr>
        <w:t>clause (d)(ii)</w:t>
      </w:r>
      <w:r>
        <w:rPr>
          <w:rFonts w:ascii="Times New Roman" w:cs="Times New Roman" w:eastAsia="Times New Roman" w:hAnsi="Times New Roman"/>
          <w:sz w:val="19"/>
          <w:szCs w:val="19"/>
          <w:color w:val="auto"/>
        </w:rPr>
        <w:t xml:space="preserve">, would reasonably be expected to have a Material Adverse Effect and (c) will not violate or result in a default under any material Contractual Obligation to which such Loan Party is a party which violation, in the case of this </w:t>
      </w:r>
      <w:r>
        <w:rPr>
          <w:rFonts w:ascii="Times New Roman" w:cs="Times New Roman" w:eastAsia="Times New Roman" w:hAnsi="Times New Roman"/>
          <w:sz w:val="19"/>
          <w:szCs w:val="19"/>
          <w:u w:val="single" w:color="auto"/>
          <w:color w:val="auto"/>
        </w:rPr>
        <w:t>clause</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would reasonably be expected to result in a Material Adverse Effect.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VI. MISCELLANEOUS</w:t>
      </w:r>
    </w:p>
    <w:p>
      <w:pPr>
        <w:spacing w:after="0" w:line="216" w:lineRule="exact"/>
        <w:rPr>
          <w:sz w:val="20"/>
          <w:szCs w:val="20"/>
          <w:color w:val="auto"/>
        </w:rPr>
      </w:pPr>
    </w:p>
    <w:p>
      <w:pPr>
        <w:ind w:left="1160" w:hanging="403"/>
        <w:spacing w:after="0"/>
        <w:tabs>
          <w:tab w:leader="none" w:pos="11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ind w:left="1160" w:hanging="403"/>
        <w:spacing w:after="0"/>
        <w:tabs>
          <w:tab w:leader="none" w:pos="11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2025 Refinancing Lenders hereby acknowledge and agree that: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6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written notice to be delivered by the Borrower to the Administrative Agent pursuant to Section 2.11(a)(iii) of the Existing Credit Agreement has been satisfied;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under the Existing Credit Agreement that is not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as a 2025 Refinancing Lender shall no longer be considered a “Lender” under the Credit Agreement following the consummation of the 2025 Refinancing, and shall have no further rights or obligations under the Credit Agreement hereafter;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shall constitute all Revolving Credit Commitments and Term Commitments under the Credit Agreement on and as of the Amendment No. 2 Effective Date.</w:t>
      </w:r>
    </w:p>
    <w:p>
      <w:pPr>
        <w:spacing w:after="0" w:line="159" w:lineRule="exact"/>
        <w:rPr>
          <w:sz w:val="20"/>
          <w:szCs w:val="20"/>
          <w:color w:val="auto"/>
        </w:rPr>
      </w:pPr>
    </w:p>
    <w:p>
      <w:pPr>
        <w:ind w:left="1160" w:hanging="403"/>
        <w:spacing w:after="0"/>
        <w:tabs>
          <w:tab w:leader="none" w:pos="1160"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Reference to and Effect on the Credit Agreement and the Other Loan Documents; Security; Affirmations; Etc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9" w:lineRule="auto"/>
        <w:tabs>
          <w:tab w:leader="none" w:pos="11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Amendment No. 2 Effective Date, each reference in the Credit Agreement to “this Agreement”, “hereunder”, “hereof”, “herein” or words of like import referring to the Credit Agreement, and each reference in the other Loan Documents to the “Credit Agreement”, “thereunder”, “thereof”, “therein” or words of like import referring to the Credit Agreement shall mean and be a reference to the Existing Credit Agreement as amended hereby.</w:t>
      </w:r>
    </w:p>
    <w:p>
      <w:pPr>
        <w:spacing w:after="0" w:line="179" w:lineRule="exact"/>
        <w:rPr>
          <w:rFonts w:ascii="Times New Roman" w:cs="Times New Roman" w:eastAsia="Times New Roman" w:hAnsi="Times New Roman"/>
          <w:sz w:val="20"/>
          <w:szCs w:val="20"/>
          <w:color w:val="auto"/>
        </w:rPr>
      </w:pPr>
    </w:p>
    <w:p>
      <w:pPr>
        <w:ind w:right="20" w:firstLine="757"/>
        <w:spacing w:after="0" w:line="241" w:lineRule="auto"/>
        <w:tabs>
          <w:tab w:leader="none" w:pos="11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this Amendment, each Loan Party, (i) acknowledges and agrees that all of its Obligations (including, for the avoidance of doubt, obligations with respect to the 2025 Revolving Credit Commitments, 2025 Revolving Loans and the 2025 Term Commitments) under the Guarantees set out in the Loan Guaranty and any other guaranties in the Loan Documents to which it is a party are reaffirmed and remain in full force and effect on a continuous basis as and to the extent provided in the Loan Documents, (ii) reaffirms each Lien granted by each Loan Party to the Administrative Agent for the benefit of the Secured Parties and reaffirms the Guarantees made pursuant to the Loan Guaranty as and to the extent provided in the Loan Documents (in each case, including, for the avoidance of doubt, with respect to the 2025 Revolving Credit Commitments, 2025 Revolving Loans and the 2025 Term Commitments) and (iii) acknowledges and agrees that the grants of security interests by and the Guarantees of the Loan Parties contained in the Loan Guaranty and the Collateral Documents (in each case, including, for the avoidance of doubt, with respect to the 2025 Revolving Credit Commitments, 2025 Revolving Loans and the 2025 Term Commitments) are, and shall remain, in full force and effect after giving effect to this Amendment as and to the extent provided in the Loan Documents. Nothing contained in this Amendment shall be construed as substitution or novation of the obligations outstanding under the Credit Agreement or the other Loan Documents, which shall remain in full force and effect, except to any extent modified hereby.</w:t>
      </w:r>
    </w:p>
    <w:p>
      <w:pPr>
        <w:spacing w:after="0" w:line="197"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1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further security for the prompt and complete payment or performance, as the case may be, in full of the Obligations, each Loan Party hereby pledges, collaterally assigns, mortgages, transfers and grants to the Administrative Agent, its successors and assigns, on behalf of and for the ratable benefit of the Secured Parties pursuant to the terms of the applicable Collateral Documents, a continuing security interest in all of its right, title and interest in, to all of the Collateral.</w:t>
      </w:r>
    </w:p>
    <w:p>
      <w:pPr>
        <w:spacing w:after="0" w:line="180" w:lineRule="exact"/>
        <w:rPr>
          <w:sz w:val="20"/>
          <w:szCs w:val="20"/>
          <w:color w:val="auto"/>
        </w:rPr>
      </w:pPr>
    </w:p>
    <w:p>
      <w:pPr>
        <w:ind w:right="40" w:firstLine="757"/>
        <w:spacing w:after="0" w:line="269" w:lineRule="auto"/>
        <w:tabs>
          <w:tab w:leader="none" w:pos="114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and delivering a copy hereof, (A) the Borrower and each other Loan Party hereby agrees that all Secured Obligations shall continue to be guaranteed pursuant to the Loan Guaranty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9"/>
          <w:szCs w:val="19"/>
          <w:color w:val="auto"/>
        </w:rPr>
        <w:t>in accordance with the terms and provisions thereof and shall continue to be secured pursuant to the Collateral Documents in accordance with the terms and provisions thereof, and (B) the Borrower and each other Loan Party hereby (x) reaffirms its prior grant and the validity of the Liens granted by it pursuant to the Collateral Documents, (y) agrees that, notwithstanding the effectiveness of this Amendment, after giving effect to this Amendment, the guaranty pursuant to the Loan Guaranty and the Liens created pursuant to the Collateral Documents for the benefit of the Secured Parties continue to be in full force and effect and (z) affirms, acknowledges and confirms all of its obligations and liabilities under the Loan Documents to which it is a party, in each case after giving effect to this Amendment, all as provided in such Loan Documents, and acknowledges and agrees that such obligations and liabilities continue in full force and effect in respect of, and to secure, the Secured Obligations under the Credit Agreement and the other Loan Documents, in each case after giving effect to this Amendment.</w:t>
      </w:r>
    </w:p>
    <w:p>
      <w:pPr>
        <w:spacing w:after="0" w:line="173" w:lineRule="exact"/>
        <w:rPr>
          <w:sz w:val="20"/>
          <w:szCs w:val="20"/>
          <w:color w:val="auto"/>
        </w:rPr>
      </w:pPr>
    </w:p>
    <w:p>
      <w:pPr>
        <w:jc w:val="both"/>
        <w:ind w:firstLine="757"/>
        <w:spacing w:after="0" w:line="249" w:lineRule="auto"/>
        <w:tabs>
          <w:tab w:leader="none" w:pos="114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shall not constitute a waiver of any provision of, or operate as a waiver of any right, power or remedy of the Administrative Agent, any Lender or any Issuing Bank under, the Credit Agreement or any of the other Loan Documents. Nothing herein contained shall be construed as a substitution or novation of the obligations outstanding under the Credit Agreement or any other Loan Document or instruments securing the same, which shall remain in full force and effect.</w:t>
      </w:r>
    </w:p>
    <w:p>
      <w:pPr>
        <w:spacing w:after="0" w:line="180" w:lineRule="exact"/>
        <w:rPr>
          <w:sz w:val="20"/>
          <w:szCs w:val="20"/>
          <w:color w:val="auto"/>
        </w:rPr>
      </w:pPr>
    </w:p>
    <w:p>
      <w:pPr>
        <w:ind w:right="20" w:firstLine="757"/>
        <w:spacing w:after="0" w:line="269" w:lineRule="auto"/>
        <w:tabs>
          <w:tab w:leader="none" w:pos="117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Authorization</w:t>
      </w:r>
      <w:r>
        <w:rPr>
          <w:rFonts w:ascii="Times New Roman" w:cs="Times New Roman" w:eastAsia="Times New Roman" w:hAnsi="Times New Roman"/>
          <w:sz w:val="20"/>
          <w:szCs w:val="20"/>
          <w:color w:val="auto"/>
        </w:rPr>
        <w:t>. Each of the 2025 Refinancing Lenders, by its execution of this Amendment to the Administrative Agent, as applicable, hereby directs the Administrative Agent to execute and deliver this Amendment.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For the avoidance of doubt, this Amendment constitutes a Loan Document.</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 Waiver of Jury Trial</w:t>
      </w:r>
      <w:r>
        <w:rPr>
          <w:rFonts w:ascii="Times New Roman" w:cs="Times New Roman" w:eastAsia="Times New Roman" w:hAnsi="Times New Roman"/>
          <w:sz w:val="20"/>
          <w:szCs w:val="20"/>
          <w:color w:val="auto"/>
        </w:rPr>
        <w:t>. THIS AMENDMENT AND THE OTHER LOAN DOCUMENTS (OTHER THAN AS EXPRESSLY SET FORTH IN ANY OTHER LOAN DOCUMENT) AND ANY CLAIM, CONTROVERSY OR DISPUTE ARISING UNDER OR RELATED TO THIS AMENDMENT AND THE OTHER LOAN DOCUMENTS (OTHER THAN AS EXPRESSLY SET FORTH IN ANY OTHER LOAN DOCUMENT), WHETHER IN TORT, CONTRACT (AT LAW OR IN EQUITY) OR OTHERWISE, SHALL BE GOVERNED BY, AND CONSTRUED AND INTERPRETED IN ACCORDANCE WITH, THE LAWS OF THE STATE OF NEW YORK.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AMENDMENT,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94" w:lineRule="exact"/>
        <w:rPr>
          <w:rFonts w:ascii="Times New Roman" w:cs="Times New Roman" w:eastAsia="Times New Roman" w:hAnsi="Times New Roman"/>
          <w:sz w:val="20"/>
          <w:szCs w:val="20"/>
          <w:color w:val="auto"/>
        </w:rPr>
      </w:pPr>
    </w:p>
    <w:p>
      <w:pPr>
        <w:ind w:right="20" w:firstLine="757"/>
        <w:spacing w:after="0" w:line="269" w:lineRule="auto"/>
        <w:tabs>
          <w:tab w:leader="none" w:pos="11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 Service of Process</w:t>
      </w:r>
      <w:r>
        <w:rPr>
          <w:rFonts w:ascii="Times New Roman" w:cs="Times New Roman" w:eastAsia="Times New Roman" w:hAnsi="Times New Roman"/>
          <w:sz w:val="20"/>
          <w:szCs w:val="20"/>
          <w:color w:val="auto"/>
        </w:rPr>
        <w:t xml:space="preserve">. The provisions of Sections 9.10(b), (c) and (d)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set forth in full herein.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ind w:firstLine="757"/>
        <w:spacing w:after="0" w:line="249" w:lineRule="auto"/>
        <w:tabs>
          <w:tab w:leader="none" w:pos="114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to this Amendment on any number of separate counterparts, and all of said counterparts taken together shall be deemed to constitute one and the same instrument. Delivery of an executed counterpart to this Amendment by facsimile transmission or by electronic mail in pdf format shall be as effective as delivery of a manually executed counterpart hereof.</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w:t>
      </w:r>
      <w:r>
        <w:rPr>
          <w:rFonts w:ascii="Times New Roman" w:cs="Times New Roman" w:eastAsia="Times New Roman" w:hAnsi="Times New Roman"/>
          <w:sz w:val="20"/>
          <w:szCs w:val="20"/>
          <w:color w:val="auto"/>
        </w:rPr>
        <w:t xml:space="preserve">. The words “execution,” “execute,” “signed,” “signature,” and words of like import in or related to this Amendment or any other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in the Credit Agreement to the contrary the Administrative Agent is under no obligation to agree to accept electronic signatures in any form or in any format unless expressly agreed to by the Administrative Agent pursuant to procedures approved by it.</w:t>
      </w:r>
    </w:p>
    <w:p>
      <w:pPr>
        <w:spacing w:after="0" w:line="192" w:lineRule="exact"/>
        <w:rPr>
          <w:rFonts w:ascii="Times New Roman" w:cs="Times New Roman" w:eastAsia="Times New Roman" w:hAnsi="Times New Roman"/>
          <w:sz w:val="20"/>
          <w:szCs w:val="20"/>
          <w:color w:val="auto"/>
        </w:rPr>
      </w:pPr>
    </w:p>
    <w:p>
      <w:pPr>
        <w:ind w:firstLine="757"/>
        <w:spacing w:after="0" w:line="269" w:lineRule="auto"/>
        <w:tabs>
          <w:tab w:leader="none" w:pos="11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and Assigns</w:t>
      </w:r>
      <w:r>
        <w:rPr>
          <w:rFonts w:ascii="Times New Roman" w:cs="Times New Roman" w:eastAsia="Times New Roman" w:hAnsi="Times New Roman"/>
          <w:sz w:val="20"/>
          <w:szCs w:val="20"/>
          <w:color w:val="auto"/>
        </w:rPr>
        <w:t>. This Amendment shall inure to the benefit of, and be binding upon, the parties hereto and their respective successors and assigns.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0"/>
          <w:szCs w:val="20"/>
          <w:color w:val="auto"/>
        </w:rPr>
        <w:t>Each of the parties hereto has caused a counterpart of this Agreement to be duly executed and delivered as of the date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DEFINITIVE HEALTHCARE HOLDINGS, LLC</w:t>
      </w: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-10795</wp:posOffset>
            </wp:positionV>
            <wp:extent cx="13258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Richard Booth</w:t>
      </w:r>
    </w:p>
    <w:p>
      <w:pPr>
        <w:ind w:left="52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AIDH BUYER, LLC</w:t>
      </w: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-10795</wp:posOffset>
            </wp:positionV>
            <wp:extent cx="13258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Richard Booth</w:t>
      </w:r>
    </w:p>
    <w:p>
      <w:pPr>
        <w:ind w:left="52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ANALYTICAL WIZARDS, INC.</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DEFINITIVE HEALTHCARE, LLC</w:t>
      </w:r>
    </w:p>
    <w:p>
      <w:pPr>
        <w:ind w:left="5240"/>
        <w:spacing w:after="0"/>
        <w:rPr>
          <w:sz w:val="20"/>
          <w:szCs w:val="20"/>
          <w:color w:val="auto"/>
        </w:rPr>
      </w:pPr>
      <w:r>
        <w:rPr>
          <w:rFonts w:ascii="Times New Roman" w:cs="Times New Roman" w:eastAsia="Times New Roman" w:hAnsi="Times New Roman"/>
          <w:sz w:val="20"/>
          <w:szCs w:val="20"/>
          <w:color w:val="auto"/>
        </w:rPr>
        <w:t>HEALTHCARE SALES ENABLEMENT, LLC</w:t>
      </w:r>
    </w:p>
    <w:p>
      <w:pPr>
        <w:ind w:left="5240"/>
        <w:spacing w:after="0"/>
        <w:rPr>
          <w:sz w:val="20"/>
          <w:szCs w:val="20"/>
          <w:color w:val="auto"/>
        </w:rPr>
      </w:pPr>
      <w:r>
        <w:rPr>
          <w:rFonts w:ascii="Times New Roman" w:cs="Times New Roman" w:eastAsia="Times New Roman" w:hAnsi="Times New Roman"/>
          <w:sz w:val="20"/>
          <w:szCs w:val="20"/>
          <w:color w:val="auto"/>
        </w:rPr>
        <w:t>MONOCL HOLDING COMPANY, LLC</w:t>
      </w:r>
    </w:p>
    <w:p>
      <w:pPr>
        <w:ind w:left="5240"/>
        <w:spacing w:after="0"/>
        <w:rPr>
          <w:sz w:val="20"/>
          <w:szCs w:val="20"/>
          <w:color w:val="auto"/>
        </w:rPr>
      </w:pPr>
      <w:r>
        <w:rPr>
          <w:rFonts w:ascii="Times New Roman" w:cs="Times New Roman" w:eastAsia="Times New Roman" w:hAnsi="Times New Roman"/>
          <w:sz w:val="20"/>
          <w:szCs w:val="20"/>
          <w:color w:val="auto"/>
        </w:rPr>
        <w:t>MONOCL COMPANY, LLC</w:t>
      </w:r>
    </w:p>
    <w:p>
      <w:pPr>
        <w:ind w:left="5240"/>
        <w:spacing w:after="0"/>
        <w:rPr>
          <w:sz w:val="20"/>
          <w:szCs w:val="20"/>
          <w:color w:val="auto"/>
        </w:rPr>
      </w:pPr>
      <w:r>
        <w:rPr>
          <w:rFonts w:ascii="Times New Roman" w:cs="Times New Roman" w:eastAsia="Times New Roman" w:hAnsi="Times New Roman"/>
          <w:sz w:val="20"/>
          <w:szCs w:val="20"/>
          <w:color w:val="auto"/>
        </w:rPr>
        <w:t>POPULI, LLC</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-10795</wp:posOffset>
            </wp:positionV>
            <wp:extent cx="13258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Richard Booth</w:t>
      </w:r>
    </w:p>
    <w:p>
      <w:pPr>
        <w:ind w:left="52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color w:val="auto"/>
        </w:rPr>
        <w:t>BANK OF AMERICA, N.A., as Administrative Agent and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Karen Yap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Karen Yap</w:t>
      </w:r>
    </w:p>
    <w:p>
      <w:pPr>
        <w:ind w:left="41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627380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440" w:top="1413" w:right="899" w:bottom="1440" w:gutter="0" w:footer="0" w:header="0"/>
        </w:sectPr>
      </w:pPr>
    </w:p>
    <w:bookmarkStart w:id="14" w:name="page15"/>
    <w:bookmarkEnd w:id="14"/>
    <w:p>
      <w:pPr>
        <w:jc w:val="right"/>
        <w:ind w:right="1579"/>
        <w:spacing w:after="0"/>
        <w:rPr>
          <w:sz w:val="20"/>
          <w:szCs w:val="20"/>
          <w:color w:val="auto"/>
        </w:rPr>
      </w:pPr>
      <w:r>
        <w:rPr>
          <w:rFonts w:ascii="Times New Roman" w:cs="Times New Roman" w:eastAsia="Times New Roman" w:hAnsi="Times New Roman"/>
          <w:sz w:val="20"/>
          <w:szCs w:val="20"/>
          <w:color w:val="auto"/>
        </w:rPr>
        <w:t>JPMorgan Chase Bank, N.A., as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Myles Upchurch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Myles Upchurch</w:t>
      </w:r>
    </w:p>
    <w:p>
      <w:pPr>
        <w:ind w:left="41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677545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 w:name="page16"/>
    <w:bookmarkEnd w:id="15"/>
    <w:p>
      <w:pPr>
        <w:jc w:val="right"/>
        <w:ind w:right="2419"/>
        <w:spacing w:after="0"/>
        <w:rPr>
          <w:sz w:val="20"/>
          <w:szCs w:val="20"/>
          <w:color w:val="auto"/>
        </w:rPr>
      </w:pPr>
      <w:r>
        <w:rPr>
          <w:rFonts w:ascii="Times New Roman" w:cs="Times New Roman" w:eastAsia="Times New Roman" w:hAnsi="Times New Roman"/>
          <w:sz w:val="20"/>
          <w:szCs w:val="20"/>
          <w:color w:val="auto"/>
        </w:rPr>
        <w:t>DNB Capital LLC, as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Irina Benimovich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Irina Benimovich</w:t>
      </w:r>
    </w:p>
    <w:p>
      <w:pPr>
        <w:ind w:left="41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20"/>
          <w:szCs w:val="20"/>
          <w:color w:val="auto"/>
        </w:rPr>
        <w:t>DNB Capital LLC, as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Devan Petal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Devan Petal</w:t>
      </w:r>
    </w:p>
    <w:p>
      <w:pPr>
        <w:ind w:left="41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677545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color w:val="auto"/>
        </w:rPr>
        <w:t>DEUTSCHE BANK AG NEW YORK BRANCH, as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325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Philip Tancorra</w:t>
      </w:r>
    </w:p>
    <w:p>
      <w:pPr>
        <w:ind w:left="41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325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Suzan Onal</w:t>
      </w:r>
    </w:p>
    <w:p>
      <w:pPr>
        <w:ind w:left="41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677545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00"/>
          </w:cols>
          <w:pgMar w:left="1440" w:top="1413" w:right="1359" w:bottom="1440" w:gutter="0" w:footer="0" w:header="0"/>
        </w:sectPr>
      </w:pPr>
    </w:p>
    <w:bookmarkStart w:id="17" w:name="page18"/>
    <w:bookmarkEnd w:id="17"/>
    <w:p>
      <w:pPr>
        <w:jc w:val="right"/>
        <w:ind w:right="1119"/>
        <w:spacing w:after="0"/>
        <w:rPr>
          <w:sz w:val="20"/>
          <w:szCs w:val="20"/>
          <w:color w:val="auto"/>
        </w:rPr>
      </w:pPr>
      <w:r>
        <w:rPr>
          <w:rFonts w:ascii="Times New Roman" w:cs="Times New Roman" w:eastAsia="Times New Roman" w:hAnsi="Times New Roman"/>
          <w:sz w:val="20"/>
          <w:szCs w:val="20"/>
          <w:color w:val="auto"/>
        </w:rPr>
        <w:t>GOLDMAN SACHS BANK USA, as a Lender</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Dan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325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Dan Starr</w:t>
      </w:r>
    </w:p>
    <w:p>
      <w:pPr>
        <w:ind w:left="41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677545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 w:name="page19"/>
    <w:bookmarkEnd w:id="18"/>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16"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0"/>
          <w:szCs w:val="20"/>
          <w:b w:val="1"/>
          <w:bCs w:val="1"/>
          <w:color w:val="auto"/>
        </w:rPr>
        <w:t>2025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On file with the Administrative Agent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9" w:name="page20"/>
    <w:bookmarkEnd w:id="19"/>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2025 Term Loan Commitments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On file with the Administrative Agent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Amended Credit Agreement</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878840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
        </w:trPr>
        <w:tc>
          <w:tcPr>
            <w:tcW w:w="8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6"/>
              </w:rPr>
              <w:t>Posting Version</w:t>
            </w:r>
          </w:p>
        </w:tc>
        <w:tc>
          <w:tcPr>
            <w:tcW w:w="0" w:type="dxa"/>
            <w:vAlign w:val="bottom"/>
          </w:tcPr>
          <w:p>
            <w:pPr>
              <w:spacing w:after="0" w:line="20" w:lineRule="exact"/>
              <w:rPr>
                <w:sz w:val="1"/>
                <w:szCs w:val="1"/>
                <w:color w:val="auto"/>
              </w:rPr>
            </w:pPr>
          </w:p>
        </w:tc>
      </w:tr>
      <w:tr>
        <w:trPr>
          <w:trHeight w:val="224"/>
        </w:trPr>
        <w:tc>
          <w:tcPr>
            <w:tcW w:w="8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8520" w:type="dxa"/>
            <w:vAlign w:val="bottom"/>
          </w:tcPr>
          <w:p>
            <w:pPr>
              <w:ind w:left="4120"/>
              <w:spacing w:after="0"/>
              <w:rPr>
                <w:sz w:val="20"/>
                <w:szCs w:val="20"/>
                <w:color w:val="auto"/>
              </w:rPr>
            </w:pPr>
            <w:r>
              <w:rPr>
                <w:rFonts w:ascii="Times New Roman" w:cs="Times New Roman" w:eastAsia="Times New Roman" w:hAnsi="Times New Roman"/>
                <w:sz w:val="19"/>
                <w:szCs w:val="19"/>
                <w:b w:val="1"/>
                <w:bCs w:val="1"/>
                <w:color w:val="auto"/>
              </w:rPr>
              <w:t>Published Deal CUSIP Number</w:t>
            </w:r>
          </w:p>
        </w:tc>
        <w:tc>
          <w:tcPr>
            <w:tcW w:w="2720" w:type="dxa"/>
            <w:vAlign w:val="bottom"/>
            <w:gridSpan w:val="2"/>
          </w:tcPr>
          <w:p>
            <w:pPr>
              <w:jc w:val="right"/>
              <w:ind w:right="586"/>
              <w:spacing w:after="0"/>
              <w:rPr>
                <w:sz w:val="20"/>
                <w:szCs w:val="20"/>
                <w:color w:val="auto"/>
              </w:rPr>
            </w:pPr>
            <w:r>
              <w:rPr>
                <w:rFonts w:ascii="Times New Roman" w:cs="Times New Roman" w:eastAsia="Times New Roman" w:hAnsi="Times New Roman"/>
                <w:sz w:val="19"/>
                <w:szCs w:val="19"/>
                <w:b w:val="1"/>
                <w:bCs w:val="1"/>
                <w:color w:val="auto"/>
              </w:rPr>
              <w:t>24477GAA6</w:t>
            </w:r>
          </w:p>
        </w:tc>
        <w:tc>
          <w:tcPr>
            <w:tcW w:w="0" w:type="dxa"/>
            <w:vAlign w:val="bottom"/>
          </w:tcPr>
          <w:p>
            <w:pPr>
              <w:spacing w:after="0"/>
              <w:rPr>
                <w:sz w:val="1"/>
                <w:szCs w:val="1"/>
                <w:color w:val="auto"/>
              </w:rPr>
            </w:pPr>
          </w:p>
        </w:tc>
      </w:tr>
      <w:tr>
        <w:trPr>
          <w:trHeight w:val="216"/>
        </w:trPr>
        <w:tc>
          <w:tcPr>
            <w:tcW w:w="8520" w:type="dxa"/>
            <w:vAlign w:val="bottom"/>
          </w:tcPr>
          <w:p>
            <w:pPr>
              <w:ind w:left="4120"/>
              <w:spacing w:after="0" w:line="216" w:lineRule="exact"/>
              <w:rPr>
                <w:sz w:val="20"/>
                <w:szCs w:val="20"/>
                <w:color w:val="auto"/>
              </w:rPr>
            </w:pPr>
            <w:r>
              <w:rPr>
                <w:rFonts w:ascii="Times New Roman" w:cs="Times New Roman" w:eastAsia="Times New Roman" w:hAnsi="Times New Roman"/>
                <w:sz w:val="19"/>
                <w:szCs w:val="19"/>
                <w:b w:val="1"/>
                <w:bCs w:val="1"/>
                <w:color w:val="auto"/>
              </w:rPr>
              <w:t>Published Revolver CUSIP Number:</w:t>
            </w:r>
          </w:p>
        </w:tc>
        <w:tc>
          <w:tcPr>
            <w:tcW w:w="2720" w:type="dxa"/>
            <w:vAlign w:val="bottom"/>
            <w:gridSpan w:val="2"/>
          </w:tcPr>
          <w:p>
            <w:pPr>
              <w:jc w:val="right"/>
              <w:ind w:right="586"/>
              <w:spacing w:after="0" w:line="216" w:lineRule="exact"/>
              <w:rPr>
                <w:sz w:val="20"/>
                <w:szCs w:val="20"/>
                <w:color w:val="auto"/>
              </w:rPr>
            </w:pPr>
            <w:r>
              <w:rPr>
                <w:rFonts w:ascii="Times New Roman" w:cs="Times New Roman" w:eastAsia="Times New Roman" w:hAnsi="Times New Roman"/>
                <w:sz w:val="19"/>
                <w:szCs w:val="19"/>
                <w:b w:val="1"/>
                <w:bCs w:val="1"/>
                <w:color w:val="auto"/>
              </w:rPr>
              <w:t>24477GAB4</w:t>
            </w:r>
          </w:p>
        </w:tc>
        <w:tc>
          <w:tcPr>
            <w:tcW w:w="0" w:type="dxa"/>
            <w:vAlign w:val="bottom"/>
          </w:tcPr>
          <w:p>
            <w:pPr>
              <w:spacing w:after="0"/>
              <w:rPr>
                <w:sz w:val="1"/>
                <w:szCs w:val="1"/>
                <w:color w:val="auto"/>
              </w:rPr>
            </w:pPr>
          </w:p>
        </w:tc>
      </w:tr>
      <w:tr>
        <w:trPr>
          <w:trHeight w:val="248"/>
        </w:trPr>
        <w:tc>
          <w:tcPr>
            <w:tcW w:w="8520" w:type="dxa"/>
            <w:vAlign w:val="bottom"/>
          </w:tcPr>
          <w:p>
            <w:pPr>
              <w:ind w:left="4120"/>
              <w:spacing w:after="0"/>
              <w:rPr>
                <w:sz w:val="20"/>
                <w:szCs w:val="20"/>
                <w:color w:val="auto"/>
              </w:rPr>
            </w:pPr>
            <w:r>
              <w:rPr>
                <w:rFonts w:ascii="Times New Roman" w:cs="Times New Roman" w:eastAsia="Times New Roman" w:hAnsi="Times New Roman"/>
                <w:sz w:val="19"/>
                <w:szCs w:val="19"/>
                <w:b w:val="1"/>
                <w:bCs w:val="1"/>
                <w:color w:val="auto"/>
              </w:rPr>
              <w:t>Published Term Loan A CUSIP Number:</w:t>
            </w:r>
          </w:p>
        </w:tc>
        <w:tc>
          <w:tcPr>
            <w:tcW w:w="2720" w:type="dxa"/>
            <w:vAlign w:val="bottom"/>
            <w:gridSpan w:val="2"/>
          </w:tcPr>
          <w:p>
            <w:pPr>
              <w:jc w:val="right"/>
              <w:ind w:right="586"/>
              <w:spacing w:after="0"/>
              <w:rPr>
                <w:sz w:val="20"/>
                <w:szCs w:val="20"/>
                <w:color w:val="auto"/>
              </w:rPr>
            </w:pPr>
            <w:r>
              <w:rPr>
                <w:rFonts w:ascii="Times New Roman" w:cs="Times New Roman" w:eastAsia="Times New Roman" w:hAnsi="Times New Roman"/>
                <w:sz w:val="19"/>
                <w:szCs w:val="19"/>
                <w:b w:val="1"/>
                <w:bCs w:val="1"/>
                <w:color w:val="auto"/>
              </w:rPr>
              <w:t>24477GAC2</w:t>
            </w:r>
          </w:p>
        </w:tc>
        <w:tc>
          <w:tcPr>
            <w:tcW w:w="0" w:type="dxa"/>
            <w:vAlign w:val="bottom"/>
          </w:tcPr>
          <w:p>
            <w:pPr>
              <w:spacing w:after="0"/>
              <w:rPr>
                <w:sz w:val="1"/>
                <w:szCs w:val="1"/>
                <w:color w:val="auto"/>
              </w:rPr>
            </w:pPr>
          </w:p>
        </w:tc>
      </w:tr>
      <w:tr>
        <w:trPr>
          <w:trHeight w:val="416"/>
        </w:trPr>
        <w:tc>
          <w:tcPr>
            <w:tcW w:w="8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520" w:type="dxa"/>
            <w:vAlign w:val="bottom"/>
            <w:tcBorders>
              <w:bottom w:val="single" w:sz="8" w:color="auto"/>
            </w:tcBorders>
            <w:shd w:val="clear" w:color="auto" w:fill="FFDEAD"/>
          </w:tcPr>
          <w:p>
            <w:pPr>
              <w:spacing w:after="0"/>
              <w:rPr>
                <w:sz w:val="24"/>
                <w:szCs w:val="24"/>
                <w:color w:val="auto"/>
              </w:rPr>
            </w:pPr>
          </w:p>
        </w:tc>
        <w:tc>
          <w:tcPr>
            <w:tcW w:w="1460" w:type="dxa"/>
            <w:vAlign w:val="bottom"/>
            <w:tcBorders>
              <w:bottom w:val="single" w:sz="8" w:color="auto"/>
            </w:tcBorders>
            <w:shd w:val="clear" w:color="auto" w:fill="FFDEAD"/>
          </w:tcPr>
          <w:p>
            <w:pPr>
              <w:spacing w:after="0"/>
              <w:rPr>
                <w:sz w:val="24"/>
                <w:szCs w:val="24"/>
                <w:color w:val="auto"/>
              </w:rPr>
            </w:pPr>
          </w:p>
        </w:tc>
        <w:tc>
          <w:tcPr>
            <w:tcW w:w="1260" w:type="dxa"/>
            <w:vAlign w:val="bottom"/>
            <w:tcBorders>
              <w:bottom w:val="single" w:sz="8" w:color="auto"/>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September 17, 2021,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as amended by Amendment No. 1, dated as of October 31, 2022 </w:t>
      </w:r>
      <w:r>
        <w:rPr>
          <w:rFonts w:ascii="Times New Roman" w:cs="Times New Roman" w:eastAsia="Times New Roman" w:hAnsi="Times New Roman"/>
          <w:sz w:val="20"/>
          <w:szCs w:val="20"/>
          <w:color w:val="0000FF"/>
        </w:rPr>
        <w:t>and by Amendment No. 2, dated as of 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-24765</wp:posOffset>
            </wp:positionV>
            <wp:extent cx="2833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337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DEFINITIVE HEALTHCARE HOLDINGS,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AIDH BUYER,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Holdings,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FINANCIAL INSTITUTIONS PARTY HERETO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Lenders and Issuing Banks,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an Issuing Bank and Swingline Lender,</w:t>
      </w:r>
    </w:p>
    <w:p>
      <w:pPr>
        <w:spacing w:after="0" w:line="19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BOFA SECURITIES,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0000"/>
          <w:strike w:val="1"/>
        </w:rPr>
        <w:t>BARCLAYS BANK PLC,</w:t>
      </w:r>
    </w:p>
    <w:p>
      <w:pPr>
        <w:jc w:val="center"/>
        <w:spacing w:after="0"/>
        <w:rPr>
          <w:sz w:val="20"/>
          <w:szCs w:val="20"/>
          <w:color w:val="auto"/>
        </w:rPr>
      </w:pPr>
      <w:r>
        <w:rPr>
          <w:rFonts w:ascii="Times New Roman" w:cs="Times New Roman" w:eastAsia="Times New Roman" w:hAnsi="Times New Roman"/>
          <w:sz w:val="20"/>
          <w:szCs w:val="20"/>
          <w:color w:val="FF0000"/>
          <w:strike w:val="1"/>
        </w:rPr>
        <w:t>CREDIT SUISSE LOAN FUNDING LLC,</w:t>
      </w:r>
    </w:p>
    <w:p>
      <w:pPr>
        <w:jc w:val="center"/>
        <w:spacing w:after="0"/>
        <w:rPr>
          <w:sz w:val="20"/>
          <w:szCs w:val="20"/>
          <w:color w:val="auto"/>
        </w:rPr>
      </w:pPr>
      <w:r>
        <w:rPr>
          <w:rFonts w:ascii="Times New Roman" w:cs="Times New Roman" w:eastAsia="Times New Roman" w:hAnsi="Times New Roman"/>
          <w:sz w:val="20"/>
          <w:szCs w:val="20"/>
          <w:color w:val="FF0000"/>
          <w:strike w:val="1"/>
        </w:rPr>
        <w:t>DEUTSCHE BANK SECURITIES INC.,</w:t>
      </w:r>
    </w:p>
    <w:p>
      <w:pPr>
        <w:jc w:val="center"/>
        <w:spacing w:after="0"/>
        <w:rPr>
          <w:sz w:val="20"/>
          <w:szCs w:val="20"/>
          <w:color w:val="auto"/>
        </w:rPr>
      </w:pPr>
      <w:r>
        <w:rPr>
          <w:rFonts w:ascii="Times New Roman" w:cs="Times New Roman" w:eastAsia="Times New Roman" w:hAnsi="Times New Roman"/>
          <w:sz w:val="20"/>
          <w:szCs w:val="20"/>
          <w:color w:val="FF0000"/>
          <w:strike w:val="1"/>
        </w:rPr>
        <w:t>GOLDMAN SACHS BANK USA</w:t>
      </w:r>
      <w:r>
        <w:rPr>
          <w:rFonts w:ascii="Times New Roman" w:cs="Times New Roman" w:eastAsia="Times New Roman" w:hAnsi="Times New Roman"/>
          <w:sz w:val="20"/>
          <w:szCs w:val="20"/>
          <w:u w:val="single" w:color="auto"/>
          <w:color w:val="0000FF"/>
        </w:rPr>
        <w:t>BOFA SECURITIES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INC.,</w:t>
      </w: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r>
        <w:rPr>
          <w:rFonts w:ascii="Times New Roman" w:cs="Times New Roman" w:eastAsia="Times New Roman" w:hAnsi="Times New Roman"/>
          <w:sz w:val="20"/>
          <w:szCs w:val="20"/>
          <w:color w:val="FF0000"/>
          <w:strike w:val="1"/>
        </w:rPr>
        <w:t>,</w:t>
      </w:r>
    </w:p>
    <w:p>
      <w:pPr>
        <w:jc w:val="center"/>
        <w:spacing w:after="0"/>
        <w:rPr>
          <w:sz w:val="20"/>
          <w:szCs w:val="20"/>
          <w:color w:val="auto"/>
        </w:rPr>
      </w:pPr>
      <w:r>
        <w:rPr>
          <w:rFonts w:ascii="Times New Roman" w:cs="Times New Roman" w:eastAsia="Times New Roman" w:hAnsi="Times New Roman"/>
          <w:sz w:val="20"/>
          <w:szCs w:val="20"/>
          <w:color w:val="FF0000"/>
          <w:strike w:val="1"/>
        </w:rPr>
        <w:t>MORGAN STANLEY SENIOR FUNDING</w:t>
      </w:r>
      <w:r>
        <w:rPr>
          <w:rFonts w:ascii="Times New Roman" w:cs="Times New Roman" w:eastAsia="Times New Roman" w:hAnsi="Times New Roman"/>
          <w:sz w:val="20"/>
          <w:szCs w:val="20"/>
          <w:u w:val="single" w:color="auto"/>
          <w:color w:val="0000FF"/>
        </w:rPr>
        <w:t>DNB MARKETS</w:t>
      </w:r>
      <w:r>
        <w:rPr>
          <w:rFonts w:ascii="Times New Roman" w:cs="Times New Roman" w:eastAsia="Times New Roman" w:hAnsi="Times New Roman"/>
          <w:sz w:val="20"/>
          <w:szCs w:val="20"/>
          <w:color w:val="000000"/>
        </w:rPr>
        <w:t>, INC</w:t>
      </w:r>
      <w:r>
        <w:rPr>
          <w:rFonts w:ascii="Times New Roman" w:cs="Times New Roman" w:eastAsia="Times New Roman" w:hAnsi="Times New Roman"/>
          <w:sz w:val="20"/>
          <w:szCs w:val="20"/>
          <w:color w:val="FF0000"/>
          <w:strike w:val="1"/>
        </w:rPr>
        <w:t>.</w:t>
      </w:r>
    </w:p>
    <w:p>
      <w:pPr>
        <w:jc w:val="center"/>
        <w:spacing w:after="0"/>
        <w:rPr>
          <w:sz w:val="20"/>
          <w:szCs w:val="20"/>
          <w:color w:val="auto"/>
        </w:rPr>
      </w:pPr>
      <w:r>
        <w:rPr>
          <w:rFonts w:ascii="Times New Roman" w:cs="Times New Roman" w:eastAsia="Times New Roman" w:hAnsi="Times New Roman"/>
          <w:sz w:val="20"/>
          <w:szCs w:val="20"/>
          <w:color w:val="FF0000"/>
          <w:strike w:val="1"/>
        </w:rPr>
        <w:t>and</w:t>
      </w:r>
    </w:p>
    <w:p>
      <w:pPr>
        <w:jc w:val="center"/>
        <w:spacing w:after="0"/>
        <w:rPr>
          <w:sz w:val="20"/>
          <w:szCs w:val="20"/>
          <w:color w:val="auto"/>
        </w:rPr>
      </w:pPr>
      <w:r>
        <w:rPr>
          <w:rFonts w:ascii="Times New Roman" w:cs="Times New Roman" w:eastAsia="Times New Roman" w:hAnsi="Times New Roman"/>
          <w:sz w:val="20"/>
          <w:szCs w:val="20"/>
          <w:color w:val="FF0000"/>
          <w:strike w:val="1"/>
        </w:rPr>
        <w:t>STIFEL BANK &amp; TRUST,</w:t>
      </w: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1530350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ARTICLE 1</w:t>
            </w:r>
          </w:p>
        </w:tc>
      </w:tr>
      <w:tr>
        <w:trPr>
          <w:trHeight w:val="45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DEFINITIONS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6"/>
              </w:rPr>
              <w:t>Defined Terms</w:t>
            </w:r>
          </w:p>
        </w:tc>
        <w:tc>
          <w:tcPr>
            <w:tcW w:w="3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w w:val="98"/>
              </w:rPr>
              <w:t>Classification of Loans and Borrowings</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w:t>
            </w: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Terms Generally</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Accounting Terms; GAAP</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Effectuation of Transactions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Timing of Payment or Performance</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65</w:t>
            </w: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Times of Day</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65</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1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1.09.  Cashless Rollovers 66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Alternate Currencies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66</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1.11.</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Rates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1.12.</w:t>
            </w: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Certain Calculations and Tests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67</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1.13.</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Effect of Benchmark Transition Event</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69</w:t>
            </w: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1.14.</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71</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1.15.</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Certain Determinations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71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1.16.</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Conflicts 72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1.17.</w:t>
            </w: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Confidentiality; Privilege, Etc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72</w:t>
            </w:r>
          </w:p>
        </w:tc>
        <w:tc>
          <w:tcPr>
            <w:tcW w:w="7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445"/>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ARTICLE 2</w:t>
            </w:r>
          </w:p>
        </w:tc>
      </w:tr>
      <w:tr>
        <w:trPr>
          <w:trHeight w:val="45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THE CREDITS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Commitments 72</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Loans and Borrowings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73</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7"/>
              </w:rPr>
              <w:t>Requests for Borrowings</w:t>
            </w:r>
          </w:p>
        </w:tc>
        <w:tc>
          <w:tcPr>
            <w:tcW w:w="32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Swingline Loans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Letters of Credit</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Conforming Changes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Funding of Borrowings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Type; Interest Elections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82</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396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Termination and Reduction of Commitments</w:t>
            </w:r>
          </w:p>
        </w:tc>
        <w:tc>
          <w:tcPr>
            <w:tcW w:w="1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82</w:t>
            </w:r>
          </w:p>
        </w:tc>
      </w:tr>
      <w:tr>
        <w:trPr>
          <w:trHeight w:val="230"/>
        </w:trPr>
        <w:tc>
          <w:tcPr>
            <w:tcW w:w="50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Section 2.10.  Repayment of Loans; Evidence of Debt 83</w:t>
            </w: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Prepayment of Loans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84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Fees 89</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Interest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Increased Costs</w:t>
            </w: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Break Funding Payments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Taxes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5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Payments Generally; Allocation of Proceeds; Sharing of Payments   97</w:t>
            </w: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2.19.</w:t>
            </w:r>
          </w:p>
        </w:tc>
        <w:tc>
          <w:tcPr>
            <w:tcW w:w="396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w w:val="99"/>
              </w:rPr>
              <w:t>Mitigation Obligations; Replacement of Lenders</w:t>
            </w:r>
          </w:p>
        </w:tc>
        <w:tc>
          <w:tcPr>
            <w:tcW w:w="1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98</w:t>
            </w:r>
          </w:p>
        </w:tc>
      </w:tr>
    </w:tbl>
    <w:p>
      <w:pPr>
        <w:spacing w:after="0"/>
        <w:rPr>
          <w:sz w:val="20"/>
          <w:szCs w:val="20"/>
          <w:color w:val="auto"/>
        </w:rPr>
      </w:pPr>
      <w:r>
        <w:rPr>
          <w:rFonts w:ascii="Times New Roman" w:cs="Times New Roman" w:eastAsia="Times New Roman" w:hAnsi="Times New Roman"/>
          <w:sz w:val="20"/>
          <w:szCs w:val="20"/>
          <w:color w:val="auto"/>
        </w:rPr>
        <w:t>Section 2.20.  Illegality 100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2.21.  Defaulting Lenders 100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Incremental Credit Extensions</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102</w:t>
            </w: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2.23.</w:t>
            </w:r>
          </w:p>
        </w:tc>
        <w:tc>
          <w:tcPr>
            <w:tcW w:w="47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Extensions of Loans and Revolving Credit Commitments</w:t>
            </w:r>
          </w:p>
        </w:tc>
        <w:tc>
          <w:tcPr>
            <w:tcW w:w="5400" w:type="dxa"/>
            <w:vAlign w:val="bottom"/>
          </w:tcPr>
          <w:p>
            <w:pPr>
              <w:jc w:val="right"/>
              <w:ind w:right="4901"/>
              <w:spacing w:after="0"/>
              <w:rPr>
                <w:sz w:val="20"/>
                <w:szCs w:val="20"/>
                <w:color w:val="auto"/>
              </w:rPr>
            </w:pPr>
            <w:r>
              <w:rPr>
                <w:rFonts w:ascii="Times New Roman" w:cs="Times New Roman" w:eastAsia="Times New Roman" w:hAnsi="Times New Roman"/>
                <w:sz w:val="20"/>
                <w:szCs w:val="20"/>
                <w:color w:val="auto"/>
              </w:rPr>
              <w:t>106</w:t>
            </w:r>
          </w:p>
        </w:tc>
      </w:tr>
      <w:tr>
        <w:trPr>
          <w:trHeight w:val="446"/>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80" w:type="dxa"/>
            <w:vAlign w:val="bottom"/>
            <w:gridSpan w:val="2"/>
          </w:tcPr>
          <w:p>
            <w:pPr>
              <w:jc w:val="center"/>
              <w:ind w:right="4261"/>
              <w:spacing w:after="0"/>
              <w:rPr>
                <w:sz w:val="20"/>
                <w:szCs w:val="20"/>
                <w:color w:val="auto"/>
              </w:rPr>
            </w:pPr>
            <w:r>
              <w:rPr>
                <w:rFonts w:ascii="Times New Roman" w:cs="Times New Roman" w:eastAsia="Times New Roman" w:hAnsi="Times New Roman"/>
                <w:sz w:val="20"/>
                <w:szCs w:val="20"/>
                <w:color w:val="auto"/>
                <w:w w:val="96"/>
              </w:rPr>
              <w:t>ARTICLE 3</w:t>
            </w:r>
          </w:p>
        </w:tc>
      </w:tr>
      <w:tr>
        <w:trPr>
          <w:trHeight w:val="459"/>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20" w:type="dxa"/>
            <w:vAlign w:val="bottom"/>
            <w:gridSpan w:val="4"/>
          </w:tcPr>
          <w:p>
            <w:pPr>
              <w:jc w:val="center"/>
              <w:ind w:right="3421"/>
              <w:spacing w:after="0"/>
              <w:rPr>
                <w:sz w:val="20"/>
                <w:szCs w:val="20"/>
                <w:color w:val="auto"/>
              </w:rPr>
            </w:pPr>
            <w:r>
              <w:rPr>
                <w:rFonts w:ascii="Times New Roman" w:cs="Times New Roman" w:eastAsia="Times New Roman" w:hAnsi="Times New Roman"/>
                <w:sz w:val="20"/>
                <w:szCs w:val="20"/>
                <w:color w:val="auto"/>
                <w:w w:val="97"/>
              </w:rPr>
              <w:t>REPRESENTATIONS AND WARRANTIES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Organization; Powers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29"/>
        </w:trPr>
        <w:tc>
          <w:tcPr>
            <w:tcW w:w="39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3.02.  Authorization; Enforceability 110</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58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Section 3.03.  Governmental Approvals; No Conflicts 110</w:t>
            </w: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47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Financial Condition; No Material Adverse Effect 110</w:t>
            </w: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Compliance with Laws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111</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111</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Taxes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6"/>
              </w:rPr>
              <w:t>111</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ERISA</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6"/>
              </w:rPr>
              <w:t>111</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Disclosure</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Solvency 112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Subsidiaries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39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3.14.  Security Interest in Collateral 112</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Labor Disputes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113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9"/>
              </w:rPr>
              <w:t>Federal Reserve Regulations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113</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Sanctions; PATRIOT ACT and FCPA</w:t>
            </w: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c>
          <w:tcPr>
            <w:tcW w:w="5400" w:type="dxa"/>
            <w:vAlign w:val="bottom"/>
          </w:tcPr>
          <w:p>
            <w:pPr>
              <w:spacing w:after="0"/>
              <w:rPr>
                <w:sz w:val="19"/>
                <w:szCs w:val="19"/>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3.18.</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Data Privacy</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445"/>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80" w:type="dxa"/>
            <w:vAlign w:val="bottom"/>
            <w:gridSpan w:val="2"/>
          </w:tcPr>
          <w:p>
            <w:pPr>
              <w:jc w:val="center"/>
              <w:ind w:right="4261"/>
              <w:spacing w:after="0"/>
              <w:rPr>
                <w:sz w:val="20"/>
                <w:szCs w:val="20"/>
                <w:color w:val="auto"/>
              </w:rPr>
            </w:pPr>
            <w:r>
              <w:rPr>
                <w:rFonts w:ascii="Times New Roman" w:cs="Times New Roman" w:eastAsia="Times New Roman" w:hAnsi="Times New Roman"/>
                <w:sz w:val="20"/>
                <w:szCs w:val="20"/>
                <w:color w:val="auto"/>
                <w:w w:val="96"/>
              </w:rPr>
              <w:t>ARTICLE 4</w:t>
            </w:r>
          </w:p>
        </w:tc>
      </w:tr>
      <w:tr>
        <w:trPr>
          <w:trHeight w:val="459"/>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80" w:type="dxa"/>
            <w:vAlign w:val="bottom"/>
            <w:gridSpan w:val="2"/>
          </w:tcPr>
          <w:p>
            <w:pPr>
              <w:jc w:val="center"/>
              <w:ind w:right="4261"/>
              <w:spacing w:after="0"/>
              <w:rPr>
                <w:sz w:val="20"/>
                <w:szCs w:val="20"/>
                <w:color w:val="auto"/>
              </w:rPr>
            </w:pPr>
            <w:r>
              <w:rPr>
                <w:rFonts w:ascii="Times New Roman" w:cs="Times New Roman" w:eastAsia="Times New Roman" w:hAnsi="Times New Roman"/>
                <w:sz w:val="20"/>
                <w:szCs w:val="20"/>
                <w:color w:val="auto"/>
                <w:w w:val="98"/>
              </w:rPr>
              <w:t>CONDITIONS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Closing Date</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Each Credit Extension</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116</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445"/>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80" w:type="dxa"/>
            <w:vAlign w:val="bottom"/>
            <w:gridSpan w:val="2"/>
          </w:tcPr>
          <w:p>
            <w:pPr>
              <w:jc w:val="center"/>
              <w:ind w:right="4261"/>
              <w:spacing w:after="0"/>
              <w:rPr>
                <w:sz w:val="20"/>
                <w:szCs w:val="20"/>
                <w:color w:val="auto"/>
              </w:rPr>
            </w:pPr>
            <w:r>
              <w:rPr>
                <w:rFonts w:ascii="Times New Roman" w:cs="Times New Roman" w:eastAsia="Times New Roman" w:hAnsi="Times New Roman"/>
                <w:sz w:val="20"/>
                <w:szCs w:val="20"/>
                <w:color w:val="auto"/>
                <w:w w:val="96"/>
              </w:rPr>
              <w:t>ARTICLE 5</w:t>
            </w:r>
          </w:p>
        </w:tc>
      </w:tr>
      <w:tr>
        <w:trPr>
          <w:trHeight w:val="459"/>
        </w:trPr>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20" w:type="dxa"/>
            <w:vAlign w:val="bottom"/>
            <w:gridSpan w:val="3"/>
          </w:tcPr>
          <w:p>
            <w:pPr>
              <w:jc w:val="center"/>
              <w:ind w:right="3821"/>
              <w:spacing w:after="0"/>
              <w:rPr>
                <w:sz w:val="20"/>
                <w:szCs w:val="20"/>
                <w:color w:val="auto"/>
              </w:rPr>
            </w:pPr>
            <w:r>
              <w:rPr>
                <w:rFonts w:ascii="Times New Roman" w:cs="Times New Roman" w:eastAsia="Times New Roman" w:hAnsi="Times New Roman"/>
                <w:sz w:val="20"/>
                <w:szCs w:val="20"/>
                <w:color w:val="auto"/>
                <w:w w:val="98"/>
              </w:rPr>
              <w:t>AFFIRMATIVE COVENANTS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w w:val="98"/>
              </w:rPr>
              <w:t>Financial Statements and Other Reports</w:t>
            </w:r>
          </w:p>
        </w:tc>
        <w:tc>
          <w:tcPr>
            <w:tcW w:w="148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117</w:t>
            </w:r>
          </w:p>
        </w:tc>
        <w:tc>
          <w:tcPr>
            <w:tcW w:w="540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Existence</w:t>
            </w:r>
          </w:p>
        </w:tc>
        <w:tc>
          <w:tcPr>
            <w:tcW w:w="4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Payment of Taxes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120</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Insurance</w:t>
            </w:r>
          </w:p>
        </w:tc>
        <w:tc>
          <w:tcPr>
            <w:tcW w:w="4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Inspections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Maintenance of Books and Records</w:t>
            </w:r>
          </w:p>
        </w:tc>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121</w:t>
            </w: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Compliance with Laws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121</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Environmental</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121</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5.11.</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Use of Proceeds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47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Covenant to Guarantee Obligations and Provide Security</w:t>
            </w:r>
          </w:p>
        </w:tc>
        <w:tc>
          <w:tcPr>
            <w:tcW w:w="5400" w:type="dxa"/>
            <w:vAlign w:val="bottom"/>
          </w:tcPr>
          <w:p>
            <w:pPr>
              <w:jc w:val="right"/>
              <w:ind w:right="4901"/>
              <w:spacing w:after="0"/>
              <w:rPr>
                <w:sz w:val="20"/>
                <w:szCs w:val="20"/>
                <w:color w:val="auto"/>
              </w:rPr>
            </w:pPr>
            <w:r>
              <w:rPr>
                <w:rFonts w:ascii="Times New Roman" w:cs="Times New Roman" w:eastAsia="Times New Roman" w:hAnsi="Times New Roman"/>
                <w:sz w:val="20"/>
                <w:szCs w:val="20"/>
                <w:color w:val="auto"/>
              </w:rPr>
              <w:t>122</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5.13.</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125</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1405"/>
        </w:trPr>
        <w:tc>
          <w:tcPr>
            <w:tcW w:w="1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5.14.  Further Assurances 125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5.15.</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Post-Closing Covenant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5.16.</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5.17.</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Fiscal Year</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5.18.</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Nature of Business 128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5.19.</w:t>
            </w:r>
          </w:p>
        </w:tc>
        <w:tc>
          <w:tcPr>
            <w:tcW w:w="4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Amendments or Waivers of Organizational Documents</w:t>
            </w:r>
          </w:p>
        </w:tc>
        <w:tc>
          <w:tcPr>
            <w:tcW w:w="14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93"/>
              </w:rPr>
              <w:t>128</w:t>
            </w:r>
          </w:p>
        </w:tc>
        <w:tc>
          <w:tcPr>
            <w:tcW w:w="460" w:type="dxa"/>
            <w:vAlign w:val="bottom"/>
          </w:tcPr>
          <w:p>
            <w:pPr>
              <w:spacing w:after="0"/>
              <w:rPr>
                <w:sz w:val="22"/>
                <w:szCs w:val="22"/>
                <w:color w:val="auto"/>
              </w:rPr>
            </w:pPr>
          </w:p>
        </w:tc>
      </w:tr>
      <w:tr>
        <w:trPr>
          <w:trHeight w:val="446"/>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6</w:t>
            </w:r>
          </w:p>
        </w:tc>
        <w:tc>
          <w:tcPr>
            <w:tcW w:w="46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gridSpan w:val="3"/>
          </w:tcPr>
          <w:p>
            <w:pPr>
              <w:jc w:val="center"/>
              <w:ind w:right="481"/>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460" w:type="dxa"/>
            <w:vAlign w:val="bottom"/>
          </w:tcPr>
          <w:p>
            <w:pPr>
              <w:spacing w:after="0"/>
              <w:rPr>
                <w:sz w:val="24"/>
                <w:szCs w:val="24"/>
                <w:color w:val="auto"/>
              </w:rPr>
            </w:pP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Indebtedness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398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Restricted Payments; Restricted Debt Payments</w:t>
            </w: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139</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Burdensome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Investments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398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Fundamental Changes; Disposition of Assets</w:t>
            </w: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149</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4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w w:val="98"/>
              </w:rPr>
              <w:t>Amendments of or Waivers with Respect to Restricted Debt</w:t>
            </w:r>
          </w:p>
        </w:tc>
        <w:tc>
          <w:tcPr>
            <w:tcW w:w="142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153</w:t>
            </w: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Holdings 153</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8"/>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6.10.  Financial Covenant 154</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45"/>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7</w:t>
            </w:r>
          </w:p>
        </w:tc>
        <w:tc>
          <w:tcPr>
            <w:tcW w:w="46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gridSpan w:val="3"/>
          </w:tcPr>
          <w:p>
            <w:pPr>
              <w:jc w:val="center"/>
              <w:ind w:right="481"/>
              <w:spacing w:after="0"/>
              <w:rPr>
                <w:sz w:val="20"/>
                <w:szCs w:val="20"/>
                <w:color w:val="auto"/>
              </w:rPr>
            </w:pPr>
            <w:r>
              <w:rPr>
                <w:rFonts w:ascii="Times New Roman" w:cs="Times New Roman" w:eastAsia="Times New Roman" w:hAnsi="Times New Roman"/>
                <w:sz w:val="20"/>
                <w:szCs w:val="20"/>
                <w:color w:val="auto"/>
                <w:w w:val="97"/>
              </w:rPr>
              <w:t>EVENTS OF DEFAULT</w:t>
            </w:r>
          </w:p>
        </w:tc>
        <w:tc>
          <w:tcPr>
            <w:tcW w:w="460" w:type="dxa"/>
            <w:vAlign w:val="bottom"/>
          </w:tcPr>
          <w:p>
            <w:pPr>
              <w:spacing w:after="0"/>
              <w:rPr>
                <w:sz w:val="24"/>
                <w:szCs w:val="24"/>
                <w:color w:val="auto"/>
              </w:rPr>
            </w:pPr>
          </w:p>
        </w:tc>
      </w:tr>
      <w:tr>
        <w:trPr>
          <w:trHeight w:val="445"/>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45"/>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8</w:t>
            </w:r>
          </w:p>
        </w:tc>
        <w:tc>
          <w:tcPr>
            <w:tcW w:w="46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7"/>
              </w:rPr>
              <w:t>THE ADMINISTRATIVE AGENT</w:t>
            </w:r>
          </w:p>
        </w:tc>
        <w:tc>
          <w:tcPr>
            <w:tcW w:w="460" w:type="dxa"/>
            <w:vAlign w:val="bottom"/>
          </w:tcPr>
          <w:p>
            <w:pPr>
              <w:spacing w:after="0"/>
              <w:rPr>
                <w:sz w:val="24"/>
                <w:szCs w:val="24"/>
                <w:color w:val="auto"/>
              </w:rPr>
            </w:pP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4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Appointment and Authorization of Administrative Agent</w:t>
            </w:r>
          </w:p>
        </w:tc>
        <w:tc>
          <w:tcPr>
            <w:tcW w:w="14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93"/>
              </w:rPr>
              <w:t>158</w:t>
            </w:r>
          </w:p>
        </w:tc>
        <w:tc>
          <w:tcPr>
            <w:tcW w:w="46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Rights as a Lender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Exculpatory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4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Exclusive Right to Enforce Rights and Remedies 160</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4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Section 8.05.  Reliance by Administrative Agent 160</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8.06.</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Delegation of Duties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8.07.</w:t>
            </w: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161</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8.08.</w:t>
            </w:r>
          </w:p>
        </w:tc>
        <w:tc>
          <w:tcPr>
            <w:tcW w:w="624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rPr>
              <w:t>Non-Reliance on Administrative Agent, the Arrangers or the Other Lenders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8.09.</w:t>
            </w: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163</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8.10.</w:t>
            </w: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Intercreditor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8.11.</w:t>
            </w:r>
          </w:p>
        </w:tc>
        <w:tc>
          <w:tcPr>
            <w:tcW w:w="33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w w:val="99"/>
              </w:rPr>
              <w:t>Indemnification of Administrative Agent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8.12.</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Withholding Taxes 165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8.13.</w:t>
            </w:r>
          </w:p>
        </w:tc>
        <w:tc>
          <w:tcPr>
            <w:tcW w:w="398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165</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8.14.</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Erroneous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20"/>
          <w:szCs w:val="20"/>
          <w:color w:val="auto"/>
        </w:rPr>
        <w:t>Section 8.15.  Banking Services Obligations and Secured Hedging Obligations 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25" w:name="page26"/>
    <w:bookmarkEnd w:id="25"/>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6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6"/>
              </w:rPr>
              <w:t>ARTICLE 9</w:t>
            </w:r>
          </w:p>
        </w:tc>
        <w:tc>
          <w:tcPr>
            <w:tcW w:w="11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459"/>
        </w:trPr>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gridSpan w:val="2"/>
          </w:tcPr>
          <w:p>
            <w:pPr>
              <w:jc w:val="center"/>
              <w:ind w:right="601"/>
              <w:spacing w:after="0"/>
              <w:rPr>
                <w:sz w:val="20"/>
                <w:szCs w:val="20"/>
                <w:color w:val="auto"/>
              </w:rPr>
            </w:pPr>
            <w:r>
              <w:rPr>
                <w:rFonts w:ascii="Times New Roman" w:cs="Times New Roman" w:eastAsia="Times New Roman" w:hAnsi="Times New Roman"/>
                <w:sz w:val="20"/>
                <w:szCs w:val="20"/>
                <w:color w:val="auto"/>
                <w:w w:val="98"/>
              </w:rPr>
              <w:t>MISCELLANEOUS</w:t>
            </w:r>
          </w:p>
        </w:tc>
        <w:tc>
          <w:tcPr>
            <w:tcW w:w="3860" w:type="dxa"/>
            <w:vAlign w:val="bottom"/>
          </w:tcPr>
          <w:p>
            <w:pPr>
              <w:spacing w:after="0"/>
              <w:rPr>
                <w:sz w:val="24"/>
                <w:szCs w:val="24"/>
                <w:color w:val="auto"/>
              </w:rPr>
            </w:pP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Notices</w:t>
            </w: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168</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Waivers;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Expenses; Indemnity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Waiver of Claim</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181</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9"/>
              </w:rPr>
              <w:t>Successors and Assigns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Survival</w:t>
            </w: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190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34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166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190</w:t>
            </w: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Severability   190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9.09.</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Right of Setoff</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190</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51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116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191</w:t>
            </w: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Waiver of Jury Trial</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Headings 192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Confidentiality</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192</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No Fiduciary Duty 194</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Several Obligations</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USA PATRIOT Act</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9.17.</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7"/>
              </w:rPr>
              <w:t>Disclosure of Agent Conflicts</w:t>
            </w: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194</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9.18.</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100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w w:val="93"/>
              </w:rPr>
              <w:t>194</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9.19.</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Interest Rate Limitation 194</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9.20.</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Intercreditor Agreements</w:t>
            </w:r>
          </w:p>
        </w:tc>
        <w:tc>
          <w:tcPr>
            <w:tcW w:w="100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w w:val="93"/>
              </w:rPr>
              <w:t>195</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9.21.</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Conflicts 195</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9.22.</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Release of Guarantors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9.23.</w:t>
            </w:r>
          </w:p>
        </w:tc>
        <w:tc>
          <w:tcPr>
            <w:tcW w:w="62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3860" w:type="dxa"/>
            <w:vAlign w:val="bottom"/>
          </w:tcPr>
          <w:p>
            <w:pPr>
              <w:jc w:val="right"/>
              <w:ind w:right="3321"/>
              <w:spacing w:after="0"/>
              <w:rPr>
                <w:sz w:val="20"/>
                <w:szCs w:val="20"/>
                <w:color w:val="auto"/>
              </w:rPr>
            </w:pPr>
            <w:r>
              <w:rPr>
                <w:rFonts w:ascii="Times New Roman" w:cs="Times New Roman" w:eastAsia="Times New Roman" w:hAnsi="Times New Roman"/>
                <w:sz w:val="20"/>
                <w:szCs w:val="20"/>
                <w:color w:val="auto"/>
              </w:rPr>
              <w:t>196</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9.24.</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Certain ERISA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31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9.25.  Judgment Currency 197</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9.26.</w:t>
            </w:r>
          </w:p>
        </w:tc>
        <w:tc>
          <w:tcPr>
            <w:tcW w:w="51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Acknowledgement Regarding Any Supported QFCs  197</w:t>
            </w:r>
          </w:p>
        </w:tc>
        <w:tc>
          <w:tcPr>
            <w:tcW w:w="116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1405"/>
        </w:trPr>
        <w:tc>
          <w:tcPr>
            <w:tcW w:w="1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8"/>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SCHEDULES:</w:t>
            </w:r>
          </w:p>
        </w:tc>
        <w:tc>
          <w:tcPr>
            <w:tcW w:w="500" w:type="dxa"/>
            <w:vAlign w:val="bottom"/>
          </w:tcPr>
          <w:p>
            <w:pPr>
              <w:spacing w:after="0"/>
              <w:rPr>
                <w:sz w:val="22"/>
                <w:szCs w:val="22"/>
                <w:color w:val="auto"/>
              </w:rPr>
            </w:pPr>
          </w:p>
        </w:tc>
        <w:tc>
          <w:tcPr>
            <w:tcW w:w="9260" w:type="dxa"/>
            <w:vAlign w:val="bottom"/>
          </w:tcPr>
          <w:p>
            <w:pPr>
              <w:spacing w:after="0"/>
              <w:rPr>
                <w:sz w:val="22"/>
                <w:szCs w:val="22"/>
                <w:color w:val="auto"/>
              </w:rPr>
            </w:pPr>
          </w:p>
        </w:tc>
      </w:tr>
      <w:tr>
        <w:trPr>
          <w:trHeight w:val="338"/>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rPr>
              <w:t>Schedule 1.01(a)</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FF0000"/>
                <w:strike w:val="1"/>
              </w:rPr>
              <w:t>–</w:t>
            </w:r>
          </w:p>
        </w:tc>
        <w:tc>
          <w:tcPr>
            <w:tcW w:w="926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Commitment Schedule</w:t>
            </w:r>
          </w:p>
        </w:tc>
      </w:tr>
      <w:tr>
        <w:trPr>
          <w:trHeight w:val="445"/>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1.01(b)</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Dutch Auction</w:t>
            </w:r>
          </w:p>
        </w:tc>
      </w:tr>
      <w:tr>
        <w:trPr>
          <w:trHeight w:val="338"/>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1.01(c)</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Existing Letters of Credit</w:t>
            </w:r>
          </w:p>
        </w:tc>
      </w:tr>
      <w:tr>
        <w:trPr>
          <w:trHeight w:val="338"/>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1.01(d)</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Closing Date Collateral Documents and Loan Guarantees</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3.13</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Subsidiaries</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5.01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Borrower’s Website Address for Electronic Delivery</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5.10</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Unrestricted Subsidiaries</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5.15</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Post-Closing Obligations</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9.01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Issuing Bank Notice Information</w:t>
            </w:r>
          </w:p>
        </w:tc>
      </w:tr>
      <w:tr>
        <w:trPr>
          <w:trHeight w:val="675"/>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A-1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Affiliated Lender Assignment and Assumption</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A-2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B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Borrowing Request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C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Intellectual Property Security Agreement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33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E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Pari Passu Intercreditor Agreement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F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Intercompany Note</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Junior Lien Intercreditor Agreement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Interest Election Request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I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Loan Guaranty</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J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Perfection Certificate</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Joinder Agreement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L –</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Promissory Note</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M</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Pledge and Security Agreement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N</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Letter of Credit Request</w:t>
            </w:r>
          </w:p>
        </w:tc>
      </w:tr>
      <w:tr>
        <w:trPr>
          <w:trHeight w:val="30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O-1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Tax Compliance Certificate (For Foreign Lenders That Are Not Partnerships For US Federal Income Tax</w:t>
            </w:r>
          </w:p>
        </w:tc>
      </w:tr>
      <w:tr>
        <w:trPr>
          <w:trHeight w:val="258"/>
        </w:trPr>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Purposes)</w:t>
            </w:r>
          </w:p>
        </w:tc>
      </w:tr>
      <w:tr>
        <w:trPr>
          <w:trHeight w:val="30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O-2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Tax Compliance Certificate (For Foreign Participants That Are Not Partnerships For US Federal Income Tax</w:t>
            </w:r>
          </w:p>
        </w:tc>
      </w:tr>
      <w:tr>
        <w:trPr>
          <w:trHeight w:val="258"/>
        </w:trPr>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Purposes)</w:t>
            </w:r>
          </w:p>
        </w:tc>
      </w:tr>
      <w:tr>
        <w:trPr>
          <w:trHeight w:val="33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O-3</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Form of Tax Compliance Certificate (For Foreign Lenders That Are Partnerships For US Federal Income Tax Purposes)</w:t>
            </w:r>
          </w:p>
        </w:tc>
      </w:tr>
      <w:tr>
        <w:trPr>
          <w:trHeight w:val="30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O-4</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Tax Compliance Certificate (For Foreign Participants That Are Partnerships For US Federal Income Tax</w:t>
            </w:r>
          </w:p>
        </w:tc>
      </w:tr>
      <w:tr>
        <w:trPr>
          <w:trHeight w:val="258"/>
        </w:trPr>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Purposes)</w:t>
            </w:r>
          </w:p>
        </w:tc>
      </w:tr>
      <w:tr>
        <w:trPr>
          <w:trHeight w:val="1513"/>
        </w:trPr>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P –</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108" w:lineRule="exact"/>
        <w:rPr>
          <w:sz w:val="20"/>
          <w:szCs w:val="20"/>
          <w:color w:val="auto"/>
        </w:rPr>
      </w:pPr>
    </w:p>
    <w:p>
      <w:pPr>
        <w:spacing w:after="0"/>
        <w:tabs>
          <w:tab w:leader="none" w:pos="1180" w:val="left"/>
          <w:tab w:leader="none" w:pos="1580" w:val="left"/>
        </w:tabs>
        <w:rPr>
          <w:sz w:val="20"/>
          <w:szCs w:val="20"/>
          <w:color w:val="auto"/>
        </w:rPr>
      </w:pPr>
      <w:r>
        <w:rPr>
          <w:rFonts w:ascii="Times New Roman" w:cs="Times New Roman" w:eastAsia="Times New Roman" w:hAnsi="Times New Roman"/>
          <w:sz w:val="20"/>
          <w:szCs w:val="20"/>
          <w:color w:val="auto"/>
        </w:rPr>
        <w:t>Exhibit Q</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Form of Notice of Loan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1167130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CREDIT AGREEMENT, dated as of September 17, 2021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among Definitive Healthcare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AIDH Buyer,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Lenders from time to time party hereto, the Issuing Banks from time to time party hereto and Bank of America, N.A. (including its branches and correspondents) (“</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in its capacities as administrative agent for the Lenders and collateral agent for the Secured Parties (in such capacities and together with its permitted successors and assigns,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an Issuing Bank and the Swingline Lender.</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firstLine="757"/>
        <w:spacing w:after="0" w:line="242" w:lineRule="auto"/>
        <w:tabs>
          <w:tab w:leader="none" w:pos="114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concurrently with the occurrence of the Closing Date, (x) all outstanding indebtedness for borrowed money of the Borrower and its subsidiaries under that certain Credit Agreement, dated as of July 16, 2019 (as amended,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xml:space="preserve">, Holdings, the Borrower, the lenders from time to time party thereto, and Owl Rock Capital Corporation, as administrative agent (other than letters of credit that are replaced, backstopped, cash collateralized or with respect to which other arrangements have been made in accordance with the terms of such credit agreement), </w:t>
      </w:r>
      <w:r>
        <w:rPr>
          <w:rFonts w:ascii="Times New Roman" w:cs="Times New Roman" w:eastAsia="Times New Roman" w:hAnsi="Times New Roman"/>
          <w:sz w:val="20"/>
          <w:szCs w:val="20"/>
          <w:color w:val="FF0000"/>
          <w:strike w:val="1"/>
        </w:rPr>
        <w:t>will be</w:t>
      </w:r>
      <w:r>
        <w:rPr>
          <w:rFonts w:ascii="Times New Roman" w:cs="Times New Roman" w:eastAsia="Times New Roman" w:hAnsi="Times New Roman"/>
          <w:sz w:val="20"/>
          <w:szCs w:val="20"/>
          <w:u w:val="single" w:color="auto"/>
          <w:color w:val="0000FF"/>
        </w:rPr>
        <w:t>was</w:t>
      </w:r>
      <w:r>
        <w:rPr>
          <w:rFonts w:ascii="Times New Roman" w:cs="Times New Roman" w:eastAsia="Times New Roman" w:hAnsi="Times New Roman"/>
          <w:sz w:val="20"/>
          <w:szCs w:val="20"/>
          <w:color w:val="auto"/>
        </w:rPr>
        <w:t xml:space="preserve"> repaid, redeemed, discharged, refinanced, replaced or terminated and in each case, the liens (other than with respect to any cash collateral agreement relating to any letter of credit that will remain outstanding after the Closing Date) and guarantees in support thereof </w:t>
      </w:r>
      <w:r>
        <w:rPr>
          <w:rFonts w:ascii="Times New Roman" w:cs="Times New Roman" w:eastAsia="Times New Roman" w:hAnsi="Times New Roman"/>
          <w:sz w:val="20"/>
          <w:szCs w:val="20"/>
          <w:color w:val="FF0000"/>
          <w:strike w:val="1"/>
        </w:rPr>
        <w:t>shall be</w:t>
      </w:r>
      <w:r>
        <w:rPr>
          <w:rFonts w:ascii="Times New Roman" w:cs="Times New Roman" w:eastAsia="Times New Roman" w:hAnsi="Times New Roman"/>
          <w:sz w:val="20"/>
          <w:szCs w:val="20"/>
          <w:u w:val="single" w:color="auto"/>
          <w:color w:val="0000FF"/>
        </w:rPr>
        <w:t>were</w:t>
      </w:r>
      <w:r>
        <w:rPr>
          <w:rFonts w:ascii="Times New Roman" w:cs="Times New Roman" w:eastAsia="Times New Roman" w:hAnsi="Times New Roman"/>
          <w:sz w:val="20"/>
          <w:szCs w:val="20"/>
          <w:color w:val="auto"/>
        </w:rPr>
        <w:t xml:space="preserve"> released or terminated (the “</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and (y) Definitive Healthcare Corp.,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 indirect parent entity of the Borrower</w:t>
      </w:r>
      <w:r>
        <w:rPr>
          <w:rFonts w:ascii="Times New Roman" w:cs="Times New Roman" w:eastAsia="Times New Roman" w:hAnsi="Times New Roman"/>
          <w:sz w:val="20"/>
          <w:szCs w:val="20"/>
          <w:color w:val="FF0000"/>
          <w:strike w:val="1"/>
        </w:rPr>
        <w:t>, will consummate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has consummated</w:t>
      </w:r>
      <w:r>
        <w:rPr>
          <w:rFonts w:ascii="Times New Roman" w:cs="Times New Roman" w:eastAsia="Times New Roman" w:hAnsi="Times New Roman"/>
          <w:sz w:val="20"/>
          <w:szCs w:val="20"/>
          <w:color w:val="auto"/>
        </w:rPr>
        <w:t xml:space="preserve"> an initial public offering of its Capital Stock (the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7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To fund a portion of the Closing Date</w:t>
      </w:r>
      <w:r>
        <w:rPr>
          <w:rFonts w:ascii="Times New Roman" w:cs="Times New Roman" w:eastAsia="Times New Roman" w:hAnsi="Times New Roman"/>
          <w:sz w:val="20"/>
          <w:szCs w:val="20"/>
          <w:u w:val="single" w:color="auto"/>
          <w:color w:val="0000FF"/>
        </w:rPr>
        <w:t>Pursuant to Amendment No. 2 and the 2025</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Refinancing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contemplated thereby</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Borrower has requested that the Lenders extend credit under this Agreement in the form of (x) </w:t>
      </w:r>
      <w:r>
        <w:rPr>
          <w:rFonts w:ascii="Times New Roman" w:cs="Times New Roman" w:eastAsia="Times New Roman" w:hAnsi="Times New Roman"/>
          <w:sz w:val="20"/>
          <w:szCs w:val="20"/>
          <w:color w:val="FF0000"/>
          <w:strike w:val="1"/>
        </w:rPr>
        <w:t>Initial</w:t>
      </w:r>
      <w:r>
        <w:rPr>
          <w:rFonts w:ascii="Times New Roman" w:cs="Times New Roman" w:eastAsia="Times New Roman" w:hAnsi="Times New Roman"/>
          <w:sz w:val="20"/>
          <w:szCs w:val="20"/>
          <w:u w:val="single" w:color="auto"/>
          <w:color w:val="0000FF"/>
        </w:rPr>
        <w:t>2025</w:t>
      </w:r>
      <w:r>
        <w:rPr>
          <w:rFonts w:ascii="Times New Roman" w:cs="Times New Roman" w:eastAsia="Times New Roman" w:hAnsi="Times New Roman"/>
          <w:sz w:val="20"/>
          <w:szCs w:val="20"/>
          <w:color w:val="000000"/>
        </w:rPr>
        <w:t xml:space="preserve"> Term Loans in an aggregate principal amount on the </w:t>
      </w:r>
      <w:r>
        <w:rPr>
          <w:rFonts w:ascii="Times New Roman" w:cs="Times New Roman" w:eastAsia="Times New Roman" w:hAnsi="Times New Roman"/>
          <w:sz w:val="20"/>
          <w:szCs w:val="20"/>
          <w:color w:val="FF0000"/>
          <w:strike w:val="1"/>
        </w:rPr>
        <w:t>Closing Date of $275,000,000 and (y) an Initial Revolving Facility with an available amount of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$75,000,000</w:t>
      </w:r>
      <w:r>
        <w:rPr>
          <w:rFonts w:ascii="Times New Roman" w:cs="Times New Roman" w:eastAsia="Times New Roman" w:hAnsi="Times New Roman"/>
          <w:sz w:val="20"/>
          <w:szCs w:val="20"/>
          <w:u w:val="single" w:color="auto"/>
          <w:color w:val="0000FF"/>
          <w:strike w:val="1"/>
        </w:rPr>
        <w:t>Amendment No. 2 Effective Date of $175,000,000 and (y) 2025 Revolving Credit Commitments in an aggregate principal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amount on the Amendment No. 2 Effective Date of $50,000,000</w:t>
      </w:r>
      <w:r>
        <w:rPr>
          <w:rFonts w:ascii="Times New Roman" w:cs="Times New Roman" w:eastAsia="Times New Roman" w:hAnsi="Times New Roman"/>
          <w:sz w:val="20"/>
          <w:szCs w:val="20"/>
          <w:color w:val="000000"/>
          <w:strike w:val="1"/>
        </w:rPr>
        <w:t>.</w:t>
      </w:r>
    </w:p>
    <w:p>
      <w:pPr>
        <w:spacing w:after="0" w:line="18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are willing to extend such credit to the Borrower on the terms and subject to the conditions set forth herein. Accordingly, the parties hereto agree as follows:</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ARTICLE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w:t>
      </w:r>
    </w:p>
    <w:p>
      <w:pPr>
        <w:spacing w:after="0" w:line="2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Section 1.01.  Defined Terms. As used in this Agreement, the following terms have the meanings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8426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2645" cy="8890"/>
                    </a:xfrm>
                    <a:prstGeom prst="rect">
                      <a:avLst/>
                    </a:prstGeom>
                    <a:noFill/>
                  </pic:spPr>
                </pic:pic>
              </a:graphicData>
            </a:graphic>
          </wp:anchor>
        </w:drawing>
      </w:r>
    </w:p>
    <w:p>
      <w:pPr>
        <w:spacing w:after="0" w:line="19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u w:val="single" w:color="auto"/>
          <w:color w:val="0000FF"/>
        </w:rPr>
        <w:t xml:space="preserve">“2021 Arrangers” means </w:t>
      </w:r>
      <w:r>
        <w:rPr>
          <w:rFonts w:ascii="Times New Roman" w:cs="Times New Roman" w:eastAsia="Times New Roman" w:hAnsi="Times New Roman"/>
          <w:sz w:val="20"/>
          <w:szCs w:val="20"/>
          <w:u w:val="single" w:color="auto"/>
          <w:color w:val="008000"/>
        </w:rPr>
        <w:t>BofA Securities, Inc., Barclays Bank PLC, Credit Suisse Loan Funding LLC, Deutsche Bank Securities Inc,</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Goldman Sachs Bank USA, JPMorgan Chase Bank, N.A., Morgan Stanley Senior Funding, Inc. and Stifel Bank &amp; Trust, in their respective capacities as joint lead arrangers and joint bookrunners </w:t>
      </w:r>
      <w:r>
        <w:rPr>
          <w:rFonts w:ascii="Times New Roman" w:cs="Times New Roman" w:eastAsia="Times New Roman" w:hAnsi="Times New Roman"/>
          <w:sz w:val="20"/>
          <w:szCs w:val="20"/>
          <w:u w:val="single" w:color="auto"/>
          <w:color w:val="0000FF"/>
        </w:rPr>
        <w:t>in connection with the Initial Revolving Facility and Initial Term Loan Commitments</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as of the Closing Date.</w:t>
      </w:r>
    </w:p>
    <w:p>
      <w:pPr>
        <w:spacing w:after="0" w:line="7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u w:val="single" w:color="auto"/>
          <w:color w:val="0000FF"/>
        </w:rPr>
        <w:t>“2025 Arrangers” means BofA Securities, Inc., JPMorgan Chase Bank, N.A. and DNB Markets, Inc, in their respective capacities as joint lead arrangers and joint bookrunners in connection with the 2025 Refinancing as of the Amendment No. 2 Effective Date.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“2025 Refinancing” has the meaning assigned to such term in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“2025 Refinancing Lender” has the meaning assigned to such term in Amendment No. 2.</w:t>
      </w:r>
    </w:p>
    <w:p>
      <w:pPr>
        <w:spacing w:after="0" w:line="108" w:lineRule="exact"/>
        <w:rPr>
          <w:sz w:val="20"/>
          <w:szCs w:val="20"/>
          <w:color w:val="auto"/>
        </w:rPr>
      </w:pPr>
    </w:p>
    <w:p>
      <w:pPr>
        <w:jc w:val="both"/>
        <w:ind w:firstLine="1085"/>
        <w:spacing w:after="0" w:line="274" w:lineRule="auto"/>
        <w:rPr>
          <w:sz w:val="20"/>
          <w:szCs w:val="20"/>
          <w:color w:val="auto"/>
        </w:rPr>
      </w:pPr>
      <w:r>
        <w:rPr>
          <w:rFonts w:ascii="Times New Roman" w:cs="Times New Roman" w:eastAsia="Times New Roman" w:hAnsi="Times New Roman"/>
          <w:sz w:val="19"/>
          <w:szCs w:val="19"/>
          <w:u w:val="single" w:color="auto"/>
          <w:color w:val="0000FF"/>
        </w:rPr>
        <w:t>“2025 Revolving Credit Commitment” means, as to each 2025 Revolving Lender, its obligation to (a) make 2025 Revolving Loans to the Borrower pursuant to Section 2.03, (b) purchase participations in Letters of Credit and (c) purchase participations in Swingline Loans, in an aggregate principal amount not to exceed the amount set forth opposite such Lender’s name on Schedule I to Amendment No. 2.</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u w:val="single" w:color="auto"/>
          <w:color w:val="0000FF"/>
        </w:rPr>
        <w:t>“2025 Revolving Lender” has the meaning assigned to such term in Amendment No. 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“2025 Revolving Loan” has the meaning assigned to such term in Amendment No. 2.</w:t>
      </w:r>
    </w:p>
    <w:p>
      <w:pPr>
        <w:spacing w:after="0" w:line="10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u w:val="single" w:color="auto"/>
          <w:color w:val="0000FF"/>
        </w:rPr>
        <w:t>“2025 Term Loans” means the term loans made on the Amendment No. 2 Effective Date by the Continuing Term Lenders to the Borrower pursuant to Section 2.03.</w:t>
      </w:r>
    </w:p>
    <w:p>
      <w:pPr>
        <w:spacing w:after="0" w:line="51"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22C Capital</w:t>
      </w:r>
      <w:r>
        <w:rPr>
          <w:rFonts w:ascii="Times New Roman" w:cs="Times New Roman" w:eastAsia="Times New Roman" w:hAnsi="Times New Roman"/>
          <w:sz w:val="20"/>
          <w:szCs w:val="20"/>
          <w:color w:val="auto"/>
        </w:rPr>
        <w:t>” means, collectively, 22C Capital LLC, together with its controlled or managed Affiliates and funds managed or advised by any of them or their respective controlled or managed Affiliates, including for the avoidance of doubt, 22C Capital I-A LP and 22C Capital I LP.</w:t>
      </w:r>
    </w:p>
    <w:p>
      <w:pPr>
        <w:spacing w:after="0" w:line="17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Alternate Base Rate.</w:t>
      </w:r>
    </w:p>
    <w:p>
      <w:pPr>
        <w:spacing w:after="0" w:line="15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Debtor-In-Possession Financing</w:t>
      </w:r>
      <w:r>
        <w:rPr>
          <w:rFonts w:ascii="Times New Roman" w:cs="Times New Roman" w:eastAsia="Times New Roman" w:hAnsi="Times New Roman"/>
          <w:sz w:val="20"/>
          <w:szCs w:val="20"/>
          <w:color w:val="auto"/>
        </w:rPr>
        <w:t>” means any debtor-in-possession or similar financing (a) incurred by Holdings, the Borrower or a Restricted Subsidiary following a voluntary petition by Holdings, the Borrower or any of its Restricted Subsidiaries under or in connection with any Debtor Relief Law and (b) approved pursuant to an order of an applicable court under any Debtor Relief Law.</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w:t>
      </w:r>
      <w:r>
        <w:rPr>
          <w:rFonts w:ascii="Times New Roman" w:cs="Times New Roman" w:eastAsia="Times New Roman" w:hAnsi="Times New Roman"/>
          <w:sz w:val="20"/>
          <w:szCs w:val="20"/>
          <w:color w:val="auto"/>
        </w:rPr>
        <w:t>” means automated clearing house transfers.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xml:space="preserve">” means any commitment hereunder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means any Additional Revolving Loan and any Additional Term Loan.</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Commitments</w:t>
      </w:r>
      <w:r>
        <w:rPr>
          <w:rFonts w:ascii="Times New Roman" w:cs="Times New Roman" w:eastAsia="Times New Roman" w:hAnsi="Times New Roman"/>
          <w:sz w:val="20"/>
          <w:szCs w:val="20"/>
          <w:color w:val="auto"/>
        </w:rPr>
        <w:t xml:space="preserve">” means any revolving credit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Exposure</w:t>
      </w:r>
      <w:r>
        <w:rPr>
          <w:rFonts w:ascii="Times New Roman" w:cs="Times New Roman" w:eastAsia="Times New Roman" w:hAnsi="Times New Roman"/>
          <w:sz w:val="20"/>
          <w:szCs w:val="20"/>
          <w:color w:val="auto"/>
        </w:rPr>
        <w:t xml:space="preserve">” means, with respect to any Lender at any time, the aggregate Outstanding Amount at such time of all Additional Revolving Loans of such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outstanding amount at such time of such Lender’s LC Exposure and Swingline Exposure, in each case, attributable to its Additional Revolving Credit Commitment.</w:t>
      </w:r>
    </w:p>
    <w:p>
      <w:pPr>
        <w:spacing w:after="0" w:line="17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Lender</w:t>
      </w:r>
      <w:r>
        <w:rPr>
          <w:rFonts w:ascii="Times New Roman" w:cs="Times New Roman" w:eastAsia="Times New Roman" w:hAnsi="Times New Roman"/>
          <w:sz w:val="20"/>
          <w:szCs w:val="20"/>
          <w:color w:val="auto"/>
        </w:rPr>
        <w:t>” means any Lender with an Additional Revolving Credit Commitment or any Additional Revolving Credit Exposure.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Loans</w:t>
      </w:r>
      <w:r>
        <w:rPr>
          <w:rFonts w:ascii="Times New Roman" w:cs="Times New Roman" w:eastAsia="Times New Roman" w:hAnsi="Times New Roman"/>
          <w:sz w:val="20"/>
          <w:szCs w:val="20"/>
          <w:color w:val="auto"/>
        </w:rPr>
        <w:t xml:space="preserve">” means any revolving loan added hereunder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Lender</w:t>
      </w:r>
      <w:r>
        <w:rPr>
          <w:rFonts w:ascii="Times New Roman" w:cs="Times New Roman" w:eastAsia="Times New Roman" w:hAnsi="Times New Roman"/>
          <w:sz w:val="20"/>
          <w:szCs w:val="20"/>
          <w:color w:val="auto"/>
        </w:rPr>
        <w:t>” means any Lender with an Additional Term Loan Commitment or an outstanding Additional Term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 Commitment</w:t>
      </w:r>
      <w:r>
        <w:rPr>
          <w:rFonts w:ascii="Times New Roman" w:cs="Times New Roman" w:eastAsia="Times New Roman" w:hAnsi="Times New Roman"/>
          <w:sz w:val="20"/>
          <w:szCs w:val="20"/>
          <w:color w:val="auto"/>
        </w:rPr>
        <w:t xml:space="preserve">” means any term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means any term loan added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Consolidated Net Income</w:t>
      </w:r>
      <w:r>
        <w:rPr>
          <w:rFonts w:ascii="Times New Roman" w:cs="Times New Roman" w:eastAsia="Times New Roman" w:hAnsi="Times New Roman"/>
          <w:sz w:val="20"/>
          <w:szCs w:val="20"/>
          <w:color w:val="auto"/>
        </w:rPr>
        <w:t xml:space="preserve">” means, in respect of any period, an amount determined for the Borrower and its Restricted Subsidiaries, on a consolidated basis, equal to (a)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sum, without duplication (and to the extent deducted and not added back in calculating Consolidated Net Income for such period), for such period of:</w:t>
      </w:r>
    </w:p>
    <w:p>
      <w:pPr>
        <w:spacing w:after="0" w:line="174" w:lineRule="exact"/>
        <w:rPr>
          <w:sz w:val="20"/>
          <w:szCs w:val="20"/>
          <w:color w:val="auto"/>
        </w:rPr>
      </w:pPr>
    </w:p>
    <w:p>
      <w:pPr>
        <w:jc w:val="both"/>
        <w:ind w:left="1500" w:firstLine="754"/>
        <w:spacing w:after="0" w:line="254" w:lineRule="auto"/>
        <w:tabs>
          <w:tab w:leader="none" w:pos="26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depreciation and/or amortization (including, without limitation, amortization of goodwill, software and other intangible assets), (B) any impairment Charge, including any bad debt expense, and (C) any asset write-off and/or write-down;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that may be added back in the calculation of Consolidated Adjusted EBITDA for such period pursuant to </w:t>
      </w:r>
      <w:r>
        <w:rPr>
          <w:rFonts w:ascii="Times New Roman" w:cs="Times New Roman" w:eastAsia="Times New Roman" w:hAnsi="Times New Roman"/>
          <w:sz w:val="20"/>
          <w:szCs w:val="20"/>
          <w:u w:val="single" w:color="auto"/>
          <w:color w:val="auto"/>
        </w:rPr>
        <w:t>clause (c)(viii)</w:t>
      </w:r>
      <w:r>
        <w:rPr>
          <w:rFonts w:ascii="Times New Roman" w:cs="Times New Roman" w:eastAsia="Times New Roman" w:hAnsi="Times New Roman"/>
          <w:sz w:val="20"/>
          <w:szCs w:val="20"/>
          <w:color w:val="auto"/>
        </w:rPr>
        <w:t xml:space="preserve"> of the definition thereof.</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xml:space="preserve">” means the date of delivery of financial statements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as applicable.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 customary administrative questionnaire in the form provided by the Administrative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Advent</w:t>
      </w:r>
      <w:r>
        <w:rPr>
          <w:rFonts w:ascii="Times New Roman" w:cs="Times New Roman" w:eastAsia="Times New Roman" w:hAnsi="Times New Roman"/>
          <w:sz w:val="20"/>
          <w:szCs w:val="20"/>
          <w:color w:val="auto"/>
        </w:rPr>
        <w:t>” means Advent International Corporation, together with its controlled Affiliates and funds managed or advised by any of them or any of their respective controlled Affiliates.</w:t>
      </w:r>
    </w:p>
    <w:p>
      <w:pPr>
        <w:spacing w:after="0" w:line="159"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Adverse Proceeding</w:t>
      </w:r>
      <w:r>
        <w:rPr>
          <w:rFonts w:ascii="Times New Roman" w:cs="Times New Roman" w:eastAsia="Times New Roman" w:hAnsi="Times New Roman"/>
          <w:sz w:val="20"/>
          <w:szCs w:val="20"/>
          <w:color w:val="auto"/>
        </w:rPr>
        <w:t>” means any action, suit, proceeding (whether administrative, judicial or otherwise), governmental investigation or arbitration (whether or not purportedly on behalf of Holdings, the Borrower or any of its Restricted Subsidiaries) at law or in equity,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No Person shall be an “Affiliate” of the Borrower and/or any Restricted Subsidiary solely because it is an unrelated portfolio company of any Sponsor and none of the Administrative Agent, the Arrangers, any Lender (other than any Affiliated Lender or any Debt Fund Affiliate) or any of their respective Affiliates shall be considered an Affiliate of the Borrower or any subsidiary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w:t>
      </w:r>
      <w:r>
        <w:rPr>
          <w:rFonts w:ascii="Times New Roman" w:cs="Times New Roman" w:eastAsia="Times New Roman" w:hAnsi="Times New Roman"/>
          <w:sz w:val="20"/>
          <w:szCs w:val="20"/>
          <w:color w:val="auto"/>
        </w:rPr>
        <w:t>” means any Non-Debt Fund Affiliate, Holdings, the Borrower and/or any subsidiary of the Borrower.</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 Assignment and Assumption</w:t>
      </w:r>
      <w:r>
        <w:rPr>
          <w:rFonts w:ascii="Times New Roman" w:cs="Times New Roman" w:eastAsia="Times New Roman" w:hAnsi="Times New Roman"/>
          <w:sz w:val="20"/>
          <w:szCs w:val="20"/>
          <w:color w:val="auto"/>
        </w:rPr>
        <w:t xml:space="preserve">” means (a) an assignment and assumption entered into by a Lender and an Affiliated Lender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and/or (b) any other form approved by the Administrative Agent and the Borrower.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Lender Cap</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9.05(g)(iv)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 to this Credit Agreement.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the highest of (a) the Federal Funds Effective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(b) the rate per annum equal to the Term SOFR determined on a daily basis for an Interest Period of one (1) month,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(c) the Prime Rate and (d) solely in the case of Initial Revolving Loans and Initial Term Loans, 1.00%. Any change in the Alternate Base Rate due to a change in the Prime Rate, the Federal Funds Effective Rate or the Term SOFR, as the case may be, shall be effective from and including the effective date of such change in the Prime Rate, the Federal Funds Effective Rate or the Term SOFR, as the case may be.</w:t>
      </w:r>
    </w:p>
    <w:p>
      <w:pPr>
        <w:spacing w:after="0" w:line="18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w:t>
      </w:r>
      <w:r>
        <w:rPr>
          <w:rFonts w:ascii="Times New Roman" w:cs="Times New Roman" w:eastAsia="Times New Roman" w:hAnsi="Times New Roman"/>
          <w:sz w:val="20"/>
          <w:szCs w:val="20"/>
          <w:color w:val="auto"/>
        </w:rPr>
        <w:t xml:space="preserve">” means in each case of Revolving Loans and Letters of Credit, each currency other than Dollars that is approved in accordance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w:t>
      </w:r>
      <w:r>
        <w:rPr>
          <w:rFonts w:ascii="Times New Roman" w:cs="Times New Roman" w:eastAsia="Times New Roman" w:hAnsi="Times New Roman"/>
          <w:sz w:val="20"/>
          <w:szCs w:val="20"/>
          <w:color w:val="auto"/>
        </w:rPr>
        <w:t>” means that certain Amendment No. 1, dated as of October 31, 2022, by and among the Borrower, Holdings, the Lenders party thereto, the other Loan Parties party thereto and the Administrative Agent.</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u w:val="single" w:color="auto"/>
          <w:color w:val="0000FF"/>
        </w:rPr>
        <w:t>“Amendment No. 2” means that certain Amendment No. 2, dated as of January 16, 2025, by and among the Borrower, Holdings, the Lenders party thereto, the other Loan Parties party thereto and the Administrative Agent.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u w:val="single" w:color="auto"/>
          <w:color w:val="0000FF"/>
        </w:rPr>
        <w:t>“Amendment No. 2 Effective Date” means January 16, 2025.</w:t>
      </w:r>
    </w:p>
    <w:p>
      <w:pPr>
        <w:spacing w:after="0" w:line="216"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otherwise herein (except with respect to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when there is a Defaulting Lender, such Defaulting Lender’s Revolving Credit Commitment shall be disregarded for any relevant calculation.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(a) with respect to any Initial Term Loan, the rate per annum applicable to the relevant Class of Loans in the table set forth below under the caption “ABR Spread for Initial Term Loans” or “Term SOFR Spread for Initial Term Loans”, as the case may be, based upon the Total Net Leverage Ratio and (b) with respect to any Initial Revolving Loan, the rate per annum applicable to the relevant Class of Loans in the table set forth below under the caption “ABR Spread for Initial Revolving Loans” or “Term SOFR Spread for Initial Revolving Loans”, as the case may be, based upon the Total Net Leverage Ratio;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first Adjustment Date </w:t>
      </w:r>
      <w:r>
        <w:rPr>
          <w:rFonts w:ascii="Times New Roman" w:cs="Times New Roman" w:eastAsia="Times New Roman" w:hAnsi="Times New Roman"/>
          <w:sz w:val="20"/>
          <w:szCs w:val="20"/>
          <w:color w:val="FF0000"/>
          <w:strike w:val="1"/>
        </w:rPr>
        <w:t>following the completion of at least three full Fiscal Quarters ending after the Closing</w:t>
      </w:r>
      <w:r>
        <w:rPr>
          <w:rFonts w:ascii="Times New Roman" w:cs="Times New Roman" w:eastAsia="Times New Roman" w:hAnsi="Times New Roman"/>
          <w:sz w:val="20"/>
          <w:szCs w:val="20"/>
          <w:u w:val="single" w:color="auto"/>
          <w:color w:val="0000FF"/>
        </w:rPr>
        <w:t>after the Amendment No. 2 Effective</w:t>
      </w:r>
      <w:r>
        <w:rPr>
          <w:rFonts w:ascii="Times New Roman" w:cs="Times New Roman" w:eastAsia="Times New Roman" w:hAnsi="Times New Roman"/>
          <w:sz w:val="20"/>
          <w:szCs w:val="20"/>
          <w:color w:val="auto"/>
        </w:rPr>
        <w:t xml:space="preserve"> Date, the “Applicable Rate” for any Initial Term Loan and/or any Initial Revolving Loan shall be the applicable rate per annum set forth below in </w:t>
      </w:r>
      <w:r>
        <w:rPr>
          <w:rFonts w:ascii="Times New Roman" w:cs="Times New Roman" w:eastAsia="Times New Roman" w:hAnsi="Times New Roman"/>
          <w:sz w:val="20"/>
          <w:szCs w:val="20"/>
          <w:u w:val="single" w:color="auto"/>
          <w:color w:val="auto"/>
        </w:rPr>
        <w:t>Category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1</w:t>
      </w:r>
      <w:r>
        <w:rPr>
          <w:rFonts w:ascii="Times New Roman" w:cs="Times New Roman" w:eastAsia="Times New Roman" w:hAnsi="Times New Roman"/>
          <w:sz w:val="20"/>
          <w:szCs w:val="20"/>
          <w:u w:val="single" w:color="auto"/>
          <w:color w:val="0000FF"/>
        </w:rPr>
        <w:t>3</w:t>
      </w:r>
      <w:r>
        <w:rPr>
          <w:rFonts w:ascii="Times New Roman" w:cs="Times New Roman" w:eastAsia="Times New Roman" w:hAnsi="Times New Roman"/>
          <w:sz w:val="20"/>
          <w:szCs w:val="20"/>
          <w:color w:val="auto"/>
        </w:rPr>
        <w:t xml:space="preserve"> of the table set forth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20" w:type="dxa"/>
            <w:vAlign w:val="bottom"/>
            <w:tcBorders>
              <w:top w:val="single" w:sz="8" w:color="auto"/>
              <w:left w:val="single" w:sz="8" w:color="auto"/>
              <w:bottom w:val="single" w:sz="8" w:color="EEECE1"/>
            </w:tcBorders>
            <w:shd w:val="clear" w:color="auto" w:fill="EEECE1"/>
          </w:tcPr>
          <w:p>
            <w:pPr>
              <w:spacing w:after="0"/>
              <w:rPr>
                <w:sz w:val="22"/>
                <w:szCs w:val="22"/>
                <w:color w:val="auto"/>
              </w:rPr>
            </w:pPr>
          </w:p>
        </w:tc>
        <w:tc>
          <w:tcPr>
            <w:tcW w:w="20" w:type="dxa"/>
            <w:vAlign w:val="bottom"/>
            <w:tcBorders>
              <w:top w:val="single" w:sz="8" w:color="auto"/>
              <w:bottom w:val="single" w:sz="8" w:color="EEECE1"/>
            </w:tcBorders>
            <w:shd w:val="clear" w:color="auto" w:fill="EEECE1"/>
          </w:tcPr>
          <w:p>
            <w:pPr>
              <w:spacing w:after="0"/>
              <w:rPr>
                <w:sz w:val="22"/>
                <w:szCs w:val="22"/>
                <w:color w:val="auto"/>
              </w:rPr>
            </w:pPr>
          </w:p>
        </w:tc>
        <w:tc>
          <w:tcPr>
            <w:tcW w:w="860" w:type="dxa"/>
            <w:vAlign w:val="bottom"/>
            <w:tcBorders>
              <w:top w:val="single" w:sz="8" w:color="auto"/>
              <w:bottom w:val="single" w:sz="8" w:color="EEECE1"/>
            </w:tcBorders>
            <w:shd w:val="clear" w:color="auto" w:fill="EEECE1"/>
          </w:tcPr>
          <w:p>
            <w:pPr>
              <w:spacing w:after="0"/>
              <w:rPr>
                <w:sz w:val="22"/>
                <w:szCs w:val="22"/>
                <w:color w:val="auto"/>
              </w:rPr>
            </w:pPr>
          </w:p>
        </w:tc>
        <w:tc>
          <w:tcPr>
            <w:tcW w:w="1140" w:type="dxa"/>
            <w:vAlign w:val="bottom"/>
            <w:tcBorders>
              <w:top w:val="single" w:sz="8" w:color="auto"/>
              <w:bottom w:val="single" w:sz="8" w:color="EEECE1"/>
            </w:tcBorders>
            <w:shd w:val="clear" w:color="auto" w:fill="EEECE1"/>
          </w:tcPr>
          <w:p>
            <w:pPr>
              <w:spacing w:after="0"/>
              <w:rPr>
                <w:sz w:val="22"/>
                <w:szCs w:val="22"/>
                <w:color w:val="auto"/>
              </w:rPr>
            </w:pPr>
          </w:p>
        </w:tc>
        <w:tc>
          <w:tcPr>
            <w:tcW w:w="140" w:type="dxa"/>
            <w:vAlign w:val="bottom"/>
            <w:tcBorders>
              <w:top w:val="single" w:sz="8" w:color="auto"/>
              <w:bottom w:val="single" w:sz="8" w:color="EEECE1"/>
              <w:right w:val="single" w:sz="8" w:color="auto"/>
            </w:tcBorders>
            <w:shd w:val="clear" w:color="auto" w:fill="EEECE1"/>
          </w:tcPr>
          <w:p>
            <w:pPr>
              <w:spacing w:after="0"/>
              <w:rPr>
                <w:sz w:val="22"/>
                <w:szCs w:val="22"/>
                <w:color w:val="auto"/>
              </w:rPr>
            </w:pPr>
          </w:p>
        </w:tc>
        <w:tc>
          <w:tcPr>
            <w:tcW w:w="160" w:type="dxa"/>
            <w:vAlign w:val="bottom"/>
            <w:tcBorders>
              <w:top w:val="single" w:sz="8" w:color="auto"/>
              <w:bottom w:val="single" w:sz="8" w:color="EEECE1"/>
            </w:tcBorders>
            <w:shd w:val="clear" w:color="auto" w:fill="EEECE1"/>
          </w:tcPr>
          <w:p>
            <w:pPr>
              <w:spacing w:after="0"/>
              <w:rPr>
                <w:sz w:val="22"/>
                <w:szCs w:val="22"/>
                <w:color w:val="auto"/>
              </w:rPr>
            </w:pPr>
          </w:p>
        </w:tc>
        <w:tc>
          <w:tcPr>
            <w:tcW w:w="1860" w:type="dxa"/>
            <w:vAlign w:val="bottom"/>
            <w:tcBorders>
              <w:top w:val="single" w:sz="8" w:color="auto"/>
              <w:bottom w:val="single" w:sz="8" w:color="auto"/>
            </w:tcBorders>
            <w:gridSpan w:val="6"/>
            <w:vMerge w:val="restart"/>
            <w:shd w:val="clear" w:color="auto" w:fill="EEECE1"/>
          </w:tcPr>
          <w:p>
            <w:pPr>
              <w:spacing w:after="0"/>
              <w:rPr>
                <w:sz w:val="20"/>
                <w:szCs w:val="20"/>
                <w:color w:val="auto"/>
              </w:rPr>
            </w:pPr>
            <w:r>
              <w:rPr>
                <w:rFonts w:ascii="Times New Roman" w:cs="Times New Roman" w:eastAsia="Times New Roman" w:hAnsi="Times New Roman"/>
                <w:sz w:val="20"/>
                <w:szCs w:val="20"/>
                <w:color w:val="auto"/>
              </w:rPr>
              <w:t>ABR Spread for Initial</w:t>
            </w:r>
          </w:p>
        </w:tc>
        <w:tc>
          <w:tcPr>
            <w:tcW w:w="200" w:type="dxa"/>
            <w:vAlign w:val="bottom"/>
            <w:tcBorders>
              <w:top w:val="single" w:sz="8" w:color="auto"/>
              <w:bottom w:val="single" w:sz="8" w:color="auto"/>
              <w:right w:val="single" w:sz="8" w:color="auto"/>
            </w:tcBorders>
            <w:vMerge w:val="restart"/>
            <w:shd w:val="clear" w:color="auto" w:fill="EEECE1"/>
          </w:tcPr>
          <w:p>
            <w:pPr>
              <w:spacing w:after="0"/>
              <w:rPr>
                <w:sz w:val="22"/>
                <w:szCs w:val="22"/>
                <w:color w:val="auto"/>
              </w:rPr>
            </w:pPr>
          </w:p>
        </w:tc>
        <w:tc>
          <w:tcPr>
            <w:tcW w:w="180" w:type="dxa"/>
            <w:vAlign w:val="bottom"/>
            <w:tcBorders>
              <w:top w:val="single" w:sz="8" w:color="auto"/>
              <w:bottom w:val="single" w:sz="8" w:color="auto"/>
            </w:tcBorders>
            <w:vMerge w:val="restart"/>
            <w:shd w:val="clear" w:color="auto" w:fill="EEECE1"/>
          </w:tcPr>
          <w:p>
            <w:pPr>
              <w:spacing w:after="0"/>
              <w:rPr>
                <w:sz w:val="22"/>
                <w:szCs w:val="22"/>
                <w:color w:val="auto"/>
              </w:rPr>
            </w:pPr>
          </w:p>
        </w:tc>
        <w:tc>
          <w:tcPr>
            <w:tcW w:w="1880" w:type="dxa"/>
            <w:vAlign w:val="bottom"/>
            <w:tcBorders>
              <w:top w:val="single" w:sz="8" w:color="auto"/>
              <w:bottom w:val="single" w:sz="8" w:color="auto"/>
            </w:tcBorders>
            <w:gridSpan w:val="6"/>
            <w:vMerge w:val="restart"/>
            <w:shd w:val="clear" w:color="auto" w:fill="EEECE1"/>
          </w:tcPr>
          <w:p>
            <w:pPr>
              <w:spacing w:after="0"/>
              <w:rPr>
                <w:sz w:val="20"/>
                <w:szCs w:val="20"/>
                <w:color w:val="auto"/>
              </w:rPr>
            </w:pPr>
            <w:r>
              <w:rPr>
                <w:rFonts w:ascii="Times New Roman" w:cs="Times New Roman" w:eastAsia="Times New Roman" w:hAnsi="Times New Roman"/>
                <w:sz w:val="20"/>
                <w:szCs w:val="20"/>
                <w:color w:val="auto"/>
                <w:w w:val="99"/>
              </w:rPr>
              <w:t>Term SOFR Spread for</w:t>
            </w:r>
          </w:p>
        </w:tc>
        <w:tc>
          <w:tcPr>
            <w:tcW w:w="200" w:type="dxa"/>
            <w:vAlign w:val="bottom"/>
            <w:tcBorders>
              <w:top w:val="single" w:sz="8" w:color="auto"/>
              <w:bottom w:val="single" w:sz="8" w:color="auto"/>
              <w:right w:val="single" w:sz="8" w:color="auto"/>
            </w:tcBorders>
            <w:vMerge w:val="restart"/>
            <w:shd w:val="clear" w:color="auto" w:fill="EEECE1"/>
          </w:tcPr>
          <w:p>
            <w:pPr>
              <w:spacing w:after="0"/>
              <w:rPr>
                <w:sz w:val="22"/>
                <w:szCs w:val="22"/>
                <w:color w:val="auto"/>
              </w:rPr>
            </w:pPr>
          </w:p>
        </w:tc>
        <w:tc>
          <w:tcPr>
            <w:tcW w:w="180" w:type="dxa"/>
            <w:vAlign w:val="bottom"/>
            <w:tcBorders>
              <w:top w:val="single" w:sz="8" w:color="auto"/>
              <w:bottom w:val="single" w:sz="8" w:color="EEECE1"/>
            </w:tcBorders>
            <w:shd w:val="clear" w:color="auto" w:fill="EEECE1"/>
          </w:tcPr>
          <w:p>
            <w:pPr>
              <w:spacing w:after="0"/>
              <w:rPr>
                <w:sz w:val="22"/>
                <w:szCs w:val="22"/>
                <w:color w:val="auto"/>
              </w:rPr>
            </w:pPr>
          </w:p>
        </w:tc>
        <w:tc>
          <w:tcPr>
            <w:tcW w:w="1860" w:type="dxa"/>
            <w:vAlign w:val="bottom"/>
            <w:tcBorders>
              <w:top w:val="single" w:sz="8" w:color="auto"/>
              <w:bottom w:val="single" w:sz="8" w:color="auto"/>
            </w:tcBorders>
            <w:gridSpan w:val="9"/>
            <w:shd w:val="clear" w:color="auto" w:fill="EEECE1"/>
          </w:tcPr>
          <w:p>
            <w:pPr>
              <w:jc w:val="center"/>
              <w:ind w:right="40"/>
              <w:spacing w:after="0"/>
              <w:rPr>
                <w:sz w:val="20"/>
                <w:szCs w:val="20"/>
                <w:color w:val="auto"/>
              </w:rPr>
            </w:pPr>
            <w:r>
              <w:rPr>
                <w:rFonts w:ascii="Times New Roman" w:cs="Times New Roman" w:eastAsia="Times New Roman" w:hAnsi="Times New Roman"/>
                <w:sz w:val="20"/>
                <w:szCs w:val="20"/>
                <w:color w:val="auto"/>
                <w:w w:val="99"/>
              </w:rPr>
              <w:t>ABR Spread for Initial</w:t>
            </w:r>
          </w:p>
        </w:tc>
        <w:tc>
          <w:tcPr>
            <w:tcW w:w="200" w:type="dxa"/>
            <w:vAlign w:val="bottom"/>
            <w:tcBorders>
              <w:top w:val="single" w:sz="8" w:color="auto"/>
              <w:bottom w:val="single" w:sz="8" w:color="EEECE1"/>
              <w:right w:val="single" w:sz="8" w:color="auto"/>
            </w:tcBorders>
            <w:shd w:val="clear" w:color="auto" w:fill="EEECE1"/>
          </w:tcPr>
          <w:p>
            <w:pPr>
              <w:spacing w:after="0"/>
              <w:rPr>
                <w:sz w:val="22"/>
                <w:szCs w:val="22"/>
                <w:color w:val="auto"/>
              </w:rPr>
            </w:pPr>
          </w:p>
        </w:tc>
        <w:tc>
          <w:tcPr>
            <w:tcW w:w="160" w:type="dxa"/>
            <w:vAlign w:val="bottom"/>
            <w:tcBorders>
              <w:top w:val="single" w:sz="8" w:color="auto"/>
              <w:bottom w:val="single" w:sz="8" w:color="auto"/>
            </w:tcBorders>
            <w:vMerge w:val="restart"/>
            <w:shd w:val="clear" w:color="auto" w:fill="EEECE1"/>
          </w:tcPr>
          <w:p>
            <w:pPr>
              <w:spacing w:after="0"/>
              <w:rPr>
                <w:sz w:val="22"/>
                <w:szCs w:val="22"/>
                <w:color w:val="auto"/>
              </w:rPr>
            </w:pPr>
          </w:p>
        </w:tc>
        <w:tc>
          <w:tcPr>
            <w:tcW w:w="1900" w:type="dxa"/>
            <w:vAlign w:val="bottom"/>
            <w:tcBorders>
              <w:top w:val="single" w:sz="8" w:color="auto"/>
              <w:bottom w:val="single" w:sz="8" w:color="auto"/>
            </w:tcBorders>
            <w:gridSpan w:val="5"/>
            <w:vMerge w:val="restart"/>
            <w:shd w:val="clear" w:color="auto" w:fill="EEECE1"/>
          </w:tcPr>
          <w:p>
            <w:pPr>
              <w:spacing w:after="0"/>
              <w:rPr>
                <w:sz w:val="20"/>
                <w:szCs w:val="20"/>
                <w:color w:val="auto"/>
              </w:rPr>
            </w:pPr>
            <w:r>
              <w:rPr>
                <w:rFonts w:ascii="Times New Roman" w:cs="Times New Roman" w:eastAsia="Times New Roman" w:hAnsi="Times New Roman"/>
                <w:sz w:val="20"/>
                <w:szCs w:val="20"/>
                <w:color w:val="auto"/>
              </w:rPr>
              <w:t>Term SOFR Spread for</w:t>
            </w:r>
          </w:p>
        </w:tc>
        <w:tc>
          <w:tcPr>
            <w:tcW w:w="180" w:type="dxa"/>
            <w:vAlign w:val="bottom"/>
            <w:tcBorders>
              <w:top w:val="single" w:sz="8" w:color="auto"/>
              <w:bottom w:val="single" w:sz="8" w:color="auto"/>
              <w:right w:val="single" w:sz="8" w:color="auto"/>
            </w:tcBorders>
            <w:vMerge w:val="restart"/>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EEECE1"/>
            </w:tcBorders>
            <w:shd w:val="clear" w:color="auto" w:fill="EEECE1"/>
          </w:tcPr>
          <w:p>
            <w:pPr>
              <w:spacing w:after="0"/>
              <w:rPr>
                <w:sz w:val="18"/>
                <w:szCs w:val="18"/>
                <w:color w:val="auto"/>
              </w:rPr>
            </w:pPr>
          </w:p>
        </w:tc>
        <w:tc>
          <w:tcPr>
            <w:tcW w:w="20" w:type="dxa"/>
            <w:vAlign w:val="bottom"/>
            <w:tcBorders>
              <w:bottom w:val="single" w:sz="8" w:color="EEECE1"/>
            </w:tcBorders>
            <w:shd w:val="clear" w:color="auto" w:fill="EEECE1"/>
          </w:tcPr>
          <w:p>
            <w:pPr>
              <w:spacing w:after="0"/>
              <w:rPr>
                <w:sz w:val="18"/>
                <w:szCs w:val="18"/>
                <w:color w:val="auto"/>
              </w:rPr>
            </w:pPr>
          </w:p>
        </w:tc>
        <w:tc>
          <w:tcPr>
            <w:tcW w:w="2140" w:type="dxa"/>
            <w:vAlign w:val="bottom"/>
            <w:tcBorders>
              <w:bottom w:val="single" w:sz="8" w:color="EEECE1"/>
              <w:right w:val="single" w:sz="8" w:color="auto"/>
            </w:tcBorders>
            <w:gridSpan w:val="3"/>
            <w:vMerge w:val="restart"/>
            <w:shd w:val="clear" w:color="auto" w:fill="EEECE1"/>
          </w:tcPr>
          <w:p>
            <w:pPr>
              <w:spacing w:after="0"/>
              <w:rPr>
                <w:sz w:val="20"/>
                <w:szCs w:val="20"/>
                <w:color w:val="auto"/>
              </w:rPr>
            </w:pPr>
            <w:r>
              <w:rPr>
                <w:rFonts w:ascii="Times New Roman" w:cs="Times New Roman" w:eastAsia="Times New Roman" w:hAnsi="Times New Roman"/>
                <w:sz w:val="20"/>
                <w:szCs w:val="20"/>
                <w:color w:val="auto"/>
              </w:rPr>
              <w:t>Total Net Leverage Ratio</w:t>
            </w:r>
          </w:p>
        </w:tc>
        <w:tc>
          <w:tcPr>
            <w:tcW w:w="160" w:type="dxa"/>
            <w:vAlign w:val="bottom"/>
            <w:tcBorders>
              <w:bottom w:val="single" w:sz="8" w:color="EEECE1"/>
            </w:tcBorders>
            <w:shd w:val="clear" w:color="auto" w:fill="EEECE1"/>
          </w:tcPr>
          <w:p>
            <w:pPr>
              <w:spacing w:after="0"/>
              <w:rPr>
                <w:sz w:val="18"/>
                <w:szCs w:val="18"/>
                <w:color w:val="auto"/>
              </w:rPr>
            </w:pPr>
          </w:p>
        </w:tc>
        <w:tc>
          <w:tcPr>
            <w:tcW w:w="1860" w:type="dxa"/>
            <w:vAlign w:val="bottom"/>
            <w:tcBorders>
              <w:bottom w:val="single" w:sz="8" w:color="auto"/>
            </w:tcBorders>
            <w:gridSpan w:val="6"/>
            <w:vMerge w:val="continue"/>
            <w:shd w:val="clear" w:color="auto" w:fill="EEECE1"/>
          </w:tcPr>
          <w:p>
            <w:pPr>
              <w:spacing w:after="0"/>
              <w:rPr>
                <w:sz w:val="18"/>
                <w:szCs w:val="18"/>
                <w:color w:val="auto"/>
              </w:rPr>
            </w:pPr>
          </w:p>
        </w:tc>
        <w:tc>
          <w:tcPr>
            <w:tcW w:w="200" w:type="dxa"/>
            <w:vAlign w:val="bottom"/>
            <w:tcBorders>
              <w:bottom w:val="single" w:sz="8" w:color="EEECE1"/>
              <w:right w:val="single" w:sz="8" w:color="auto"/>
            </w:tcBorders>
            <w:vMerge w:val="continue"/>
            <w:shd w:val="clear" w:color="auto" w:fill="EEECE1"/>
          </w:tcPr>
          <w:p>
            <w:pPr>
              <w:spacing w:after="0"/>
              <w:rPr>
                <w:sz w:val="18"/>
                <w:szCs w:val="18"/>
                <w:color w:val="auto"/>
              </w:rPr>
            </w:pPr>
          </w:p>
        </w:tc>
        <w:tc>
          <w:tcPr>
            <w:tcW w:w="180" w:type="dxa"/>
            <w:vAlign w:val="bottom"/>
            <w:tcBorders>
              <w:bottom w:val="single" w:sz="8" w:color="EEECE1"/>
            </w:tcBorders>
            <w:vMerge w:val="continue"/>
            <w:shd w:val="clear" w:color="auto" w:fill="EEECE1"/>
          </w:tcPr>
          <w:p>
            <w:pPr>
              <w:spacing w:after="0"/>
              <w:rPr>
                <w:sz w:val="18"/>
                <w:szCs w:val="18"/>
                <w:color w:val="auto"/>
              </w:rPr>
            </w:pPr>
          </w:p>
        </w:tc>
        <w:tc>
          <w:tcPr>
            <w:tcW w:w="1880" w:type="dxa"/>
            <w:vAlign w:val="bottom"/>
            <w:tcBorders>
              <w:bottom w:val="single" w:sz="8" w:color="auto"/>
            </w:tcBorders>
            <w:gridSpan w:val="6"/>
            <w:vMerge w:val="continue"/>
            <w:shd w:val="clear" w:color="auto" w:fill="EEECE1"/>
          </w:tcPr>
          <w:p>
            <w:pPr>
              <w:spacing w:after="0"/>
              <w:rPr>
                <w:sz w:val="18"/>
                <w:szCs w:val="18"/>
                <w:color w:val="auto"/>
              </w:rPr>
            </w:pPr>
          </w:p>
        </w:tc>
        <w:tc>
          <w:tcPr>
            <w:tcW w:w="200" w:type="dxa"/>
            <w:vAlign w:val="bottom"/>
            <w:tcBorders>
              <w:bottom w:val="single" w:sz="8" w:color="EEECE1"/>
              <w:right w:val="single" w:sz="8" w:color="auto"/>
            </w:tcBorders>
            <w:vMerge w:val="continue"/>
            <w:shd w:val="clear" w:color="auto" w:fill="EEECE1"/>
          </w:tcPr>
          <w:p>
            <w:pPr>
              <w:spacing w:after="0"/>
              <w:rPr>
                <w:sz w:val="18"/>
                <w:szCs w:val="18"/>
                <w:color w:val="auto"/>
              </w:rPr>
            </w:pPr>
          </w:p>
        </w:tc>
        <w:tc>
          <w:tcPr>
            <w:tcW w:w="180" w:type="dxa"/>
            <w:vAlign w:val="bottom"/>
            <w:tcBorders>
              <w:bottom w:val="single" w:sz="8" w:color="EEECE1"/>
            </w:tcBorders>
            <w:shd w:val="clear" w:color="auto" w:fill="EEECE1"/>
          </w:tcPr>
          <w:p>
            <w:pPr>
              <w:spacing w:after="0"/>
              <w:rPr>
                <w:sz w:val="18"/>
                <w:szCs w:val="18"/>
                <w:color w:val="auto"/>
              </w:rPr>
            </w:pPr>
          </w:p>
        </w:tc>
        <w:tc>
          <w:tcPr>
            <w:tcW w:w="80" w:type="dxa"/>
            <w:vAlign w:val="bottom"/>
            <w:tcBorders>
              <w:bottom w:val="single" w:sz="8" w:color="EEECE1"/>
            </w:tcBorders>
            <w:shd w:val="clear" w:color="auto" w:fill="EEECE1"/>
          </w:tcPr>
          <w:p>
            <w:pPr>
              <w:spacing w:after="0"/>
              <w:rPr>
                <w:sz w:val="18"/>
                <w:szCs w:val="18"/>
                <w:color w:val="auto"/>
              </w:rPr>
            </w:pPr>
          </w:p>
        </w:tc>
        <w:tc>
          <w:tcPr>
            <w:tcW w:w="140" w:type="dxa"/>
            <w:vAlign w:val="bottom"/>
            <w:tcBorders>
              <w:bottom w:val="single" w:sz="8" w:color="EEECE1"/>
            </w:tcBorders>
            <w:shd w:val="clear" w:color="auto" w:fill="EEECE1"/>
          </w:tcPr>
          <w:p>
            <w:pPr>
              <w:spacing w:after="0"/>
              <w:rPr>
                <w:sz w:val="18"/>
                <w:szCs w:val="18"/>
                <w:color w:val="auto"/>
              </w:rPr>
            </w:pPr>
          </w:p>
        </w:tc>
        <w:tc>
          <w:tcPr>
            <w:tcW w:w="1420" w:type="dxa"/>
            <w:vAlign w:val="bottom"/>
            <w:tcBorders>
              <w:bottom w:val="single" w:sz="8" w:color="auto"/>
            </w:tcBorders>
            <w:gridSpan w:val="5"/>
            <w:shd w:val="clear" w:color="auto" w:fill="EEECE1"/>
          </w:tcPr>
          <w:p>
            <w:pPr>
              <w:jc w:val="center"/>
              <w:ind w:right="60"/>
              <w:spacing w:after="0" w:line="209" w:lineRule="exact"/>
              <w:rPr>
                <w:sz w:val="20"/>
                <w:szCs w:val="20"/>
                <w:color w:val="auto"/>
              </w:rPr>
            </w:pPr>
            <w:r>
              <w:rPr>
                <w:rFonts w:ascii="Times New Roman" w:cs="Times New Roman" w:eastAsia="Times New Roman" w:hAnsi="Times New Roman"/>
                <w:sz w:val="20"/>
                <w:szCs w:val="20"/>
                <w:color w:val="auto"/>
                <w:w w:val="99"/>
              </w:rPr>
              <w:t>Revolving Loans</w:t>
            </w:r>
          </w:p>
        </w:tc>
        <w:tc>
          <w:tcPr>
            <w:tcW w:w="420" w:type="dxa"/>
            <w:vAlign w:val="bottom"/>
            <w:tcBorders>
              <w:bottom w:val="single" w:sz="8" w:color="EEECE1"/>
              <w:right w:val="single" w:sz="8" w:color="auto"/>
            </w:tcBorders>
            <w:gridSpan w:val="3"/>
            <w:shd w:val="clear" w:color="auto" w:fill="EEECE1"/>
          </w:tcPr>
          <w:p>
            <w:pPr>
              <w:spacing w:after="0"/>
              <w:rPr>
                <w:sz w:val="18"/>
                <w:szCs w:val="18"/>
                <w:color w:val="auto"/>
              </w:rPr>
            </w:pPr>
          </w:p>
        </w:tc>
        <w:tc>
          <w:tcPr>
            <w:tcW w:w="160" w:type="dxa"/>
            <w:vAlign w:val="bottom"/>
            <w:tcBorders>
              <w:bottom w:val="single" w:sz="8" w:color="EEECE1"/>
            </w:tcBorders>
            <w:vMerge w:val="continue"/>
            <w:shd w:val="clear" w:color="auto" w:fill="EEECE1"/>
          </w:tcPr>
          <w:p>
            <w:pPr>
              <w:spacing w:after="0"/>
              <w:rPr>
                <w:sz w:val="18"/>
                <w:szCs w:val="18"/>
                <w:color w:val="auto"/>
              </w:rPr>
            </w:pPr>
          </w:p>
        </w:tc>
        <w:tc>
          <w:tcPr>
            <w:tcW w:w="1900" w:type="dxa"/>
            <w:vAlign w:val="bottom"/>
            <w:tcBorders>
              <w:bottom w:val="single" w:sz="8" w:color="auto"/>
            </w:tcBorders>
            <w:gridSpan w:val="5"/>
            <w:vMerge w:val="continue"/>
            <w:shd w:val="clear" w:color="auto" w:fill="EEECE1"/>
          </w:tcPr>
          <w:p>
            <w:pPr>
              <w:spacing w:after="0"/>
              <w:rPr>
                <w:sz w:val="18"/>
                <w:szCs w:val="18"/>
                <w:color w:val="auto"/>
              </w:rPr>
            </w:pPr>
          </w:p>
        </w:tc>
        <w:tc>
          <w:tcPr>
            <w:tcW w:w="180" w:type="dxa"/>
            <w:vAlign w:val="bottom"/>
            <w:tcBorders>
              <w:bottom w:val="single" w:sz="8" w:color="EEECE1"/>
              <w:right w:val="single" w:sz="8" w:color="auto"/>
            </w:tcBorders>
            <w:vMerge w:val="continue"/>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shd w:val="clear" w:color="auto" w:fill="EEECE1"/>
          </w:tcPr>
          <w:p>
            <w:pPr>
              <w:spacing w:after="0"/>
              <w:rPr>
                <w:sz w:val="7"/>
                <w:szCs w:val="7"/>
                <w:color w:val="auto"/>
              </w:rPr>
            </w:pPr>
          </w:p>
        </w:tc>
        <w:tc>
          <w:tcPr>
            <w:tcW w:w="20" w:type="dxa"/>
            <w:vAlign w:val="bottom"/>
            <w:shd w:val="clear" w:color="auto" w:fill="EEECE1"/>
          </w:tcPr>
          <w:p>
            <w:pPr>
              <w:spacing w:after="0"/>
              <w:rPr>
                <w:sz w:val="7"/>
                <w:szCs w:val="7"/>
                <w:color w:val="auto"/>
              </w:rPr>
            </w:pPr>
          </w:p>
        </w:tc>
        <w:tc>
          <w:tcPr>
            <w:tcW w:w="2140" w:type="dxa"/>
            <w:vAlign w:val="bottom"/>
            <w:tcBorders>
              <w:right w:val="single" w:sz="8" w:color="auto"/>
            </w:tcBorders>
            <w:gridSpan w:val="3"/>
            <w:vMerge w:val="continue"/>
            <w:shd w:val="clear" w:color="auto" w:fill="EEECE1"/>
          </w:tcPr>
          <w:p>
            <w:pPr>
              <w:spacing w:after="0"/>
              <w:rPr>
                <w:sz w:val="7"/>
                <w:szCs w:val="7"/>
                <w:color w:val="auto"/>
              </w:rPr>
            </w:pPr>
          </w:p>
        </w:tc>
        <w:tc>
          <w:tcPr>
            <w:tcW w:w="160" w:type="dxa"/>
            <w:vAlign w:val="bottom"/>
            <w:shd w:val="clear" w:color="auto" w:fill="EEECE1"/>
          </w:tcPr>
          <w:p>
            <w:pPr>
              <w:spacing w:after="0"/>
              <w:rPr>
                <w:sz w:val="7"/>
                <w:szCs w:val="7"/>
                <w:color w:val="auto"/>
              </w:rPr>
            </w:pPr>
          </w:p>
        </w:tc>
        <w:tc>
          <w:tcPr>
            <w:tcW w:w="460" w:type="dxa"/>
            <w:vAlign w:val="bottom"/>
            <w:vMerge w:val="restart"/>
            <w:shd w:val="clear" w:color="auto" w:fill="EEECE1"/>
          </w:tcPr>
          <w:p>
            <w:pPr>
              <w:spacing w:after="0"/>
              <w:rPr>
                <w:sz w:val="7"/>
                <w:szCs w:val="7"/>
                <w:color w:val="auto"/>
              </w:rPr>
            </w:pPr>
          </w:p>
        </w:tc>
        <w:tc>
          <w:tcPr>
            <w:tcW w:w="960" w:type="dxa"/>
            <w:vAlign w:val="bottom"/>
            <w:gridSpan w:val="4"/>
            <w:vMerge w:val="restart"/>
            <w:shd w:val="clear" w:color="auto" w:fill="EEECE1"/>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Term Loans</w:t>
            </w:r>
          </w:p>
        </w:tc>
        <w:tc>
          <w:tcPr>
            <w:tcW w:w="640" w:type="dxa"/>
            <w:vAlign w:val="bottom"/>
            <w:tcBorders>
              <w:right w:val="single" w:sz="8" w:color="auto"/>
            </w:tcBorders>
            <w:gridSpan w:val="2"/>
            <w:vMerge w:val="restart"/>
            <w:shd w:val="clear" w:color="auto" w:fill="EEECE1"/>
          </w:tcPr>
          <w:p>
            <w:pPr>
              <w:spacing w:after="0"/>
              <w:rPr>
                <w:sz w:val="7"/>
                <w:szCs w:val="7"/>
                <w:color w:val="auto"/>
              </w:rPr>
            </w:pPr>
          </w:p>
        </w:tc>
        <w:tc>
          <w:tcPr>
            <w:tcW w:w="180" w:type="dxa"/>
            <w:vAlign w:val="bottom"/>
            <w:shd w:val="clear" w:color="auto" w:fill="EEECE1"/>
          </w:tcPr>
          <w:p>
            <w:pPr>
              <w:spacing w:after="0"/>
              <w:rPr>
                <w:sz w:val="7"/>
                <w:szCs w:val="7"/>
                <w:color w:val="auto"/>
              </w:rPr>
            </w:pPr>
          </w:p>
        </w:tc>
        <w:tc>
          <w:tcPr>
            <w:tcW w:w="200" w:type="dxa"/>
            <w:vAlign w:val="bottom"/>
            <w:vMerge w:val="restart"/>
            <w:shd w:val="clear" w:color="auto" w:fill="EEECE1"/>
          </w:tcPr>
          <w:p>
            <w:pPr>
              <w:spacing w:after="0"/>
              <w:rPr>
                <w:sz w:val="7"/>
                <w:szCs w:val="7"/>
                <w:color w:val="auto"/>
              </w:rPr>
            </w:pPr>
          </w:p>
        </w:tc>
        <w:tc>
          <w:tcPr>
            <w:tcW w:w="1480" w:type="dxa"/>
            <w:vAlign w:val="bottom"/>
            <w:gridSpan w:val="4"/>
            <w:vMerge w:val="restart"/>
            <w:shd w:val="clear" w:color="auto" w:fill="EEECE1"/>
          </w:tcPr>
          <w:p>
            <w:pPr>
              <w:jc w:val="right"/>
              <w:spacing w:after="0" w:line="209" w:lineRule="exact"/>
              <w:rPr>
                <w:sz w:val="20"/>
                <w:szCs w:val="20"/>
                <w:color w:val="auto"/>
              </w:rPr>
            </w:pPr>
            <w:r>
              <w:rPr>
                <w:rFonts w:ascii="Times New Roman" w:cs="Times New Roman" w:eastAsia="Times New Roman" w:hAnsi="Times New Roman"/>
                <w:sz w:val="20"/>
                <w:szCs w:val="20"/>
                <w:color w:val="auto"/>
                <w:w w:val="97"/>
              </w:rPr>
              <w:t>Initial Term Loans</w:t>
            </w:r>
          </w:p>
        </w:tc>
        <w:tc>
          <w:tcPr>
            <w:tcW w:w="400" w:type="dxa"/>
            <w:vAlign w:val="bottom"/>
            <w:tcBorders>
              <w:right w:val="single" w:sz="8" w:color="auto"/>
            </w:tcBorders>
            <w:gridSpan w:val="2"/>
            <w:vMerge w:val="restart"/>
            <w:shd w:val="clear" w:color="auto" w:fill="EEECE1"/>
          </w:tcPr>
          <w:p>
            <w:pPr>
              <w:spacing w:after="0"/>
              <w:rPr>
                <w:sz w:val="7"/>
                <w:szCs w:val="7"/>
                <w:color w:val="auto"/>
              </w:rPr>
            </w:pPr>
          </w:p>
        </w:tc>
        <w:tc>
          <w:tcPr>
            <w:tcW w:w="180" w:type="dxa"/>
            <w:vAlign w:val="bottom"/>
            <w:shd w:val="clear" w:color="auto" w:fill="EEECE1"/>
          </w:tcPr>
          <w:p>
            <w:pPr>
              <w:spacing w:after="0"/>
              <w:rPr>
                <w:sz w:val="7"/>
                <w:szCs w:val="7"/>
                <w:color w:val="auto"/>
              </w:rPr>
            </w:pPr>
          </w:p>
        </w:tc>
        <w:tc>
          <w:tcPr>
            <w:tcW w:w="2060" w:type="dxa"/>
            <w:vAlign w:val="bottom"/>
            <w:tcBorders>
              <w:right w:val="single" w:sz="8" w:color="auto"/>
            </w:tcBorders>
            <w:gridSpan w:val="10"/>
            <w:vMerge w:val="restart"/>
            <w:shd w:val="clear" w:color="auto" w:fill="EEECE1"/>
          </w:tcPr>
          <w:p>
            <w:pPr>
              <w:jc w:val="center"/>
              <w:ind w:right="240"/>
              <w:spacing w:after="0" w:line="209" w:lineRule="exact"/>
              <w:rPr>
                <w:sz w:val="20"/>
                <w:szCs w:val="20"/>
                <w:color w:val="auto"/>
              </w:rPr>
            </w:pPr>
            <w:r>
              <w:rPr>
                <w:rFonts w:ascii="Times New Roman" w:cs="Times New Roman" w:eastAsia="Times New Roman" w:hAnsi="Times New Roman"/>
                <w:sz w:val="20"/>
                <w:szCs w:val="20"/>
                <w:color w:val="auto"/>
                <w:w w:val="98"/>
              </w:rPr>
              <w:t>(including Swingline</w:t>
            </w:r>
          </w:p>
        </w:tc>
        <w:tc>
          <w:tcPr>
            <w:tcW w:w="160" w:type="dxa"/>
            <w:vAlign w:val="bottom"/>
            <w:shd w:val="clear" w:color="auto" w:fill="EEECE1"/>
          </w:tcPr>
          <w:p>
            <w:pPr>
              <w:spacing w:after="0"/>
              <w:rPr>
                <w:sz w:val="7"/>
                <w:szCs w:val="7"/>
                <w:color w:val="auto"/>
              </w:rPr>
            </w:pPr>
          </w:p>
        </w:tc>
        <w:tc>
          <w:tcPr>
            <w:tcW w:w="2080" w:type="dxa"/>
            <w:vAlign w:val="bottom"/>
            <w:tcBorders>
              <w:right w:val="single" w:sz="8" w:color="auto"/>
            </w:tcBorders>
            <w:gridSpan w:val="6"/>
            <w:vMerge w:val="restart"/>
            <w:shd w:val="clear" w:color="auto" w:fill="EEECE1"/>
          </w:tcPr>
          <w:p>
            <w:pPr>
              <w:ind w:left="20"/>
              <w:spacing w:after="0" w:line="209" w:lineRule="exact"/>
              <w:rPr>
                <w:sz w:val="20"/>
                <w:szCs w:val="20"/>
                <w:color w:val="auto"/>
              </w:rPr>
            </w:pPr>
            <w:r>
              <w:rPr>
                <w:rFonts w:ascii="Times New Roman" w:cs="Times New Roman" w:eastAsia="Times New Roman" w:hAnsi="Times New Roman"/>
                <w:sz w:val="20"/>
                <w:szCs w:val="20"/>
                <w:color w:val="auto"/>
              </w:rPr>
              <w:t>Initial Revolving Loans</w:t>
            </w:r>
          </w:p>
        </w:tc>
        <w:tc>
          <w:tcPr>
            <w:tcW w:w="0" w:type="dxa"/>
            <w:vAlign w:val="bottom"/>
          </w:tcPr>
          <w:p>
            <w:pPr>
              <w:spacing w:after="0"/>
              <w:rPr>
                <w:sz w:val="1"/>
                <w:szCs w:val="1"/>
                <w:color w:val="auto"/>
              </w:rPr>
            </w:pPr>
          </w:p>
        </w:tc>
      </w:tr>
      <w:tr>
        <w:trPr>
          <w:trHeight w:val="102"/>
        </w:trPr>
        <w:tc>
          <w:tcPr>
            <w:tcW w:w="120" w:type="dxa"/>
            <w:vAlign w:val="bottom"/>
            <w:tcBorders>
              <w:top w:val="single" w:sz="8" w:color="EEECE1"/>
              <w:left w:val="single" w:sz="8" w:color="auto"/>
            </w:tcBorders>
            <w:shd w:val="clear" w:color="auto" w:fill="EEECE1"/>
          </w:tcPr>
          <w:p>
            <w:pPr>
              <w:spacing w:after="0"/>
              <w:rPr>
                <w:sz w:val="8"/>
                <w:szCs w:val="8"/>
                <w:color w:val="auto"/>
              </w:rPr>
            </w:pPr>
          </w:p>
        </w:tc>
        <w:tc>
          <w:tcPr>
            <w:tcW w:w="20" w:type="dxa"/>
            <w:vAlign w:val="bottom"/>
            <w:tcBorders>
              <w:top w:val="single" w:sz="8" w:color="EEECE1"/>
            </w:tcBorders>
            <w:shd w:val="clear" w:color="auto" w:fill="EEECE1"/>
          </w:tcPr>
          <w:p>
            <w:pPr>
              <w:spacing w:after="0"/>
              <w:rPr>
                <w:sz w:val="8"/>
                <w:szCs w:val="8"/>
                <w:color w:val="auto"/>
              </w:rPr>
            </w:pPr>
          </w:p>
        </w:tc>
        <w:tc>
          <w:tcPr>
            <w:tcW w:w="860" w:type="dxa"/>
            <w:vAlign w:val="bottom"/>
            <w:tcBorders>
              <w:top w:val="single" w:sz="8" w:color="auto"/>
            </w:tcBorders>
            <w:shd w:val="clear" w:color="auto" w:fill="EEECE1"/>
          </w:tcPr>
          <w:p>
            <w:pPr>
              <w:spacing w:after="0"/>
              <w:rPr>
                <w:sz w:val="8"/>
                <w:szCs w:val="8"/>
                <w:color w:val="auto"/>
              </w:rPr>
            </w:pPr>
          </w:p>
        </w:tc>
        <w:tc>
          <w:tcPr>
            <w:tcW w:w="1140" w:type="dxa"/>
            <w:vAlign w:val="bottom"/>
            <w:tcBorders>
              <w:top w:val="single" w:sz="8" w:color="auto"/>
            </w:tcBorders>
            <w:shd w:val="clear" w:color="auto" w:fill="EEECE1"/>
          </w:tcPr>
          <w:p>
            <w:pPr>
              <w:spacing w:after="0"/>
              <w:rPr>
                <w:sz w:val="8"/>
                <w:szCs w:val="8"/>
                <w:color w:val="auto"/>
              </w:rPr>
            </w:pPr>
          </w:p>
        </w:tc>
        <w:tc>
          <w:tcPr>
            <w:tcW w:w="140" w:type="dxa"/>
            <w:vAlign w:val="bottom"/>
            <w:tcBorders>
              <w:top w:val="single" w:sz="8" w:color="EEECE1"/>
              <w:right w:val="single" w:sz="8" w:color="auto"/>
            </w:tcBorders>
            <w:shd w:val="clear" w:color="auto" w:fill="EEECE1"/>
          </w:tcPr>
          <w:p>
            <w:pPr>
              <w:spacing w:after="0"/>
              <w:rPr>
                <w:sz w:val="8"/>
                <w:szCs w:val="8"/>
                <w:color w:val="auto"/>
              </w:rPr>
            </w:pPr>
          </w:p>
        </w:tc>
        <w:tc>
          <w:tcPr>
            <w:tcW w:w="160" w:type="dxa"/>
            <w:vAlign w:val="bottom"/>
            <w:tcBorders>
              <w:top w:val="single" w:sz="8" w:color="EEECE1"/>
            </w:tcBorders>
            <w:shd w:val="clear" w:color="auto" w:fill="EEECE1"/>
          </w:tcPr>
          <w:p>
            <w:pPr>
              <w:spacing w:after="0"/>
              <w:rPr>
                <w:sz w:val="8"/>
                <w:szCs w:val="8"/>
                <w:color w:val="auto"/>
              </w:rPr>
            </w:pPr>
          </w:p>
        </w:tc>
        <w:tc>
          <w:tcPr>
            <w:tcW w:w="460" w:type="dxa"/>
            <w:vAlign w:val="bottom"/>
            <w:tcBorders>
              <w:top w:val="single" w:sz="8" w:color="EEECE1"/>
            </w:tcBorders>
            <w:vMerge w:val="continue"/>
            <w:shd w:val="clear" w:color="auto" w:fill="EEECE1"/>
          </w:tcPr>
          <w:p>
            <w:pPr>
              <w:spacing w:after="0"/>
              <w:rPr>
                <w:sz w:val="8"/>
                <w:szCs w:val="8"/>
                <w:color w:val="auto"/>
              </w:rPr>
            </w:pPr>
          </w:p>
        </w:tc>
        <w:tc>
          <w:tcPr>
            <w:tcW w:w="960" w:type="dxa"/>
            <w:vAlign w:val="bottom"/>
            <w:tcBorders>
              <w:top w:val="single" w:sz="8" w:color="EEECE1"/>
            </w:tcBorders>
            <w:gridSpan w:val="4"/>
            <w:vMerge w:val="continue"/>
            <w:shd w:val="clear" w:color="auto" w:fill="EEECE1"/>
          </w:tcPr>
          <w:p>
            <w:pPr>
              <w:spacing w:after="0"/>
              <w:rPr>
                <w:sz w:val="8"/>
                <w:szCs w:val="8"/>
                <w:color w:val="auto"/>
              </w:rPr>
            </w:pPr>
          </w:p>
        </w:tc>
        <w:tc>
          <w:tcPr>
            <w:tcW w:w="640" w:type="dxa"/>
            <w:vAlign w:val="bottom"/>
            <w:tcBorders>
              <w:top w:val="single" w:sz="8" w:color="EEECE1"/>
              <w:right w:val="single" w:sz="8" w:color="auto"/>
            </w:tcBorders>
            <w:gridSpan w:val="2"/>
            <w:vMerge w:val="continue"/>
            <w:shd w:val="clear" w:color="auto" w:fill="EEECE1"/>
          </w:tcPr>
          <w:p>
            <w:pPr>
              <w:spacing w:after="0"/>
              <w:rPr>
                <w:sz w:val="8"/>
                <w:szCs w:val="8"/>
                <w:color w:val="auto"/>
              </w:rPr>
            </w:pPr>
          </w:p>
        </w:tc>
        <w:tc>
          <w:tcPr>
            <w:tcW w:w="180" w:type="dxa"/>
            <w:vAlign w:val="bottom"/>
            <w:tcBorders>
              <w:top w:val="single" w:sz="8" w:color="EEECE1"/>
            </w:tcBorders>
            <w:shd w:val="clear" w:color="auto" w:fill="EEECE1"/>
          </w:tcPr>
          <w:p>
            <w:pPr>
              <w:spacing w:after="0"/>
              <w:rPr>
                <w:sz w:val="8"/>
                <w:szCs w:val="8"/>
                <w:color w:val="auto"/>
              </w:rPr>
            </w:pPr>
          </w:p>
        </w:tc>
        <w:tc>
          <w:tcPr>
            <w:tcW w:w="200" w:type="dxa"/>
            <w:vAlign w:val="bottom"/>
            <w:tcBorders>
              <w:top w:val="single" w:sz="8" w:color="EEECE1"/>
            </w:tcBorders>
            <w:vMerge w:val="continue"/>
            <w:shd w:val="clear" w:color="auto" w:fill="EEECE1"/>
          </w:tcPr>
          <w:p>
            <w:pPr>
              <w:spacing w:after="0"/>
              <w:rPr>
                <w:sz w:val="8"/>
                <w:szCs w:val="8"/>
                <w:color w:val="auto"/>
              </w:rPr>
            </w:pPr>
          </w:p>
        </w:tc>
        <w:tc>
          <w:tcPr>
            <w:tcW w:w="1480" w:type="dxa"/>
            <w:vAlign w:val="bottom"/>
            <w:tcBorders>
              <w:top w:val="single" w:sz="8" w:color="EEECE1"/>
            </w:tcBorders>
            <w:gridSpan w:val="4"/>
            <w:vMerge w:val="continue"/>
            <w:shd w:val="clear" w:color="auto" w:fill="EEECE1"/>
          </w:tcPr>
          <w:p>
            <w:pPr>
              <w:spacing w:after="0"/>
              <w:rPr>
                <w:sz w:val="8"/>
                <w:szCs w:val="8"/>
                <w:color w:val="auto"/>
              </w:rPr>
            </w:pPr>
          </w:p>
        </w:tc>
        <w:tc>
          <w:tcPr>
            <w:tcW w:w="400" w:type="dxa"/>
            <w:vAlign w:val="bottom"/>
            <w:tcBorders>
              <w:top w:val="single" w:sz="8" w:color="EEECE1"/>
              <w:right w:val="single" w:sz="8" w:color="auto"/>
            </w:tcBorders>
            <w:gridSpan w:val="2"/>
            <w:vMerge w:val="continue"/>
            <w:shd w:val="clear" w:color="auto" w:fill="EEECE1"/>
          </w:tcPr>
          <w:p>
            <w:pPr>
              <w:spacing w:after="0"/>
              <w:rPr>
                <w:sz w:val="8"/>
                <w:szCs w:val="8"/>
                <w:color w:val="auto"/>
              </w:rPr>
            </w:pPr>
          </w:p>
        </w:tc>
        <w:tc>
          <w:tcPr>
            <w:tcW w:w="180" w:type="dxa"/>
            <w:vAlign w:val="bottom"/>
            <w:tcBorders>
              <w:top w:val="single" w:sz="8" w:color="EEECE1"/>
            </w:tcBorders>
            <w:shd w:val="clear" w:color="auto" w:fill="EEECE1"/>
          </w:tcPr>
          <w:p>
            <w:pPr>
              <w:spacing w:after="0"/>
              <w:rPr>
                <w:sz w:val="8"/>
                <w:szCs w:val="8"/>
                <w:color w:val="auto"/>
              </w:rPr>
            </w:pPr>
          </w:p>
        </w:tc>
        <w:tc>
          <w:tcPr>
            <w:tcW w:w="2060" w:type="dxa"/>
            <w:vAlign w:val="bottom"/>
            <w:tcBorders>
              <w:top w:val="single" w:sz="8" w:color="EEECE1"/>
              <w:right w:val="single" w:sz="8" w:color="auto"/>
            </w:tcBorders>
            <w:gridSpan w:val="10"/>
            <w:vMerge w:val="continue"/>
            <w:shd w:val="clear" w:color="auto" w:fill="EEECE1"/>
          </w:tcPr>
          <w:p>
            <w:pPr>
              <w:spacing w:after="0"/>
              <w:rPr>
                <w:sz w:val="8"/>
                <w:szCs w:val="8"/>
                <w:color w:val="auto"/>
              </w:rPr>
            </w:pPr>
          </w:p>
        </w:tc>
        <w:tc>
          <w:tcPr>
            <w:tcW w:w="160" w:type="dxa"/>
            <w:vAlign w:val="bottom"/>
            <w:tcBorders>
              <w:top w:val="single" w:sz="8" w:color="EEECE1"/>
            </w:tcBorders>
            <w:shd w:val="clear" w:color="auto" w:fill="EEECE1"/>
          </w:tcPr>
          <w:p>
            <w:pPr>
              <w:spacing w:after="0"/>
              <w:rPr>
                <w:sz w:val="8"/>
                <w:szCs w:val="8"/>
                <w:color w:val="auto"/>
              </w:rPr>
            </w:pPr>
          </w:p>
        </w:tc>
        <w:tc>
          <w:tcPr>
            <w:tcW w:w="2080" w:type="dxa"/>
            <w:vAlign w:val="bottom"/>
            <w:tcBorders>
              <w:top w:val="single" w:sz="8" w:color="EEECE1"/>
              <w:right w:val="single" w:sz="8" w:color="auto"/>
            </w:tcBorders>
            <w:gridSpan w:val="6"/>
            <w:vMerge w:val="continue"/>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EEECE1"/>
              <w:left w:val="single" w:sz="8" w:color="auto"/>
            </w:tcBorders>
            <w:shd w:val="clear" w:color="auto" w:fill="EEECE1"/>
          </w:tcPr>
          <w:p>
            <w:pPr>
              <w:spacing w:after="0"/>
              <w:rPr>
                <w:sz w:val="18"/>
                <w:szCs w:val="18"/>
                <w:color w:val="auto"/>
              </w:rPr>
            </w:pPr>
          </w:p>
        </w:tc>
        <w:tc>
          <w:tcPr>
            <w:tcW w:w="20" w:type="dxa"/>
            <w:vAlign w:val="bottom"/>
            <w:tcBorders>
              <w:top w:val="single" w:sz="8" w:color="EEECE1"/>
            </w:tcBorders>
            <w:shd w:val="clear" w:color="auto" w:fill="EEECE1"/>
          </w:tcPr>
          <w:p>
            <w:pPr>
              <w:spacing w:after="0"/>
              <w:rPr>
                <w:sz w:val="18"/>
                <w:szCs w:val="18"/>
                <w:color w:val="auto"/>
              </w:rPr>
            </w:pPr>
          </w:p>
        </w:tc>
        <w:tc>
          <w:tcPr>
            <w:tcW w:w="860" w:type="dxa"/>
            <w:vAlign w:val="bottom"/>
            <w:tcBorders>
              <w:top w:val="single" w:sz="8" w:color="EEECE1"/>
            </w:tcBorders>
            <w:shd w:val="clear" w:color="auto" w:fill="EEECE1"/>
          </w:tcPr>
          <w:p>
            <w:pPr>
              <w:spacing w:after="0"/>
              <w:rPr>
                <w:sz w:val="18"/>
                <w:szCs w:val="18"/>
                <w:color w:val="auto"/>
              </w:rPr>
            </w:pPr>
          </w:p>
        </w:tc>
        <w:tc>
          <w:tcPr>
            <w:tcW w:w="1140" w:type="dxa"/>
            <w:vAlign w:val="bottom"/>
            <w:tcBorders>
              <w:top w:val="single" w:sz="8" w:color="EEECE1"/>
            </w:tcBorders>
            <w:shd w:val="clear" w:color="auto" w:fill="EEECE1"/>
          </w:tcPr>
          <w:p>
            <w:pPr>
              <w:spacing w:after="0"/>
              <w:rPr>
                <w:sz w:val="18"/>
                <w:szCs w:val="18"/>
                <w:color w:val="auto"/>
              </w:rPr>
            </w:pPr>
          </w:p>
        </w:tc>
        <w:tc>
          <w:tcPr>
            <w:tcW w:w="140" w:type="dxa"/>
            <w:vAlign w:val="bottom"/>
            <w:tcBorders>
              <w:top w:val="single" w:sz="8" w:color="EEECE1"/>
              <w:right w:val="single" w:sz="8" w:color="auto"/>
            </w:tcBorders>
            <w:shd w:val="clear" w:color="auto" w:fill="EEECE1"/>
          </w:tcPr>
          <w:p>
            <w:pPr>
              <w:spacing w:after="0"/>
              <w:rPr>
                <w:sz w:val="18"/>
                <w:szCs w:val="18"/>
                <w:color w:val="auto"/>
              </w:rPr>
            </w:pPr>
          </w:p>
        </w:tc>
        <w:tc>
          <w:tcPr>
            <w:tcW w:w="160" w:type="dxa"/>
            <w:vAlign w:val="bottom"/>
            <w:tcBorders>
              <w:top w:val="single" w:sz="8" w:color="EEECE1"/>
            </w:tcBorders>
            <w:shd w:val="clear" w:color="auto" w:fill="EEECE1"/>
          </w:tcPr>
          <w:p>
            <w:pPr>
              <w:spacing w:after="0"/>
              <w:rPr>
                <w:sz w:val="18"/>
                <w:szCs w:val="18"/>
                <w:color w:val="auto"/>
              </w:rPr>
            </w:pPr>
          </w:p>
        </w:tc>
        <w:tc>
          <w:tcPr>
            <w:tcW w:w="460" w:type="dxa"/>
            <w:vAlign w:val="bottom"/>
            <w:tcBorders>
              <w:top w:val="single" w:sz="8" w:color="EEECE1"/>
            </w:tcBorders>
            <w:shd w:val="clear" w:color="auto" w:fill="EEECE1"/>
          </w:tcPr>
          <w:p>
            <w:pPr>
              <w:spacing w:after="0"/>
              <w:rPr>
                <w:sz w:val="18"/>
                <w:szCs w:val="18"/>
                <w:color w:val="auto"/>
              </w:rPr>
            </w:pPr>
          </w:p>
        </w:tc>
        <w:tc>
          <w:tcPr>
            <w:tcW w:w="40" w:type="dxa"/>
            <w:vAlign w:val="bottom"/>
            <w:tcBorders>
              <w:top w:val="single" w:sz="8" w:color="auto"/>
            </w:tcBorders>
            <w:shd w:val="clear" w:color="auto" w:fill="EEECE1"/>
          </w:tcPr>
          <w:p>
            <w:pPr>
              <w:spacing w:after="0"/>
              <w:rPr>
                <w:sz w:val="18"/>
                <w:szCs w:val="18"/>
                <w:color w:val="auto"/>
              </w:rPr>
            </w:pPr>
          </w:p>
        </w:tc>
        <w:tc>
          <w:tcPr>
            <w:tcW w:w="360" w:type="dxa"/>
            <w:vAlign w:val="bottom"/>
            <w:tcBorders>
              <w:top w:val="single" w:sz="8" w:color="auto"/>
            </w:tcBorders>
            <w:shd w:val="clear" w:color="auto" w:fill="EEECE1"/>
          </w:tcPr>
          <w:p>
            <w:pPr>
              <w:spacing w:after="0"/>
              <w:rPr>
                <w:sz w:val="18"/>
                <w:szCs w:val="18"/>
                <w:color w:val="auto"/>
              </w:rPr>
            </w:pPr>
          </w:p>
        </w:tc>
        <w:tc>
          <w:tcPr>
            <w:tcW w:w="340" w:type="dxa"/>
            <w:vAlign w:val="bottom"/>
            <w:tcBorders>
              <w:top w:val="single" w:sz="8" w:color="auto"/>
            </w:tcBorders>
            <w:shd w:val="clear" w:color="auto" w:fill="EEECE1"/>
          </w:tcPr>
          <w:p>
            <w:pPr>
              <w:spacing w:after="0"/>
              <w:rPr>
                <w:sz w:val="18"/>
                <w:szCs w:val="18"/>
                <w:color w:val="auto"/>
              </w:rPr>
            </w:pPr>
          </w:p>
        </w:tc>
        <w:tc>
          <w:tcPr>
            <w:tcW w:w="220" w:type="dxa"/>
            <w:vAlign w:val="bottom"/>
            <w:tcBorders>
              <w:top w:val="single" w:sz="8" w:color="auto"/>
            </w:tcBorders>
            <w:shd w:val="clear" w:color="auto" w:fill="EEECE1"/>
          </w:tcPr>
          <w:p>
            <w:pPr>
              <w:spacing w:after="0"/>
              <w:rPr>
                <w:sz w:val="18"/>
                <w:szCs w:val="18"/>
                <w:color w:val="auto"/>
              </w:rPr>
            </w:pPr>
          </w:p>
        </w:tc>
        <w:tc>
          <w:tcPr>
            <w:tcW w:w="440" w:type="dxa"/>
            <w:vAlign w:val="bottom"/>
            <w:tcBorders>
              <w:top w:val="single" w:sz="8" w:color="EEECE1"/>
            </w:tcBorders>
            <w:shd w:val="clear" w:color="auto" w:fill="EEECE1"/>
          </w:tcPr>
          <w:p>
            <w:pPr>
              <w:spacing w:after="0"/>
              <w:rPr>
                <w:sz w:val="18"/>
                <w:szCs w:val="18"/>
                <w:color w:val="auto"/>
              </w:rPr>
            </w:pPr>
          </w:p>
        </w:tc>
        <w:tc>
          <w:tcPr>
            <w:tcW w:w="200" w:type="dxa"/>
            <w:vAlign w:val="bottom"/>
            <w:tcBorders>
              <w:top w:val="single" w:sz="8" w:color="EEECE1"/>
              <w:right w:val="single" w:sz="8" w:color="auto"/>
            </w:tcBorders>
            <w:shd w:val="clear" w:color="auto" w:fill="EEECE1"/>
          </w:tcPr>
          <w:p>
            <w:pPr>
              <w:spacing w:after="0"/>
              <w:rPr>
                <w:sz w:val="18"/>
                <w:szCs w:val="18"/>
                <w:color w:val="auto"/>
              </w:rPr>
            </w:pPr>
          </w:p>
        </w:tc>
        <w:tc>
          <w:tcPr>
            <w:tcW w:w="180" w:type="dxa"/>
            <w:vAlign w:val="bottom"/>
            <w:tcBorders>
              <w:top w:val="single" w:sz="8" w:color="EEECE1"/>
            </w:tcBorders>
            <w:shd w:val="clear" w:color="auto" w:fill="EEECE1"/>
          </w:tcPr>
          <w:p>
            <w:pPr>
              <w:spacing w:after="0"/>
              <w:rPr>
                <w:sz w:val="18"/>
                <w:szCs w:val="18"/>
                <w:color w:val="auto"/>
              </w:rPr>
            </w:pPr>
          </w:p>
        </w:tc>
        <w:tc>
          <w:tcPr>
            <w:tcW w:w="200" w:type="dxa"/>
            <w:vAlign w:val="bottom"/>
            <w:tcBorders>
              <w:top w:val="single" w:sz="8" w:color="EEECE1"/>
            </w:tcBorders>
            <w:shd w:val="clear" w:color="auto" w:fill="EEECE1"/>
          </w:tcPr>
          <w:p>
            <w:pPr>
              <w:spacing w:after="0"/>
              <w:rPr>
                <w:sz w:val="18"/>
                <w:szCs w:val="18"/>
                <w:color w:val="auto"/>
              </w:rPr>
            </w:pPr>
          </w:p>
        </w:tc>
        <w:tc>
          <w:tcPr>
            <w:tcW w:w="320" w:type="dxa"/>
            <w:vAlign w:val="bottom"/>
            <w:tcBorders>
              <w:top w:val="single" w:sz="8" w:color="auto"/>
            </w:tcBorders>
            <w:shd w:val="clear" w:color="auto" w:fill="EEECE1"/>
          </w:tcPr>
          <w:p>
            <w:pPr>
              <w:spacing w:after="0"/>
              <w:rPr>
                <w:sz w:val="18"/>
                <w:szCs w:val="18"/>
                <w:color w:val="auto"/>
              </w:rPr>
            </w:pPr>
          </w:p>
        </w:tc>
        <w:tc>
          <w:tcPr>
            <w:tcW w:w="340" w:type="dxa"/>
            <w:vAlign w:val="bottom"/>
            <w:tcBorders>
              <w:top w:val="single" w:sz="8" w:color="auto"/>
            </w:tcBorders>
            <w:shd w:val="clear" w:color="auto" w:fill="EEECE1"/>
          </w:tcPr>
          <w:p>
            <w:pPr>
              <w:spacing w:after="0"/>
              <w:rPr>
                <w:sz w:val="18"/>
                <w:szCs w:val="18"/>
                <w:color w:val="auto"/>
              </w:rPr>
            </w:pPr>
          </w:p>
        </w:tc>
        <w:tc>
          <w:tcPr>
            <w:tcW w:w="340" w:type="dxa"/>
            <w:vAlign w:val="bottom"/>
            <w:tcBorders>
              <w:top w:val="single" w:sz="8" w:color="auto"/>
            </w:tcBorders>
            <w:shd w:val="clear" w:color="auto" w:fill="EEECE1"/>
          </w:tcPr>
          <w:p>
            <w:pPr>
              <w:spacing w:after="0"/>
              <w:rPr>
                <w:sz w:val="18"/>
                <w:szCs w:val="18"/>
                <w:color w:val="auto"/>
              </w:rPr>
            </w:pPr>
          </w:p>
        </w:tc>
        <w:tc>
          <w:tcPr>
            <w:tcW w:w="480" w:type="dxa"/>
            <w:vAlign w:val="bottom"/>
            <w:tcBorders>
              <w:top w:val="single" w:sz="8" w:color="auto"/>
            </w:tcBorders>
            <w:shd w:val="clear" w:color="auto" w:fill="EEECE1"/>
          </w:tcPr>
          <w:p>
            <w:pPr>
              <w:spacing w:after="0"/>
              <w:rPr>
                <w:sz w:val="18"/>
                <w:szCs w:val="18"/>
                <w:color w:val="auto"/>
              </w:rPr>
            </w:pPr>
          </w:p>
        </w:tc>
        <w:tc>
          <w:tcPr>
            <w:tcW w:w="200" w:type="dxa"/>
            <w:vAlign w:val="bottom"/>
            <w:tcBorders>
              <w:top w:val="single" w:sz="8" w:color="EEECE1"/>
            </w:tcBorders>
            <w:shd w:val="clear" w:color="auto" w:fill="EEECE1"/>
          </w:tcPr>
          <w:p>
            <w:pPr>
              <w:spacing w:after="0"/>
              <w:rPr>
                <w:sz w:val="18"/>
                <w:szCs w:val="18"/>
                <w:color w:val="auto"/>
              </w:rPr>
            </w:pPr>
          </w:p>
        </w:tc>
        <w:tc>
          <w:tcPr>
            <w:tcW w:w="200" w:type="dxa"/>
            <w:vAlign w:val="bottom"/>
            <w:tcBorders>
              <w:top w:val="single" w:sz="8" w:color="EEECE1"/>
              <w:right w:val="single" w:sz="8" w:color="auto"/>
            </w:tcBorders>
            <w:shd w:val="clear" w:color="auto" w:fill="EEECE1"/>
          </w:tcPr>
          <w:p>
            <w:pPr>
              <w:spacing w:after="0"/>
              <w:rPr>
                <w:sz w:val="18"/>
                <w:szCs w:val="18"/>
                <w:color w:val="auto"/>
              </w:rPr>
            </w:pPr>
          </w:p>
        </w:tc>
        <w:tc>
          <w:tcPr>
            <w:tcW w:w="180" w:type="dxa"/>
            <w:vAlign w:val="bottom"/>
            <w:tcBorders>
              <w:top w:val="single" w:sz="8" w:color="EEECE1"/>
            </w:tcBorders>
            <w:shd w:val="clear" w:color="auto" w:fill="EEECE1"/>
          </w:tcPr>
          <w:p>
            <w:pPr>
              <w:spacing w:after="0"/>
              <w:rPr>
                <w:sz w:val="18"/>
                <w:szCs w:val="18"/>
                <w:color w:val="auto"/>
              </w:rPr>
            </w:pPr>
          </w:p>
        </w:tc>
        <w:tc>
          <w:tcPr>
            <w:tcW w:w="80" w:type="dxa"/>
            <w:vAlign w:val="bottom"/>
            <w:tcBorders>
              <w:top w:val="single" w:sz="8" w:color="EEECE1"/>
            </w:tcBorders>
            <w:shd w:val="clear" w:color="auto" w:fill="EEECE1"/>
          </w:tcPr>
          <w:p>
            <w:pPr>
              <w:spacing w:after="0"/>
              <w:rPr>
                <w:sz w:val="18"/>
                <w:szCs w:val="18"/>
                <w:color w:val="auto"/>
              </w:rPr>
            </w:pPr>
          </w:p>
        </w:tc>
        <w:tc>
          <w:tcPr>
            <w:tcW w:w="140" w:type="dxa"/>
            <w:vAlign w:val="bottom"/>
            <w:tcBorders>
              <w:top w:val="single" w:sz="8" w:color="auto"/>
            </w:tcBorders>
            <w:shd w:val="clear" w:color="auto" w:fill="EEECE1"/>
          </w:tcPr>
          <w:p>
            <w:pPr>
              <w:spacing w:after="0"/>
              <w:rPr>
                <w:sz w:val="18"/>
                <w:szCs w:val="18"/>
                <w:color w:val="auto"/>
              </w:rPr>
            </w:pPr>
          </w:p>
        </w:tc>
        <w:tc>
          <w:tcPr>
            <w:tcW w:w="280" w:type="dxa"/>
            <w:vAlign w:val="bottom"/>
            <w:tcBorders>
              <w:top w:val="single" w:sz="8" w:color="auto"/>
            </w:tcBorders>
            <w:shd w:val="clear" w:color="auto" w:fill="EEECE1"/>
          </w:tcPr>
          <w:p>
            <w:pPr>
              <w:spacing w:after="0"/>
              <w:rPr>
                <w:sz w:val="18"/>
                <w:szCs w:val="18"/>
                <w:color w:val="auto"/>
              </w:rPr>
            </w:pPr>
          </w:p>
        </w:tc>
        <w:tc>
          <w:tcPr>
            <w:tcW w:w="160" w:type="dxa"/>
            <w:vAlign w:val="bottom"/>
            <w:tcBorders>
              <w:top w:val="single" w:sz="8" w:color="auto"/>
            </w:tcBorders>
            <w:shd w:val="clear" w:color="auto" w:fill="EEECE1"/>
          </w:tcPr>
          <w:p>
            <w:pPr>
              <w:spacing w:after="0"/>
              <w:rPr>
                <w:sz w:val="18"/>
                <w:szCs w:val="18"/>
                <w:color w:val="auto"/>
              </w:rPr>
            </w:pPr>
          </w:p>
        </w:tc>
        <w:tc>
          <w:tcPr>
            <w:tcW w:w="1120" w:type="dxa"/>
            <w:vAlign w:val="bottom"/>
            <w:tcBorders>
              <w:top w:val="single" w:sz="8" w:color="auto"/>
            </w:tcBorders>
            <w:gridSpan w:val="4"/>
            <w:shd w:val="clear" w:color="auto" w:fill="EEECE1"/>
          </w:tcPr>
          <w:p>
            <w:pPr>
              <w:spacing w:after="0" w:line="209" w:lineRule="exact"/>
              <w:rPr>
                <w:sz w:val="20"/>
                <w:szCs w:val="20"/>
                <w:color w:val="auto"/>
              </w:rPr>
            </w:pPr>
            <w:r>
              <w:rPr>
                <w:rFonts w:ascii="Times New Roman" w:cs="Times New Roman" w:eastAsia="Times New Roman" w:hAnsi="Times New Roman"/>
                <w:sz w:val="20"/>
                <w:szCs w:val="20"/>
                <w:color w:val="auto"/>
              </w:rPr>
              <w:t>Loans)</w:t>
            </w:r>
          </w:p>
        </w:tc>
        <w:tc>
          <w:tcPr>
            <w:tcW w:w="280" w:type="dxa"/>
            <w:vAlign w:val="bottom"/>
            <w:tcBorders>
              <w:top w:val="single" w:sz="8" w:color="EEECE1"/>
              <w:right w:val="single" w:sz="8" w:color="auto"/>
            </w:tcBorders>
            <w:gridSpan w:val="2"/>
            <w:shd w:val="clear" w:color="auto" w:fill="EEECE1"/>
          </w:tcPr>
          <w:p>
            <w:pPr>
              <w:spacing w:after="0"/>
              <w:rPr>
                <w:sz w:val="18"/>
                <w:szCs w:val="18"/>
                <w:color w:val="auto"/>
              </w:rPr>
            </w:pPr>
          </w:p>
        </w:tc>
        <w:tc>
          <w:tcPr>
            <w:tcW w:w="160" w:type="dxa"/>
            <w:vAlign w:val="bottom"/>
            <w:tcBorders>
              <w:top w:val="single" w:sz="8" w:color="EEECE1"/>
            </w:tcBorders>
            <w:shd w:val="clear" w:color="auto" w:fill="EEECE1"/>
          </w:tcPr>
          <w:p>
            <w:pPr>
              <w:spacing w:after="0"/>
              <w:rPr>
                <w:sz w:val="18"/>
                <w:szCs w:val="18"/>
                <w:color w:val="auto"/>
              </w:rPr>
            </w:pPr>
          </w:p>
        </w:tc>
        <w:tc>
          <w:tcPr>
            <w:tcW w:w="20" w:type="dxa"/>
            <w:vAlign w:val="bottom"/>
            <w:tcBorders>
              <w:top w:val="single" w:sz="8" w:color="EEECE1"/>
            </w:tcBorders>
            <w:shd w:val="clear" w:color="auto" w:fill="EEECE1"/>
          </w:tcPr>
          <w:p>
            <w:pPr>
              <w:spacing w:after="0"/>
              <w:rPr>
                <w:sz w:val="18"/>
                <w:szCs w:val="18"/>
                <w:color w:val="auto"/>
              </w:rPr>
            </w:pPr>
          </w:p>
        </w:tc>
        <w:tc>
          <w:tcPr>
            <w:tcW w:w="500" w:type="dxa"/>
            <w:vAlign w:val="bottom"/>
            <w:tcBorders>
              <w:top w:val="single" w:sz="8" w:color="auto"/>
            </w:tcBorders>
            <w:shd w:val="clear" w:color="auto" w:fill="EEECE1"/>
          </w:tcPr>
          <w:p>
            <w:pPr>
              <w:spacing w:after="0"/>
              <w:rPr>
                <w:sz w:val="18"/>
                <w:szCs w:val="18"/>
                <w:color w:val="auto"/>
              </w:rPr>
            </w:pPr>
          </w:p>
        </w:tc>
        <w:tc>
          <w:tcPr>
            <w:tcW w:w="360" w:type="dxa"/>
            <w:vAlign w:val="bottom"/>
            <w:tcBorders>
              <w:top w:val="single" w:sz="8" w:color="auto"/>
            </w:tcBorders>
            <w:shd w:val="clear" w:color="auto" w:fill="EEECE1"/>
          </w:tcPr>
          <w:p>
            <w:pPr>
              <w:spacing w:after="0"/>
              <w:rPr>
                <w:sz w:val="18"/>
                <w:szCs w:val="18"/>
                <w:color w:val="auto"/>
              </w:rPr>
            </w:pPr>
          </w:p>
        </w:tc>
        <w:tc>
          <w:tcPr>
            <w:tcW w:w="340" w:type="dxa"/>
            <w:vAlign w:val="bottom"/>
            <w:tcBorders>
              <w:top w:val="single" w:sz="8" w:color="auto"/>
            </w:tcBorders>
            <w:shd w:val="clear" w:color="auto" w:fill="EEECE1"/>
          </w:tcPr>
          <w:p>
            <w:pPr>
              <w:spacing w:after="0"/>
              <w:rPr>
                <w:sz w:val="18"/>
                <w:szCs w:val="18"/>
                <w:color w:val="auto"/>
              </w:rPr>
            </w:pPr>
          </w:p>
        </w:tc>
        <w:tc>
          <w:tcPr>
            <w:tcW w:w="680" w:type="dxa"/>
            <w:vAlign w:val="bottom"/>
            <w:tcBorders>
              <w:top w:val="single" w:sz="8" w:color="auto"/>
            </w:tcBorders>
            <w:shd w:val="clear" w:color="auto" w:fill="EEECE1"/>
          </w:tcPr>
          <w:p>
            <w:pPr>
              <w:spacing w:after="0"/>
              <w:rPr>
                <w:sz w:val="18"/>
                <w:szCs w:val="18"/>
                <w:color w:val="auto"/>
              </w:rPr>
            </w:pPr>
          </w:p>
        </w:tc>
        <w:tc>
          <w:tcPr>
            <w:tcW w:w="180" w:type="dxa"/>
            <w:vAlign w:val="bottom"/>
            <w:tcBorders>
              <w:top w:val="single" w:sz="8" w:color="EEECE1"/>
              <w:right w:val="single" w:sz="8" w:color="auto"/>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120" w:type="dxa"/>
            <w:vAlign w:val="bottom"/>
            <w:tcBorders>
              <w:top w:val="single" w:sz="8" w:color="EEECE1"/>
              <w:left w:val="single" w:sz="8" w:color="auto"/>
              <w:bottom w:val="single" w:sz="8" w:color="auto"/>
            </w:tcBorders>
            <w:shd w:val="clear" w:color="auto" w:fill="EEECE1"/>
          </w:tcPr>
          <w:p>
            <w:pPr>
              <w:spacing w:after="0"/>
              <w:rPr>
                <w:sz w:val="6"/>
                <w:szCs w:val="6"/>
                <w:color w:val="auto"/>
              </w:rPr>
            </w:pPr>
          </w:p>
        </w:tc>
        <w:tc>
          <w:tcPr>
            <w:tcW w:w="20" w:type="dxa"/>
            <w:vAlign w:val="bottom"/>
            <w:tcBorders>
              <w:top w:val="single" w:sz="8" w:color="EEECE1"/>
              <w:bottom w:val="single" w:sz="8" w:color="auto"/>
            </w:tcBorders>
            <w:shd w:val="clear" w:color="auto" w:fill="EEECE1"/>
          </w:tcPr>
          <w:p>
            <w:pPr>
              <w:spacing w:after="0"/>
              <w:rPr>
                <w:sz w:val="6"/>
                <w:szCs w:val="6"/>
                <w:color w:val="auto"/>
              </w:rPr>
            </w:pPr>
          </w:p>
        </w:tc>
        <w:tc>
          <w:tcPr>
            <w:tcW w:w="860" w:type="dxa"/>
            <w:vAlign w:val="bottom"/>
            <w:tcBorders>
              <w:top w:val="single" w:sz="8" w:color="EEECE1"/>
              <w:bottom w:val="single" w:sz="8" w:color="auto"/>
            </w:tcBorders>
            <w:shd w:val="clear" w:color="auto" w:fill="EEECE1"/>
          </w:tcPr>
          <w:p>
            <w:pPr>
              <w:spacing w:after="0"/>
              <w:rPr>
                <w:sz w:val="6"/>
                <w:szCs w:val="6"/>
                <w:color w:val="auto"/>
              </w:rPr>
            </w:pPr>
          </w:p>
        </w:tc>
        <w:tc>
          <w:tcPr>
            <w:tcW w:w="1140" w:type="dxa"/>
            <w:vAlign w:val="bottom"/>
            <w:tcBorders>
              <w:top w:val="single" w:sz="8" w:color="EEECE1"/>
              <w:bottom w:val="single" w:sz="8" w:color="auto"/>
            </w:tcBorders>
            <w:shd w:val="clear" w:color="auto" w:fill="EEECE1"/>
          </w:tcPr>
          <w:p>
            <w:pPr>
              <w:spacing w:after="0"/>
              <w:rPr>
                <w:sz w:val="6"/>
                <w:szCs w:val="6"/>
                <w:color w:val="auto"/>
              </w:rPr>
            </w:pPr>
          </w:p>
        </w:tc>
        <w:tc>
          <w:tcPr>
            <w:tcW w:w="14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160" w:type="dxa"/>
            <w:vAlign w:val="bottom"/>
            <w:tcBorders>
              <w:top w:val="single" w:sz="8" w:color="EEECE1"/>
              <w:bottom w:val="single" w:sz="8" w:color="auto"/>
            </w:tcBorders>
            <w:shd w:val="clear" w:color="auto" w:fill="EEECE1"/>
          </w:tcPr>
          <w:p>
            <w:pPr>
              <w:spacing w:after="0"/>
              <w:rPr>
                <w:sz w:val="6"/>
                <w:szCs w:val="6"/>
                <w:color w:val="auto"/>
              </w:rPr>
            </w:pPr>
          </w:p>
        </w:tc>
        <w:tc>
          <w:tcPr>
            <w:tcW w:w="460" w:type="dxa"/>
            <w:vAlign w:val="bottom"/>
            <w:tcBorders>
              <w:top w:val="single" w:sz="8" w:color="EEECE1"/>
              <w:bottom w:val="single" w:sz="8" w:color="auto"/>
            </w:tcBorders>
            <w:shd w:val="clear" w:color="auto" w:fill="EEECE1"/>
          </w:tcPr>
          <w:p>
            <w:pPr>
              <w:spacing w:after="0"/>
              <w:rPr>
                <w:sz w:val="6"/>
                <w:szCs w:val="6"/>
                <w:color w:val="auto"/>
              </w:rPr>
            </w:pPr>
          </w:p>
        </w:tc>
        <w:tc>
          <w:tcPr>
            <w:tcW w:w="40" w:type="dxa"/>
            <w:vAlign w:val="bottom"/>
            <w:tcBorders>
              <w:top w:val="single" w:sz="8" w:color="EEECE1"/>
              <w:bottom w:val="single" w:sz="8" w:color="auto"/>
            </w:tcBorders>
            <w:shd w:val="clear" w:color="auto" w:fill="EEECE1"/>
          </w:tcPr>
          <w:p>
            <w:pPr>
              <w:spacing w:after="0"/>
              <w:rPr>
                <w:sz w:val="6"/>
                <w:szCs w:val="6"/>
                <w:color w:val="auto"/>
              </w:rPr>
            </w:pPr>
          </w:p>
        </w:tc>
        <w:tc>
          <w:tcPr>
            <w:tcW w:w="360" w:type="dxa"/>
            <w:vAlign w:val="bottom"/>
            <w:tcBorders>
              <w:top w:val="single" w:sz="8" w:color="EEECE1"/>
              <w:bottom w:val="single" w:sz="8" w:color="auto"/>
            </w:tcBorders>
            <w:shd w:val="clear" w:color="auto" w:fill="EEECE1"/>
          </w:tcPr>
          <w:p>
            <w:pPr>
              <w:spacing w:after="0"/>
              <w:rPr>
                <w:sz w:val="6"/>
                <w:szCs w:val="6"/>
                <w:color w:val="auto"/>
              </w:rPr>
            </w:pPr>
          </w:p>
        </w:tc>
        <w:tc>
          <w:tcPr>
            <w:tcW w:w="340" w:type="dxa"/>
            <w:vAlign w:val="bottom"/>
            <w:tcBorders>
              <w:top w:val="single" w:sz="8" w:color="EEECE1"/>
              <w:bottom w:val="single" w:sz="8" w:color="auto"/>
            </w:tcBorders>
            <w:shd w:val="clear" w:color="auto" w:fill="EEECE1"/>
          </w:tcPr>
          <w:p>
            <w:pPr>
              <w:spacing w:after="0"/>
              <w:rPr>
                <w:sz w:val="6"/>
                <w:szCs w:val="6"/>
                <w:color w:val="auto"/>
              </w:rPr>
            </w:pPr>
          </w:p>
        </w:tc>
        <w:tc>
          <w:tcPr>
            <w:tcW w:w="220" w:type="dxa"/>
            <w:vAlign w:val="bottom"/>
            <w:tcBorders>
              <w:top w:val="single" w:sz="8" w:color="EEECE1"/>
              <w:bottom w:val="single" w:sz="8" w:color="auto"/>
            </w:tcBorders>
            <w:shd w:val="clear" w:color="auto" w:fill="EEECE1"/>
          </w:tcPr>
          <w:p>
            <w:pPr>
              <w:spacing w:after="0"/>
              <w:rPr>
                <w:sz w:val="6"/>
                <w:szCs w:val="6"/>
                <w:color w:val="auto"/>
              </w:rPr>
            </w:pPr>
          </w:p>
        </w:tc>
        <w:tc>
          <w:tcPr>
            <w:tcW w:w="440" w:type="dxa"/>
            <w:vAlign w:val="bottom"/>
            <w:tcBorders>
              <w:top w:val="single" w:sz="8" w:color="EEECE1"/>
              <w:bottom w:val="single" w:sz="8" w:color="auto"/>
            </w:tcBorders>
            <w:shd w:val="clear" w:color="auto" w:fill="EEECE1"/>
          </w:tcPr>
          <w:p>
            <w:pPr>
              <w:spacing w:after="0"/>
              <w:rPr>
                <w:sz w:val="6"/>
                <w:szCs w:val="6"/>
                <w:color w:val="auto"/>
              </w:rPr>
            </w:pPr>
          </w:p>
        </w:tc>
        <w:tc>
          <w:tcPr>
            <w:tcW w:w="20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180" w:type="dxa"/>
            <w:vAlign w:val="bottom"/>
            <w:tcBorders>
              <w:top w:val="single" w:sz="8" w:color="EEECE1"/>
              <w:bottom w:val="single" w:sz="8" w:color="auto"/>
            </w:tcBorders>
            <w:shd w:val="clear" w:color="auto" w:fill="EEECE1"/>
          </w:tcPr>
          <w:p>
            <w:pPr>
              <w:spacing w:after="0"/>
              <w:rPr>
                <w:sz w:val="6"/>
                <w:szCs w:val="6"/>
                <w:color w:val="auto"/>
              </w:rPr>
            </w:pPr>
          </w:p>
        </w:tc>
        <w:tc>
          <w:tcPr>
            <w:tcW w:w="200" w:type="dxa"/>
            <w:vAlign w:val="bottom"/>
            <w:tcBorders>
              <w:top w:val="single" w:sz="8" w:color="EEECE1"/>
              <w:bottom w:val="single" w:sz="8" w:color="auto"/>
            </w:tcBorders>
            <w:shd w:val="clear" w:color="auto" w:fill="EEECE1"/>
          </w:tcPr>
          <w:p>
            <w:pPr>
              <w:spacing w:after="0"/>
              <w:rPr>
                <w:sz w:val="6"/>
                <w:szCs w:val="6"/>
                <w:color w:val="auto"/>
              </w:rPr>
            </w:pPr>
          </w:p>
        </w:tc>
        <w:tc>
          <w:tcPr>
            <w:tcW w:w="320" w:type="dxa"/>
            <w:vAlign w:val="bottom"/>
            <w:tcBorders>
              <w:top w:val="single" w:sz="8" w:color="EEECE1"/>
              <w:bottom w:val="single" w:sz="8" w:color="auto"/>
            </w:tcBorders>
            <w:shd w:val="clear" w:color="auto" w:fill="EEECE1"/>
          </w:tcPr>
          <w:p>
            <w:pPr>
              <w:spacing w:after="0"/>
              <w:rPr>
                <w:sz w:val="6"/>
                <w:szCs w:val="6"/>
                <w:color w:val="auto"/>
              </w:rPr>
            </w:pPr>
          </w:p>
        </w:tc>
        <w:tc>
          <w:tcPr>
            <w:tcW w:w="340" w:type="dxa"/>
            <w:vAlign w:val="bottom"/>
            <w:tcBorders>
              <w:top w:val="single" w:sz="8" w:color="EEECE1"/>
              <w:bottom w:val="single" w:sz="8" w:color="auto"/>
            </w:tcBorders>
            <w:shd w:val="clear" w:color="auto" w:fill="EEECE1"/>
          </w:tcPr>
          <w:p>
            <w:pPr>
              <w:spacing w:after="0"/>
              <w:rPr>
                <w:sz w:val="6"/>
                <w:szCs w:val="6"/>
                <w:color w:val="auto"/>
              </w:rPr>
            </w:pPr>
          </w:p>
        </w:tc>
        <w:tc>
          <w:tcPr>
            <w:tcW w:w="340" w:type="dxa"/>
            <w:vAlign w:val="bottom"/>
            <w:tcBorders>
              <w:top w:val="single" w:sz="8" w:color="EEECE1"/>
              <w:bottom w:val="single" w:sz="8" w:color="auto"/>
            </w:tcBorders>
            <w:shd w:val="clear" w:color="auto" w:fill="EEECE1"/>
          </w:tcPr>
          <w:p>
            <w:pPr>
              <w:spacing w:after="0"/>
              <w:rPr>
                <w:sz w:val="6"/>
                <w:szCs w:val="6"/>
                <w:color w:val="auto"/>
              </w:rPr>
            </w:pPr>
          </w:p>
        </w:tc>
        <w:tc>
          <w:tcPr>
            <w:tcW w:w="480" w:type="dxa"/>
            <w:vAlign w:val="bottom"/>
            <w:tcBorders>
              <w:top w:val="single" w:sz="8" w:color="EEECE1"/>
              <w:bottom w:val="single" w:sz="8" w:color="auto"/>
            </w:tcBorders>
            <w:shd w:val="clear" w:color="auto" w:fill="EEECE1"/>
          </w:tcPr>
          <w:p>
            <w:pPr>
              <w:spacing w:after="0"/>
              <w:rPr>
                <w:sz w:val="6"/>
                <w:szCs w:val="6"/>
                <w:color w:val="auto"/>
              </w:rPr>
            </w:pPr>
          </w:p>
        </w:tc>
        <w:tc>
          <w:tcPr>
            <w:tcW w:w="200" w:type="dxa"/>
            <w:vAlign w:val="bottom"/>
            <w:tcBorders>
              <w:top w:val="single" w:sz="8" w:color="EEECE1"/>
              <w:bottom w:val="single" w:sz="8" w:color="auto"/>
            </w:tcBorders>
            <w:shd w:val="clear" w:color="auto" w:fill="EEECE1"/>
          </w:tcPr>
          <w:p>
            <w:pPr>
              <w:spacing w:after="0"/>
              <w:rPr>
                <w:sz w:val="6"/>
                <w:szCs w:val="6"/>
                <w:color w:val="auto"/>
              </w:rPr>
            </w:pPr>
          </w:p>
        </w:tc>
        <w:tc>
          <w:tcPr>
            <w:tcW w:w="20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180" w:type="dxa"/>
            <w:vAlign w:val="bottom"/>
            <w:tcBorders>
              <w:top w:val="single" w:sz="8" w:color="EEECE1"/>
              <w:bottom w:val="single" w:sz="8" w:color="auto"/>
            </w:tcBorders>
            <w:shd w:val="clear" w:color="auto" w:fill="EEECE1"/>
          </w:tcPr>
          <w:p>
            <w:pPr>
              <w:spacing w:after="0"/>
              <w:rPr>
                <w:sz w:val="6"/>
                <w:szCs w:val="6"/>
                <w:color w:val="auto"/>
              </w:rPr>
            </w:pPr>
          </w:p>
        </w:tc>
        <w:tc>
          <w:tcPr>
            <w:tcW w:w="80" w:type="dxa"/>
            <w:vAlign w:val="bottom"/>
            <w:tcBorders>
              <w:top w:val="single" w:sz="8" w:color="EEECE1"/>
              <w:bottom w:val="single" w:sz="8" w:color="auto"/>
            </w:tcBorders>
            <w:shd w:val="clear" w:color="auto" w:fill="EEECE1"/>
          </w:tcPr>
          <w:p>
            <w:pPr>
              <w:spacing w:after="0"/>
              <w:rPr>
                <w:sz w:val="6"/>
                <w:szCs w:val="6"/>
                <w:color w:val="auto"/>
              </w:rPr>
            </w:pPr>
          </w:p>
        </w:tc>
        <w:tc>
          <w:tcPr>
            <w:tcW w:w="140" w:type="dxa"/>
            <w:vAlign w:val="bottom"/>
            <w:tcBorders>
              <w:top w:val="single" w:sz="8" w:color="EEECE1"/>
              <w:bottom w:val="single" w:sz="8" w:color="auto"/>
            </w:tcBorders>
            <w:shd w:val="clear" w:color="auto" w:fill="EEECE1"/>
          </w:tcPr>
          <w:p>
            <w:pPr>
              <w:spacing w:after="0"/>
              <w:rPr>
                <w:sz w:val="6"/>
                <w:szCs w:val="6"/>
                <w:color w:val="auto"/>
              </w:rPr>
            </w:pPr>
          </w:p>
        </w:tc>
        <w:tc>
          <w:tcPr>
            <w:tcW w:w="280" w:type="dxa"/>
            <w:vAlign w:val="bottom"/>
            <w:tcBorders>
              <w:top w:val="single" w:sz="8" w:color="EEECE1"/>
              <w:bottom w:val="single" w:sz="8" w:color="auto"/>
            </w:tcBorders>
            <w:shd w:val="clear" w:color="auto" w:fill="EEECE1"/>
          </w:tcPr>
          <w:p>
            <w:pPr>
              <w:spacing w:after="0"/>
              <w:rPr>
                <w:sz w:val="6"/>
                <w:szCs w:val="6"/>
                <w:color w:val="auto"/>
              </w:rPr>
            </w:pPr>
          </w:p>
        </w:tc>
        <w:tc>
          <w:tcPr>
            <w:tcW w:w="160" w:type="dxa"/>
            <w:vAlign w:val="bottom"/>
            <w:tcBorders>
              <w:top w:val="single" w:sz="8" w:color="EEECE1"/>
              <w:bottom w:val="single" w:sz="8" w:color="auto"/>
            </w:tcBorders>
            <w:shd w:val="clear" w:color="auto" w:fill="EEECE1"/>
          </w:tcPr>
          <w:p>
            <w:pPr>
              <w:spacing w:after="0"/>
              <w:rPr>
                <w:sz w:val="6"/>
                <w:szCs w:val="6"/>
                <w:color w:val="auto"/>
              </w:rPr>
            </w:pPr>
          </w:p>
        </w:tc>
        <w:tc>
          <w:tcPr>
            <w:tcW w:w="180" w:type="dxa"/>
            <w:vAlign w:val="bottom"/>
            <w:tcBorders>
              <w:top w:val="single" w:sz="8" w:color="auto"/>
              <w:bottom w:val="single" w:sz="8" w:color="auto"/>
            </w:tcBorders>
            <w:shd w:val="clear" w:color="auto" w:fill="EEECE1"/>
          </w:tcPr>
          <w:p>
            <w:pPr>
              <w:spacing w:after="0"/>
              <w:rPr>
                <w:sz w:val="6"/>
                <w:szCs w:val="6"/>
                <w:color w:val="auto"/>
              </w:rPr>
            </w:pPr>
          </w:p>
        </w:tc>
        <w:tc>
          <w:tcPr>
            <w:tcW w:w="360" w:type="dxa"/>
            <w:vAlign w:val="bottom"/>
            <w:tcBorders>
              <w:top w:val="single" w:sz="8" w:color="auto"/>
              <w:bottom w:val="single" w:sz="8" w:color="auto"/>
            </w:tcBorders>
            <w:shd w:val="clear" w:color="auto" w:fill="EEECE1"/>
          </w:tcPr>
          <w:p>
            <w:pPr>
              <w:spacing w:after="0"/>
              <w:rPr>
                <w:sz w:val="6"/>
                <w:szCs w:val="6"/>
                <w:color w:val="auto"/>
              </w:rPr>
            </w:pPr>
          </w:p>
        </w:tc>
        <w:tc>
          <w:tcPr>
            <w:tcW w:w="440" w:type="dxa"/>
            <w:vAlign w:val="bottom"/>
            <w:tcBorders>
              <w:top w:val="single" w:sz="8" w:color="EEECE1"/>
              <w:bottom w:val="single" w:sz="8" w:color="auto"/>
            </w:tcBorders>
            <w:shd w:val="clear" w:color="auto" w:fill="EEECE1"/>
          </w:tcPr>
          <w:p>
            <w:pPr>
              <w:spacing w:after="0"/>
              <w:rPr>
                <w:sz w:val="6"/>
                <w:szCs w:val="6"/>
                <w:color w:val="auto"/>
              </w:rPr>
            </w:pPr>
          </w:p>
        </w:tc>
        <w:tc>
          <w:tcPr>
            <w:tcW w:w="140" w:type="dxa"/>
            <w:vAlign w:val="bottom"/>
            <w:tcBorders>
              <w:top w:val="single" w:sz="8" w:color="EEECE1"/>
              <w:bottom w:val="single" w:sz="8" w:color="auto"/>
            </w:tcBorders>
            <w:shd w:val="clear" w:color="auto" w:fill="EEECE1"/>
          </w:tcPr>
          <w:p>
            <w:pPr>
              <w:spacing w:after="0"/>
              <w:rPr>
                <w:sz w:val="6"/>
                <w:szCs w:val="6"/>
                <w:color w:val="auto"/>
              </w:rPr>
            </w:pPr>
          </w:p>
        </w:tc>
        <w:tc>
          <w:tcPr>
            <w:tcW w:w="80" w:type="dxa"/>
            <w:vAlign w:val="bottom"/>
            <w:tcBorders>
              <w:top w:val="single" w:sz="8" w:color="EEECE1"/>
              <w:bottom w:val="single" w:sz="8" w:color="auto"/>
            </w:tcBorders>
            <w:shd w:val="clear" w:color="auto" w:fill="EEECE1"/>
          </w:tcPr>
          <w:p>
            <w:pPr>
              <w:spacing w:after="0"/>
              <w:rPr>
                <w:sz w:val="6"/>
                <w:szCs w:val="6"/>
                <w:color w:val="auto"/>
              </w:rPr>
            </w:pPr>
          </w:p>
        </w:tc>
        <w:tc>
          <w:tcPr>
            <w:tcW w:w="20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160" w:type="dxa"/>
            <w:vAlign w:val="bottom"/>
            <w:tcBorders>
              <w:top w:val="single" w:sz="8" w:color="EEECE1"/>
              <w:bottom w:val="single" w:sz="8" w:color="auto"/>
            </w:tcBorders>
            <w:shd w:val="clear" w:color="auto" w:fill="EEECE1"/>
          </w:tcPr>
          <w:p>
            <w:pPr>
              <w:spacing w:after="0"/>
              <w:rPr>
                <w:sz w:val="6"/>
                <w:szCs w:val="6"/>
                <w:color w:val="auto"/>
              </w:rPr>
            </w:pPr>
          </w:p>
        </w:tc>
        <w:tc>
          <w:tcPr>
            <w:tcW w:w="20" w:type="dxa"/>
            <w:vAlign w:val="bottom"/>
            <w:tcBorders>
              <w:top w:val="single" w:sz="8" w:color="EEECE1"/>
              <w:bottom w:val="single" w:sz="8" w:color="auto"/>
            </w:tcBorders>
            <w:shd w:val="clear" w:color="auto" w:fill="EEECE1"/>
          </w:tcPr>
          <w:p>
            <w:pPr>
              <w:spacing w:after="0"/>
              <w:rPr>
                <w:sz w:val="6"/>
                <w:szCs w:val="6"/>
                <w:color w:val="auto"/>
              </w:rPr>
            </w:pPr>
          </w:p>
        </w:tc>
        <w:tc>
          <w:tcPr>
            <w:tcW w:w="500" w:type="dxa"/>
            <w:vAlign w:val="bottom"/>
            <w:tcBorders>
              <w:top w:val="single" w:sz="8" w:color="EEECE1"/>
              <w:bottom w:val="single" w:sz="8" w:color="auto"/>
            </w:tcBorders>
            <w:shd w:val="clear" w:color="auto" w:fill="EEECE1"/>
          </w:tcPr>
          <w:p>
            <w:pPr>
              <w:spacing w:after="0"/>
              <w:rPr>
                <w:sz w:val="6"/>
                <w:szCs w:val="6"/>
                <w:color w:val="auto"/>
              </w:rPr>
            </w:pPr>
          </w:p>
        </w:tc>
        <w:tc>
          <w:tcPr>
            <w:tcW w:w="360" w:type="dxa"/>
            <w:vAlign w:val="bottom"/>
            <w:tcBorders>
              <w:top w:val="single" w:sz="8" w:color="EEECE1"/>
              <w:bottom w:val="single" w:sz="8" w:color="auto"/>
            </w:tcBorders>
            <w:shd w:val="clear" w:color="auto" w:fill="EEECE1"/>
          </w:tcPr>
          <w:p>
            <w:pPr>
              <w:spacing w:after="0"/>
              <w:rPr>
                <w:sz w:val="6"/>
                <w:szCs w:val="6"/>
                <w:color w:val="auto"/>
              </w:rPr>
            </w:pPr>
          </w:p>
        </w:tc>
        <w:tc>
          <w:tcPr>
            <w:tcW w:w="340" w:type="dxa"/>
            <w:vAlign w:val="bottom"/>
            <w:tcBorders>
              <w:top w:val="single" w:sz="8" w:color="EEECE1"/>
              <w:bottom w:val="single" w:sz="8" w:color="auto"/>
            </w:tcBorders>
            <w:shd w:val="clear" w:color="auto" w:fill="EEECE1"/>
          </w:tcPr>
          <w:p>
            <w:pPr>
              <w:spacing w:after="0"/>
              <w:rPr>
                <w:sz w:val="6"/>
                <w:szCs w:val="6"/>
                <w:color w:val="auto"/>
              </w:rPr>
            </w:pPr>
          </w:p>
        </w:tc>
        <w:tc>
          <w:tcPr>
            <w:tcW w:w="680" w:type="dxa"/>
            <w:vAlign w:val="bottom"/>
            <w:tcBorders>
              <w:top w:val="single" w:sz="8" w:color="EEECE1"/>
              <w:bottom w:val="single" w:sz="8" w:color="auto"/>
            </w:tcBorders>
            <w:shd w:val="clear" w:color="auto" w:fill="EEECE1"/>
          </w:tcPr>
          <w:p>
            <w:pPr>
              <w:spacing w:after="0"/>
              <w:rPr>
                <w:sz w:val="6"/>
                <w:szCs w:val="6"/>
                <w:color w:val="auto"/>
              </w:rPr>
            </w:pPr>
          </w:p>
        </w:tc>
        <w:tc>
          <w:tcPr>
            <w:tcW w:w="18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20" w:type="dxa"/>
            <w:vAlign w:val="bottom"/>
            <w:tcBorders>
              <w:left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Category 1</w:t>
            </w:r>
          </w:p>
        </w:tc>
        <w:tc>
          <w:tcPr>
            <w:tcW w:w="1280" w:type="dxa"/>
            <w:vAlign w:val="bottom"/>
            <w:tcBorders>
              <w:right w:val="single" w:sz="8" w:color="auto"/>
            </w:tcBorders>
            <w:gridSpan w:val="2"/>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right w:val="single" w:sz="8" w:color="auto"/>
            </w:tcBorders>
            <w:gridSpan w:val="3"/>
          </w:tcPr>
          <w:p>
            <w:pPr>
              <w:ind w:left="20"/>
              <w:spacing w:after="0" w:line="209" w:lineRule="exact"/>
              <w:rPr>
                <w:sz w:val="20"/>
                <w:szCs w:val="20"/>
                <w:color w:val="auto"/>
              </w:rPr>
            </w:pPr>
            <w:r>
              <w:rPr>
                <w:rFonts w:ascii="Times New Roman" w:cs="Times New Roman" w:eastAsia="Times New Roman" w:hAnsi="Times New Roman"/>
                <w:sz w:val="20"/>
                <w:szCs w:val="20"/>
                <w:color w:val="auto"/>
              </w:rPr>
              <w:t>Greater than 2.75 to 1.00</w:t>
            </w:r>
          </w:p>
        </w:tc>
        <w:tc>
          <w:tcPr>
            <w:tcW w:w="660" w:type="dxa"/>
            <w:vAlign w:val="bottom"/>
            <w:gridSpan w:val="3"/>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7"/>
              </w:rPr>
              <w:t>1.25</w:t>
            </w:r>
          </w:p>
        </w:tc>
        <w:tc>
          <w:tcPr>
            <w:tcW w:w="56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20"/>
                <w:szCs w:val="20"/>
                <w:color w:val="0000FF"/>
                <w:w w:val="92"/>
              </w:rPr>
              <w:t>1.50</w:t>
            </w:r>
            <w:r>
              <w:rPr>
                <w:rFonts w:ascii="Times New Roman" w:cs="Times New Roman" w:eastAsia="Times New Roman" w:hAnsi="Times New Roman"/>
                <w:sz w:val="20"/>
                <w:szCs w:val="20"/>
                <w:color w:val="000000"/>
                <w:w w:val="92"/>
              </w:rPr>
              <w:t>%</w:t>
            </w:r>
          </w:p>
        </w:tc>
        <w:tc>
          <w:tcPr>
            <w:tcW w:w="4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00" w:type="dxa"/>
            <w:vAlign w:val="bottom"/>
            <w:gridSpan w:val="3"/>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1"/>
              </w:rPr>
              <w:t>2.25</w:t>
            </w:r>
          </w:p>
        </w:tc>
        <w:tc>
          <w:tcPr>
            <w:tcW w:w="820" w:type="dxa"/>
            <w:vAlign w:val="bottom"/>
            <w:gridSpan w:val="2"/>
          </w:tcPr>
          <w:p>
            <w:pPr>
              <w:jc w:val="right"/>
              <w:ind w:right="300"/>
              <w:spacing w:after="0" w:line="209" w:lineRule="exact"/>
              <w:rPr>
                <w:sz w:val="20"/>
                <w:szCs w:val="20"/>
                <w:color w:val="auto"/>
              </w:rPr>
            </w:pPr>
            <w:r>
              <w:rPr>
                <w:rFonts w:ascii="Times New Roman" w:cs="Times New Roman" w:eastAsia="Times New Roman" w:hAnsi="Times New Roman"/>
                <w:sz w:val="20"/>
                <w:szCs w:val="20"/>
                <w:color w:val="0000FF"/>
                <w:w w:val="96"/>
              </w:rPr>
              <w:t>2.50</w:t>
            </w:r>
            <w:r>
              <w:rPr>
                <w:rFonts w:ascii="Times New Roman" w:cs="Times New Roman" w:eastAsia="Times New Roman" w:hAnsi="Times New Roman"/>
                <w:sz w:val="20"/>
                <w:szCs w:val="20"/>
                <w:color w:val="000000"/>
                <w:w w:val="96"/>
              </w:rPr>
              <w:t>%</w:t>
            </w:r>
          </w:p>
        </w:tc>
        <w:tc>
          <w:tcPr>
            <w:tcW w:w="2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80" w:type="dxa"/>
            <w:vAlign w:val="bottom"/>
            <w:gridSpan w:val="4"/>
          </w:tcPr>
          <w:p>
            <w:pPr>
              <w:spacing w:after="0"/>
              <w:rPr>
                <w:sz w:val="18"/>
                <w:szCs w:val="18"/>
                <w:color w:val="auto"/>
              </w:rPr>
            </w:pPr>
          </w:p>
        </w:tc>
        <w:tc>
          <w:tcPr>
            <w:tcW w:w="3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1"/>
              </w:rPr>
              <w:t>1.25</w:t>
            </w:r>
          </w:p>
        </w:tc>
        <w:tc>
          <w:tcPr>
            <w:tcW w:w="8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0000FF"/>
                <w:w w:val="96"/>
              </w:rPr>
              <w:t>1.50</w:t>
            </w:r>
            <w:r>
              <w:rPr>
                <w:rFonts w:ascii="Times New Roman" w:cs="Times New Roman" w:eastAsia="Times New Roman" w:hAnsi="Times New Roman"/>
                <w:sz w:val="20"/>
                <w:szCs w:val="20"/>
                <w:color w:val="000000"/>
                <w:w w:val="96"/>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80" w:type="dxa"/>
            <w:vAlign w:val="bottom"/>
            <w:gridSpan w:val="3"/>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7"/>
              </w:rPr>
              <w:t>2.25</w:t>
            </w:r>
          </w:p>
        </w:tc>
        <w:tc>
          <w:tcPr>
            <w:tcW w:w="1020" w:type="dxa"/>
            <w:vAlign w:val="bottom"/>
            <w:gridSpan w:val="2"/>
          </w:tcPr>
          <w:p>
            <w:pPr>
              <w:jc w:val="right"/>
              <w:ind w:right="520"/>
              <w:spacing w:after="0" w:line="209" w:lineRule="exact"/>
              <w:rPr>
                <w:sz w:val="20"/>
                <w:szCs w:val="20"/>
                <w:color w:val="auto"/>
              </w:rPr>
            </w:pPr>
            <w:r>
              <w:rPr>
                <w:rFonts w:ascii="Times New Roman" w:cs="Times New Roman" w:eastAsia="Times New Roman" w:hAnsi="Times New Roman"/>
                <w:sz w:val="20"/>
                <w:szCs w:val="20"/>
                <w:color w:val="0000FF"/>
                <w:w w:val="92"/>
              </w:rPr>
              <w:t>2.50</w:t>
            </w:r>
            <w:r>
              <w:rPr>
                <w:rFonts w:ascii="Times New Roman" w:cs="Times New Roman" w:eastAsia="Times New Roman" w:hAnsi="Times New Roman"/>
                <w:sz w:val="20"/>
                <w:szCs w:val="20"/>
                <w:color w:val="000000"/>
                <w:w w:val="92"/>
              </w:rPr>
              <w: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top w:val="single" w:sz="8" w:color="0000FF"/>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Category 2</w:t>
            </w:r>
          </w:p>
        </w:tc>
        <w:tc>
          <w:tcPr>
            <w:tcW w:w="1280" w:type="dxa"/>
            <w:vAlign w:val="bottom"/>
            <w:tcBorders>
              <w:right w:val="single" w:sz="8" w:color="auto"/>
            </w:tcBorders>
            <w:gridSpan w:val="2"/>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2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Borders>
              <w:right w:val="single" w:sz="8" w:color="auto"/>
            </w:tcBorders>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Greater than 2.25 to 1.00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right w:val="single" w:sz="8" w:color="auto"/>
            </w:tcBorders>
            <w:gridSpan w:val="3"/>
          </w:tcPr>
          <w:p>
            <w:pPr>
              <w:ind w:left="20"/>
              <w:spacing w:after="0" w:line="212" w:lineRule="exact"/>
              <w:rPr>
                <w:sz w:val="20"/>
                <w:szCs w:val="20"/>
                <w:color w:val="auto"/>
              </w:rPr>
            </w:pPr>
            <w:r>
              <w:rPr>
                <w:rFonts w:ascii="Times New Roman" w:cs="Times New Roman" w:eastAsia="Times New Roman" w:hAnsi="Times New Roman"/>
                <w:sz w:val="20"/>
                <w:szCs w:val="20"/>
                <w:color w:val="auto"/>
              </w:rPr>
              <w:t>but less than or equal to</w:t>
            </w:r>
          </w:p>
        </w:tc>
        <w:tc>
          <w:tcPr>
            <w:tcW w:w="660" w:type="dxa"/>
            <w:vAlign w:val="bottom"/>
            <w:gridSpan w:val="3"/>
          </w:tcPr>
          <w:p>
            <w:pPr>
              <w:spacing w:after="0"/>
              <w:rPr>
                <w:sz w:val="18"/>
                <w:szCs w:val="18"/>
                <w:color w:val="auto"/>
              </w:rPr>
            </w:pPr>
          </w:p>
        </w:tc>
        <w:tc>
          <w:tcPr>
            <w:tcW w:w="3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7"/>
              </w:rPr>
              <w:t>1.00</w:t>
            </w:r>
          </w:p>
        </w:tc>
        <w:tc>
          <w:tcPr>
            <w:tcW w:w="56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color w:val="0000FF"/>
                <w:w w:val="92"/>
              </w:rPr>
              <w:t>1.25</w:t>
            </w:r>
            <w:r>
              <w:rPr>
                <w:rFonts w:ascii="Times New Roman" w:cs="Times New Roman" w:eastAsia="Times New Roman" w:hAnsi="Times New Roman"/>
                <w:sz w:val="20"/>
                <w:szCs w:val="20"/>
                <w:color w:val="000000"/>
                <w:w w:val="92"/>
              </w:rPr>
              <w:t>%</w:t>
            </w:r>
          </w:p>
        </w:tc>
        <w:tc>
          <w:tcPr>
            <w:tcW w:w="4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00" w:type="dxa"/>
            <w:vAlign w:val="bottom"/>
            <w:gridSpan w:val="3"/>
          </w:tcPr>
          <w:p>
            <w:pPr>
              <w:spacing w:after="0"/>
              <w:rPr>
                <w:sz w:val="18"/>
                <w:szCs w:val="18"/>
                <w:color w:val="auto"/>
              </w:rPr>
            </w:pPr>
          </w:p>
        </w:tc>
        <w:tc>
          <w:tcPr>
            <w:tcW w:w="3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1"/>
              </w:rPr>
              <w:t>2.00</w:t>
            </w:r>
          </w:p>
        </w:tc>
        <w:tc>
          <w:tcPr>
            <w:tcW w:w="820" w:type="dxa"/>
            <w:vAlign w:val="bottom"/>
            <w:gridSpan w:val="2"/>
          </w:tcPr>
          <w:p>
            <w:pPr>
              <w:jc w:val="right"/>
              <w:ind w:right="300"/>
              <w:spacing w:after="0" w:line="212" w:lineRule="exact"/>
              <w:rPr>
                <w:sz w:val="20"/>
                <w:szCs w:val="20"/>
                <w:color w:val="auto"/>
              </w:rPr>
            </w:pPr>
            <w:r>
              <w:rPr>
                <w:rFonts w:ascii="Times New Roman" w:cs="Times New Roman" w:eastAsia="Times New Roman" w:hAnsi="Times New Roman"/>
                <w:sz w:val="20"/>
                <w:szCs w:val="20"/>
                <w:color w:val="0000FF"/>
                <w:w w:val="96"/>
              </w:rPr>
              <w:t>2.25</w:t>
            </w:r>
            <w:r>
              <w:rPr>
                <w:rFonts w:ascii="Times New Roman" w:cs="Times New Roman" w:eastAsia="Times New Roman" w:hAnsi="Times New Roman"/>
                <w:sz w:val="20"/>
                <w:szCs w:val="20"/>
                <w:color w:val="000000"/>
                <w:w w:val="96"/>
              </w:rPr>
              <w:t>%</w:t>
            </w:r>
          </w:p>
        </w:tc>
        <w:tc>
          <w:tcPr>
            <w:tcW w:w="2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80" w:type="dxa"/>
            <w:vAlign w:val="bottom"/>
            <w:gridSpan w:val="4"/>
          </w:tcPr>
          <w:p>
            <w:pPr>
              <w:spacing w:after="0"/>
              <w:rPr>
                <w:sz w:val="18"/>
                <w:szCs w:val="18"/>
                <w:color w:val="auto"/>
              </w:rPr>
            </w:pPr>
          </w:p>
        </w:tc>
        <w:tc>
          <w:tcPr>
            <w:tcW w:w="3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1"/>
              </w:rPr>
              <w:t>1.00</w:t>
            </w:r>
          </w:p>
        </w:tc>
        <w:tc>
          <w:tcPr>
            <w:tcW w:w="800" w:type="dxa"/>
            <w:vAlign w:val="bottom"/>
            <w:gridSpan w:val="2"/>
          </w:tcPr>
          <w:p>
            <w:pPr>
              <w:jc w:val="right"/>
              <w:ind w:right="280"/>
              <w:spacing w:after="0" w:line="212" w:lineRule="exact"/>
              <w:rPr>
                <w:sz w:val="20"/>
                <w:szCs w:val="20"/>
                <w:color w:val="auto"/>
              </w:rPr>
            </w:pPr>
            <w:r>
              <w:rPr>
                <w:rFonts w:ascii="Times New Roman" w:cs="Times New Roman" w:eastAsia="Times New Roman" w:hAnsi="Times New Roman"/>
                <w:sz w:val="20"/>
                <w:szCs w:val="20"/>
                <w:color w:val="0000FF"/>
                <w:w w:val="96"/>
              </w:rPr>
              <w:t>1.25</w:t>
            </w:r>
            <w:r>
              <w:rPr>
                <w:rFonts w:ascii="Times New Roman" w:cs="Times New Roman" w:eastAsia="Times New Roman" w:hAnsi="Times New Roman"/>
                <w:sz w:val="20"/>
                <w:szCs w:val="20"/>
                <w:color w:val="000000"/>
                <w:w w:val="96"/>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80" w:type="dxa"/>
            <w:vAlign w:val="bottom"/>
            <w:gridSpan w:val="3"/>
          </w:tcPr>
          <w:p>
            <w:pPr>
              <w:spacing w:after="0"/>
              <w:rPr>
                <w:sz w:val="18"/>
                <w:szCs w:val="18"/>
                <w:color w:val="auto"/>
              </w:rPr>
            </w:pPr>
          </w:p>
        </w:tc>
        <w:tc>
          <w:tcPr>
            <w:tcW w:w="3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97"/>
              </w:rPr>
              <w:t>2.00</w:t>
            </w:r>
          </w:p>
        </w:tc>
        <w:tc>
          <w:tcPr>
            <w:tcW w:w="1020" w:type="dxa"/>
            <w:vAlign w:val="bottom"/>
            <w:gridSpan w:val="2"/>
          </w:tcPr>
          <w:p>
            <w:pPr>
              <w:jc w:val="right"/>
              <w:ind w:right="520"/>
              <w:spacing w:after="0" w:line="212" w:lineRule="exact"/>
              <w:rPr>
                <w:sz w:val="20"/>
                <w:szCs w:val="20"/>
                <w:color w:val="auto"/>
              </w:rPr>
            </w:pPr>
            <w:r>
              <w:rPr>
                <w:rFonts w:ascii="Times New Roman" w:cs="Times New Roman" w:eastAsia="Times New Roman" w:hAnsi="Times New Roman"/>
                <w:sz w:val="20"/>
                <w:szCs w:val="20"/>
                <w:color w:val="0000FF"/>
                <w:w w:val="92"/>
              </w:rPr>
              <w:t>2.25</w:t>
            </w:r>
            <w:r>
              <w:rPr>
                <w:rFonts w:ascii="Times New Roman" w:cs="Times New Roman" w:eastAsia="Times New Roman" w:hAnsi="Times New Roman"/>
                <w:sz w:val="20"/>
                <w:szCs w:val="20"/>
                <w:color w:val="000000"/>
                <w:w w:val="92"/>
              </w:rPr>
              <w: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0" w:type="dxa"/>
            <w:vAlign w:val="bottom"/>
            <w:tcBorders>
              <w:lef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2.75 to 1.00</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Category 3</w:t>
            </w:r>
          </w:p>
        </w:tc>
        <w:tc>
          <w:tcPr>
            <w:tcW w:w="1280" w:type="dxa"/>
            <w:vAlign w:val="bottom"/>
            <w:tcBorders>
              <w:right w:val="single" w:sz="8" w:color="auto"/>
            </w:tcBorders>
            <w:gridSpan w:val="2"/>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Less than or equal to</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7"/>
              </w:rPr>
              <w:t>0.75</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92"/>
              </w:rPr>
              <w:t>1.00</w:t>
            </w:r>
            <w:r>
              <w:rPr>
                <w:rFonts w:ascii="Times New Roman" w:cs="Times New Roman" w:eastAsia="Times New Roman" w:hAnsi="Times New Roman"/>
                <w:sz w:val="20"/>
                <w:szCs w:val="20"/>
                <w:color w:val="000000"/>
                <w:w w:val="92"/>
              </w:rPr>
              <w:t>%</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1"/>
              </w:rPr>
              <w:t>1.75</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0000FF"/>
                <w:w w:val="96"/>
              </w:rPr>
              <w:t>2.00</w:t>
            </w:r>
            <w:r>
              <w:rPr>
                <w:rFonts w:ascii="Times New Roman" w:cs="Times New Roman" w:eastAsia="Times New Roman" w:hAnsi="Times New Roman"/>
                <w:sz w:val="20"/>
                <w:szCs w:val="20"/>
                <w:color w:val="000000"/>
                <w:w w:val="96"/>
              </w:rPr>
              <w:t>%</w:t>
            </w:r>
          </w:p>
        </w:tc>
        <w:tc>
          <w:tcPr>
            <w:tcW w:w="2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1"/>
              </w:rPr>
              <w:t>0.75</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0000FF"/>
                <w:w w:val="96"/>
              </w:rPr>
              <w:t>1.00</w:t>
            </w:r>
            <w:r>
              <w:rPr>
                <w:rFonts w:ascii="Times New Roman" w:cs="Times New Roman" w:eastAsia="Times New Roman" w:hAnsi="Times New Roman"/>
                <w:sz w:val="20"/>
                <w:szCs w:val="20"/>
                <w:color w:val="000000"/>
                <w:w w:val="96"/>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7"/>
              </w:rPr>
              <w:t>1.75</w:t>
            </w:r>
          </w:p>
        </w:tc>
        <w:tc>
          <w:tcPr>
            <w:tcW w:w="1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20"/>
                <w:szCs w:val="20"/>
                <w:color w:val="0000FF"/>
                <w:w w:val="92"/>
              </w:rPr>
              <w:t>2.00</w:t>
            </w:r>
            <w:r>
              <w:rPr>
                <w:rFonts w:ascii="Times New Roman" w:cs="Times New Roman" w:eastAsia="Times New Roman" w:hAnsi="Times New Roman"/>
                <w:sz w:val="20"/>
                <w:szCs w:val="20"/>
                <w:color w:val="000000"/>
                <w:w w:val="92"/>
              </w:rPr>
              <w:t>%</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2.25 to 1.00</w:t>
            </w:r>
          </w:p>
        </w:tc>
        <w:tc>
          <w:tcPr>
            <w:tcW w:w="660" w:type="dxa"/>
            <w:vAlign w:val="bottom"/>
            <w:gridSpan w:val="3"/>
          </w:tcPr>
          <w:p>
            <w:pPr>
              <w:spacing w:after="0"/>
              <w:rPr>
                <w:sz w:val="7"/>
                <w:szCs w:val="7"/>
                <w:color w:val="auto"/>
              </w:rPr>
            </w:pPr>
          </w:p>
        </w:tc>
        <w:tc>
          <w:tcPr>
            <w:tcW w:w="3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700" w:type="dxa"/>
            <w:vAlign w:val="bottom"/>
            <w:gridSpan w:val="3"/>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80" w:type="dxa"/>
            <w:vAlign w:val="bottom"/>
            <w:gridSpan w:val="4"/>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80" w:type="dxa"/>
            <w:vAlign w:val="bottom"/>
            <w:gridSpan w:val="3"/>
          </w:tcPr>
          <w:p>
            <w:pPr>
              <w:spacing w:after="0"/>
              <w:rPr>
                <w:sz w:val="7"/>
                <w:szCs w:val="7"/>
                <w:color w:val="auto"/>
              </w:rPr>
            </w:pPr>
          </w:p>
        </w:tc>
        <w:tc>
          <w:tcPr>
            <w:tcW w:w="3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2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right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20" w:type="dxa"/>
            <w:vAlign w:val="bottom"/>
            <w:tcBorders>
              <w:left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 xml:space="preserve">The Applicable Rate with respect to any Initial Term Loan and Initial Revolving Loan (including any Swingline Loan) shall be adjusted quarterly on a prospective basis on each Adjustment Date based upon the Total Net Leverage Ratio in accordance with the table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election of the Required Lenders or the Required Revolving Lenders, as applicable, if financial statements are not delivered when required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the “Applicable Rate” for any Initial Term Loan or Initial Revolving Loan shall be the rate per annum set forth above in Category 1 until such financial statements are delivered in compliance with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w:t>
      </w:r>
    </w:p>
    <w:p>
      <w:pPr>
        <w:spacing w:after="0" w:line="184"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xml:space="preserve">” means, with respect to any Revolving Lender at any time, the percentage of the Total Revolving Credit Commitment at such time represented by such Revolving Lender’s Revolving Credit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the Applicable Revolving Credit Percentage shall be determined based upon the Revolving Credit Commitments (or the Revolving Credit Commitments of such Class) most recently in effect, giving effect to any assignments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with respect to any Lender, any Person (other than a natural person (or any holding company, investment vehicle or trust for, or owned and operated by, or for the primary benefit of, one or more natural persons))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85"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008000"/>
          <w:strike w:val="1"/>
        </w:rPr>
        <w:t>BofA Securities, Inc., Barclays Bank PLC, Credit Suisse Loan Funding LLC, Deutsche Bank Securities Inc</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 xml:space="preserve">Goldman Sachs Bank USA, JPMorgan Chase Bank, N.A., Morgan Stanley Senior Funding, Inc. and Stifel Bank &amp; Trust, in their respective capacities as joint lead arrangers and joint bookrunners </w:t>
      </w:r>
      <w:r>
        <w:rPr>
          <w:rFonts w:ascii="Times New Roman" w:cs="Times New Roman" w:eastAsia="Times New Roman" w:hAnsi="Times New Roman"/>
          <w:sz w:val="20"/>
          <w:szCs w:val="20"/>
          <w:color w:val="FF0000"/>
          <w:strike w:val="1"/>
        </w:rPr>
        <w:t>hereunder.</w:t>
      </w:r>
      <w:r>
        <w:rPr>
          <w:rFonts w:ascii="Times New Roman" w:cs="Times New Roman" w:eastAsia="Times New Roman" w:hAnsi="Times New Roman"/>
          <w:sz w:val="20"/>
          <w:szCs w:val="20"/>
          <w:u w:val="single" w:color="auto"/>
          <w:color w:val="0000FF"/>
          <w:strike w:val="1"/>
        </w:rPr>
        <w:t>(a) the 2021 Arrangers, or (b) the 2025 Arrangers, as the context may</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0000FF"/>
          <w:strike w:val="1"/>
        </w:rPr>
        <w:t>require.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means, collectively, each Assignment and Assumption and each Affiliated Lender Assignment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Assumption.</w:t>
      </w:r>
    </w:p>
    <w:p>
      <w:pPr>
        <w:spacing w:after="0" w:line="19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and/or (b) any other form approved by the Administrative Agent and the Borrower.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xml:space="preserve">” means, at any time, an amount equal to, without duplication </w:t>
      </w:r>
      <w:r>
        <w:rPr>
          <w:rFonts w:ascii="Times New Roman" w:cs="Times New Roman" w:eastAsia="Times New Roman" w:hAnsi="Times New Roman"/>
          <w:sz w:val="20"/>
          <w:szCs w:val="20"/>
          <w:color w:val="0000FF"/>
        </w:rPr>
        <w:t>and, in each case, calculated on and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-10795</wp:posOffset>
            </wp:positionV>
            <wp:extent cx="23450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Closing Date</w:t>
      </w:r>
      <w:r>
        <w:rPr>
          <w:rFonts w:ascii="Times New Roman" w:cs="Times New Roman" w:eastAsia="Times New Roman" w:hAnsi="Times New Roman"/>
          <w:sz w:val="20"/>
          <w:szCs w:val="20"/>
          <w:color w:val="000000"/>
        </w:rPr>
        <w:t>:</w:t>
      </w:r>
    </w:p>
    <w:p>
      <w:pPr>
        <w:spacing w:after="0" w:line="194" w:lineRule="exact"/>
        <w:rPr>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not less than zero for any period, equal to the CNI Growth Amount </w:t>
      </w:r>
      <w:r>
        <w:rPr>
          <w:rFonts w:ascii="Times New Roman" w:cs="Times New Roman" w:eastAsia="Times New Roman" w:hAnsi="Times New Roman"/>
          <w:sz w:val="20"/>
          <w:szCs w:val="20"/>
          <w:u w:val="single" w:color="auto"/>
          <w:color w:val="0000FF"/>
        </w:rPr>
        <w:t>after the Closing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be available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(x) unless the Total Net Leverage Ratio does not exceed 3.25:1.00 on a Pro Forma Basis and (y) for any Restricted Payment made in reliance on </w:t>
      </w:r>
      <w:r>
        <w:rPr>
          <w:rFonts w:ascii="Times New Roman" w:cs="Times New Roman" w:eastAsia="Times New Roman" w:hAnsi="Times New Roman"/>
          <w:sz w:val="20"/>
          <w:szCs w:val="20"/>
          <w:u w:val="single" w:color="auto"/>
          <w:color w:val="auto"/>
        </w:rPr>
        <w:t>Section 6.04(a)(iii)(A)</w:t>
      </w:r>
      <w:r>
        <w:rPr>
          <w:rFonts w:ascii="Times New Roman" w:cs="Times New Roman" w:eastAsia="Times New Roman" w:hAnsi="Times New Roman"/>
          <w:sz w:val="20"/>
          <w:szCs w:val="20"/>
          <w:color w:val="auto"/>
        </w:rPr>
        <w:t xml:space="preserve"> if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42" w:lineRule="auto"/>
        <w:tabs>
          <w:tab w:leader="none" w:pos="264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amount of any capital contribution in respect of Qualified Capital Stock or the proceeds of any issuance of Qualified Capital Stock after the Closing Date that are Not Otherwise Applied (other than any amount (1) constituting a Cure Amount or an Available Excluded Contribution Amount, (2) received from the Borrower or any Restricted Subsidiary or (3) consisting of the proceeds of any loan or advance made pursuant to </w:t>
      </w:r>
      <w:r>
        <w:rPr>
          <w:rFonts w:ascii="Times New Roman" w:cs="Times New Roman" w:eastAsia="Times New Roman" w:hAnsi="Times New Roman"/>
          <w:sz w:val="20"/>
          <w:szCs w:val="20"/>
          <w:u w:val="single" w:color="auto"/>
          <w:color w:val="auto"/>
        </w:rPr>
        <w:t>Section 6.06(h)(ii)</w:t>
      </w:r>
      <w:r>
        <w:rPr>
          <w:rFonts w:ascii="Times New Roman" w:cs="Times New Roman" w:eastAsia="Times New Roman" w:hAnsi="Times New Roman"/>
          <w:sz w:val="20"/>
          <w:szCs w:val="20"/>
          <w:color w:val="auto"/>
        </w:rPr>
        <w:t xml:space="preserve">) received or deemed to be received as Cash equity by the Borrower or any of its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fair market value, as determined by the Borrower in good faith, of Cash Equivalents, marketable securities or other property received or deemed to be received by the Borrower as a capital contribution in respect of Qualified Capital Stock or in return for any issuance of Qualified Capital Stock that are Not Otherwise Applied (other than any amount (1) constituting a Cure Amount or an Available Excluded Contribution Amount or (2) received from the Borrower or any Restricted Subsidiary), in each case, during the period from and including the day immediately following the Closing Date through and including such time;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any Indebtedness (including any Disqualified Capital Stock), of the Borrower or any Restricted Subsidiary issued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 xml:space="preserve">Closing Date (other than Indebtedness or such Disqualified Capital Stock issued to the Borrower or any Restricted Subsidiary), which has been converted into or exchanged for Capital Stock of the Borrower or any Parent Company that does not constitute Disqualified Capital Stock, together with the fair market value of any Cash Equivalents and the fair market value (as determined by the Borrower in good faith) of any assets received by the Borrower or such Restricted Subsidiary upon such exchange or conversion, in each case, during the period from and including the day immediately following the Closing Date through and including such time; </w:t>
      </w:r>
      <w:r>
        <w:rPr>
          <w:rFonts w:ascii="Times New Roman" w:cs="Times New Roman" w:eastAsia="Times New Roman" w:hAnsi="Times New Roman"/>
          <w:sz w:val="20"/>
          <w:szCs w:val="20"/>
          <w:u w:val="single" w:color="auto"/>
          <w:color w:val="auto"/>
        </w:rPr>
        <w:t>plus</w:t>
      </w:r>
    </w:p>
    <w:p>
      <w:pPr>
        <w:spacing w:after="0" w:line="184" w:lineRule="exact"/>
        <w:rPr>
          <w:sz w:val="20"/>
          <w:szCs w:val="20"/>
          <w:color w:val="auto"/>
        </w:rPr>
      </w:pPr>
    </w:p>
    <w:p>
      <w:pPr>
        <w:jc w:val="both"/>
        <w:ind w:left="380" w:right="20" w:firstLine="754"/>
        <w:spacing w:after="0" w:line="249" w:lineRule="auto"/>
        <w:tabs>
          <w:tab w:leader="none" w:pos="152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reflected as a return of capital with respect to such Investment for purposes of determining the amount of such Investment (pursuant to the definition thereof), the proceeds received (or deemed to be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85"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sum of (A) the amount of any Investment made by the Borrower or any Restricted Subsidiary in any Unrestricted Subsidiary or any other Person (other than the Borrower or any Restricted Subsidiary) that has been re-designated as or has become, as applicable, a Restricted Subsidiary or has been merged, consolidated or amalgamated with or into, or is liquidated, wound up or dissolved into, the Borrower or any Restricted Subsidiary and (B) an amount equal to the fair market value (as determined by the Borrower in good faith) of the assets (including cash or Cash Equivalents) of any Unrestricted Subsidiary or any other Person (other than the Borrower or any Restricted Subsidiary) that have been distributed, conveyed or otherwise transferred to the Borrower or any Restricted Subsidiary, in each case, during the period from and including the day immediately following the Closing Date through and including such time, in case of clauses (A) and (B), to the extent the original Investment in such Person was made pursuant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6.06(r)(i)</w:t>
      </w:r>
      <w:r>
        <w:rPr>
          <w:rFonts w:ascii="Times New Roman" w:cs="Times New Roman" w:eastAsia="Times New Roman" w:hAnsi="Times New Roman"/>
          <w:sz w:val="20"/>
          <w:szCs w:val="20"/>
          <w:color w:val="auto"/>
        </w:rPr>
        <w:t xml:space="preserve"> (up to the original amount of the Investment permitted in reliance on such clause); </w:t>
      </w:r>
      <w:r>
        <w:rPr>
          <w:rFonts w:ascii="Times New Roman" w:cs="Times New Roman" w:eastAsia="Times New Roman" w:hAnsi="Times New Roman"/>
          <w:sz w:val="20"/>
          <w:szCs w:val="20"/>
          <w:u w:val="single" w:color="auto"/>
          <w:color w:val="auto"/>
        </w:rPr>
        <w:t>plus</w:t>
      </w:r>
    </w:p>
    <w:p>
      <w:pPr>
        <w:spacing w:after="0" w:line="192"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9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already included in the CNI Growth Amount, the aggregate amount of any Cash dividend or other Cash distribution received (or deemed received) by the Borrower or any Restricted Subsidiary from any Unrestricted Subsidiary after the Closing Date (up to the original amount of the Investment permitted in reliance on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Declined Proceeds </w:t>
      </w:r>
      <w:r>
        <w:rPr>
          <w:rFonts w:ascii="Times New Roman" w:cs="Times New Roman" w:eastAsia="Times New Roman" w:hAnsi="Times New Roman"/>
          <w:sz w:val="20"/>
          <w:szCs w:val="20"/>
          <w:u w:val="single" w:color="auto"/>
          <w:color w:val="0000FF"/>
        </w:rPr>
        <w:t>received after the Closing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5" w:name="page36"/>
    <w:bookmarkEnd w:id="35"/>
    <w:p>
      <w:pPr>
        <w:ind w:left="2640" w:hanging="386"/>
        <w:spacing w:after="0"/>
        <w:tabs>
          <w:tab w:leader="none" w:pos="2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fair market value of any First Lien Debt and/or Junior Lien Debt that has been contributed to the Borrower and/or any of its Restricted Subsidiaries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after the Closing Date</w:t>
      </w:r>
      <w:r>
        <w:rPr>
          <w:rFonts w:ascii="Times New Roman" w:cs="Times New Roman" w:eastAsia="Times New Roman" w:hAnsi="Times New Roman"/>
          <w:sz w:val="20"/>
          <w:szCs w:val="20"/>
          <w:color w:val="auto"/>
        </w:rPr>
        <w:t xml:space="preserve"> (or any comparable provision under any definitive documentation governing such First Lien Debt or Junior Lien Debt, as applicable);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3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face amount of any Indebtedness of the Borrower and/or any Restricted Subsidiary that is cancelled, released or otherwise terminated </w:t>
      </w:r>
      <w:r>
        <w:rPr>
          <w:rFonts w:ascii="Times New Roman" w:cs="Times New Roman" w:eastAsia="Times New Roman" w:hAnsi="Times New Roman"/>
          <w:sz w:val="20"/>
          <w:szCs w:val="20"/>
          <w:u w:val="single" w:color="auto"/>
          <w:color w:val="0000FF"/>
        </w:rPr>
        <w:t>after the Closing Date</w:t>
      </w:r>
      <w:r>
        <w:rPr>
          <w:rFonts w:ascii="Times New Roman" w:cs="Times New Roman" w:eastAsia="Times New Roman" w:hAnsi="Times New Roman"/>
          <w:sz w:val="20"/>
          <w:szCs w:val="20"/>
          <w:color w:val="auto"/>
        </w:rPr>
        <w:t xml:space="preserve"> by virtue of the incurrence or assumption by any Unrestricted Subsidiary of any such Indebtedness, including by way of an “exchange” or similar transaction;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3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value of any transaction consideration in any Permitted Acquisition or other Investment </w:t>
      </w:r>
      <w:r>
        <w:rPr>
          <w:rFonts w:ascii="Times New Roman" w:cs="Times New Roman" w:eastAsia="Times New Roman" w:hAnsi="Times New Roman"/>
          <w:sz w:val="20"/>
          <w:szCs w:val="20"/>
          <w:u w:val="single" w:color="auto"/>
          <w:color w:val="0000FF"/>
        </w:rPr>
        <w:t>after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Closing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attributable in the good faith determination of the Borrower to the Qualified Capital Stock of the Borrower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or its applicable Parent Company issued in connection with such Permitted Acquisition or other Investment that is Not Otherwise Applied up to the fair market value (as determined by the Borrower in good faith) of the assets acquired by the Borrower and its Restricted Subsidiaries as a result of such Permitted Acquisition or other Investment; </w:t>
      </w:r>
      <w:r>
        <w:rPr>
          <w:rFonts w:ascii="Times New Roman" w:cs="Times New Roman" w:eastAsia="Times New Roman" w:hAnsi="Times New Roman"/>
          <w:sz w:val="20"/>
          <w:szCs w:val="20"/>
          <w:u w:val="single" w:color="auto"/>
          <w:color w:val="000000"/>
        </w:rPr>
        <w:t>minus</w:t>
      </w:r>
    </w:p>
    <w:p>
      <w:pPr>
        <w:spacing w:after="0" w:line="185" w:lineRule="exact"/>
        <w:rPr>
          <w:sz w:val="20"/>
          <w:szCs w:val="20"/>
          <w:color w:val="auto"/>
        </w:rPr>
      </w:pPr>
    </w:p>
    <w:p>
      <w:pPr>
        <w:jc w:val="both"/>
        <w:ind w:left="760" w:firstLine="745"/>
        <w:spacing w:after="0" w:line="254"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sum of (i) Restricted Payments made pursuant to </w:t>
      </w:r>
      <w:r>
        <w:rPr>
          <w:rFonts w:ascii="Times New Roman" w:cs="Times New Roman" w:eastAsia="Times New Roman" w:hAnsi="Times New Roman"/>
          <w:sz w:val="20"/>
          <w:szCs w:val="20"/>
          <w:u w:val="single" w:color="auto"/>
          <w:color w:val="auto"/>
        </w:rPr>
        <w:t>Section 6.04(a)(iii)(A)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Restricted Debt Payments made pursuant to </w:t>
      </w:r>
      <w:r>
        <w:rPr>
          <w:rFonts w:ascii="Times New Roman" w:cs="Times New Roman" w:eastAsia="Times New Roman" w:hAnsi="Times New Roman"/>
          <w:sz w:val="20"/>
          <w:szCs w:val="20"/>
          <w:u w:val="single" w:color="auto"/>
          <w:color w:val="auto"/>
        </w:rPr>
        <w:t>Section 6.04(b)(vi)(A)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Investments made pursuant to </w:t>
      </w:r>
      <w:r>
        <w:rPr>
          <w:rFonts w:ascii="Times New Roman" w:cs="Times New Roman" w:eastAsia="Times New Roman" w:hAnsi="Times New Roman"/>
          <w:sz w:val="20"/>
          <w:szCs w:val="20"/>
          <w:u w:val="single" w:color="auto"/>
          <w:color w:val="auto"/>
        </w:rPr>
        <w:t>Section 6.06(r)(i)</w:t>
      </w:r>
      <w:r>
        <w:rPr>
          <w:rFonts w:ascii="Times New Roman" w:cs="Times New Roman" w:eastAsia="Times New Roman" w:hAnsi="Times New Roman"/>
          <w:sz w:val="20"/>
          <w:szCs w:val="20"/>
          <w:color w:val="auto"/>
        </w:rPr>
        <w:t>, in each case, after the Closing Date and prior to such time or contemporaneously therewith.</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Excluded Contribution Amount</w:t>
      </w:r>
      <w:r>
        <w:rPr>
          <w:rFonts w:ascii="Times New Roman" w:cs="Times New Roman" w:eastAsia="Times New Roman" w:hAnsi="Times New Roman"/>
          <w:sz w:val="20"/>
          <w:szCs w:val="20"/>
          <w:color w:val="auto"/>
        </w:rPr>
        <w:t>” means the aggregate amount of Cash or Cash Equivalents or the fair market value of other assets (as determined by the Borrower in good faith, but excluding any Cure Amount) received (or deemed received) by the Borrower or any of its Restricted Subsidiaries after the Closing Date from:</w:t>
      </w:r>
    </w:p>
    <w:p>
      <w:pPr>
        <w:spacing w:after="0" w:line="174" w:lineRule="exact"/>
        <w:rPr>
          <w:sz w:val="20"/>
          <w:szCs w:val="20"/>
          <w:color w:val="auto"/>
        </w:rPr>
      </w:pPr>
    </w:p>
    <w:p>
      <w:pPr>
        <w:ind w:left="760" w:right="60" w:firstLine="745"/>
        <w:spacing w:after="0" w:line="26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(or deemed contributions) of assets (including cash) in respect of Qualified Capital Stock of the Borrower (other than any amount received from any Restricted Subsidiary) that are Not Otherwise Applied;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issuance of Qualified Capital Stock of the Borrower that are Not Otherwise Applied (other than (x) to any Restricted Subsidiary,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20"/>
          <w:szCs w:val="20"/>
          <w:u w:val="single" w:color="auto"/>
          <w:color w:val="auto"/>
        </w:rPr>
        <w:t>Section 6.06(h)(ii)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each case, designated by the Borrower as an Available Excluded Contribution Amount on or promptly after the date on which the relevant capital contribution is made (or deemed to be made) or the relevant proceeds are received (or deemed to be received), as the case may be, and which are excluded from the calculation of the Available Amount.</w:t>
      </w:r>
    </w:p>
    <w:p>
      <w:pPr>
        <w:spacing w:after="0" w:line="6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20"/>
          <w:szCs w:val="20"/>
          <w:color w:val="auto"/>
        </w:rPr>
        <w:t>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supply chain and/or supplier financing services and any arrangement and/or service similar to any of the foregoing and/or otherwise in connection with Cash management and Deposit Accounts.</w:t>
      </w:r>
    </w:p>
    <w:p>
      <w:pPr>
        <w:spacing w:after="0" w:line="185"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xml:space="preserve">” means any and all obligations of any Loan Party, whether absolute or contingent and however and whenever created, arising, evidenced or acquired (including all renewals, extensions and modifications thereof and substitutions therefor), under any arrangement in connection with Banking Services that is in effect on the Closing Date or entered into at any time on or after the Closing Date between any Loan Party and (a) a counterparty that is (or is an Affiliate of) the Administrative Agent, any Lender or any Arranger as of the Closing Date or at the time such arrangement is entered into and/or (b) any other Person, in each case of the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that is designated in writing by the Borrower to the Administrative Agent as a provider of Banking Services Obligations for purposes of the Loan Documents, it being understood that each counterparty provider of Banking Services Obligations shall be deemed (A) to appoint the Administrative Agent as its agent under the applicable Loan Documents and (B) to agree to be bound by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any applicable Intercreditor Agreement as if it were a Lender.</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means Title 11 of the United States Code (11 USC § 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it has been, or may be, amended,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required by the Beneficial Ownership Regulation.</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US.</w:t>
      </w:r>
    </w:p>
    <w:p>
      <w:pPr>
        <w:spacing w:after="0" w:line="216" w:lineRule="exact"/>
        <w:rPr>
          <w:sz w:val="20"/>
          <w:szCs w:val="20"/>
          <w:color w:val="auto"/>
        </w:rPr>
      </w:pPr>
    </w:p>
    <w:p>
      <w:pPr>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such term in the preamble to this Agreement and shall, for the avoidance of doubt, include any Successor Borrower.</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any Loans of the same Type and Class made, converted or continued on the same date and, in the case of Term SOFR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substantially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that is reasonably acceptable to the Administrative Agent and the Borrower, including any form on an electronic platform or electronic transmission system as shall be approved by the Administrative Agent and the Borrower, in each case, appropriately completed and signed by a Responsible Officer of the Borrower.</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law to remain closed.</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Optimization Initiative</w:t>
      </w:r>
      <w:r>
        <w:rPr>
          <w:rFonts w:ascii="Times New Roman" w:cs="Times New Roman" w:eastAsia="Times New Roman" w:hAnsi="Times New Roman"/>
          <w:sz w:val="20"/>
          <w:szCs w:val="20"/>
          <w:color w:val="auto"/>
        </w:rPr>
        <w:t>” has the meaning assigned to such term in the definition of “Consolidated Adjusted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w:t>
      </w:r>
    </w:p>
    <w:p>
      <w:pPr>
        <w:spacing w:after="0" w:line="194"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of the Borrower and its Restricted Subsidiaries for such period.</w:t>
      </w:r>
    </w:p>
    <w:p>
      <w:pPr>
        <w:spacing w:after="0" w:line="180"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avoidance of doubt, the amount of obligations attributable to any Capital Lease shall be the amount thereof accounted for as a liability in accordance with GAAP.</w:t>
      </w:r>
    </w:p>
    <w:p>
      <w:pPr>
        <w:spacing w:after="0" w:line="180"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85"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any Restricted Subsidiary of the Borrower that is subject to regulation as an insurance company (or any Restricted Subsidiary thereof).</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means money, currency or a credit balance in any Deposit Account, in each case determined in accordance with GAAP.</w:t>
      </w:r>
    </w:p>
    <w:p>
      <w:pPr>
        <w:spacing w:after="0" w:line="227"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at least “A” from Fitch (or, if at any time none of S&amp;P, Moody’s or Fitch rates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rating of at least A-2 from S&amp;P, at least P-2 from Moody’s or at least “F2” from Fitch (or, if at any time none of S&amp;P, Moody’s or Fitch rates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in each case organized under, or authorized to operate as bank under, the laws of any jurisdiction in which any subsidiary is organized or has operations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investment fund that has (i) substantially all of its assets invested in the types of investments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above, (ii) net assets of not less than $250,000,000 and (iii) a rating of at least A-2 from S&amp;P, at least P-2 from Moody’s or at least “A” from Fitch (or, if at any time either S&amp;P, Moody’s or Fitch are not rating such fund, an equivalent rating from another nationally recognized statistical rating agency) and (g) solely with respect to any Captive Insurance Subsidiary, any investment that such Captive Insurance Subsidiary is not prohibited to make in accordance with applicable law. “Cash Equivalents” shall also include (x) Investments of the type and maturity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(a) through (g) and in this paragraph.</w:t>
      </w:r>
    </w:p>
    <w:p>
      <w:pPr>
        <w:spacing w:after="0" w:line="187"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foreign regulatory authorities, in each case pursuant to Basel III, shall in each case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be deemed to be a Change in Law, regardless of the date enacted, adopted, issued or implemented.</w:t>
      </w: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firstLine="745"/>
        <w:spacing w:after="0" w:line="244"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Responsible Officer of the Borrower becomes aware of the acquisition of the beneficial ownership by any Person or group (as used in this definition,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 (iii) underwriters in connection with any offering of Capital Stock), of voting common stock representing more than the greater of (x) 35% of the total voting power of all of the outstanding voting common stock of the Parent and (y) the percentage of the total voting power of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outstanding voting common stock of the Parent owned, directly or indirectly, beneficially by the Permitted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provisions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no “Change of Control” shall be deemed to have occurred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if the Permitted Holders have the right, by voting power, contract or otherwise, to elect or designate for election at least a majority of the board of directors of the Parent; and</w:t>
      </w:r>
    </w:p>
    <w:p>
      <w:pPr>
        <w:spacing w:after="0" w:line="180" w:lineRule="exact"/>
        <w:rPr>
          <w:sz w:val="20"/>
          <w:szCs w:val="20"/>
          <w:color w:val="auto"/>
        </w:rPr>
      </w:pPr>
    </w:p>
    <w:p>
      <w:pPr>
        <w:ind w:left="76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ceasing to control, directly or indirectly, 100% of the voting Capital Stock of the Borrower (other than as a result of a merger of the Borrower into the Parent or of the Parent into the Borrower).</w:t>
      </w:r>
    </w:p>
    <w:p>
      <w:pPr>
        <w:spacing w:after="0" w:line="15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For purposes of this definition, (1) a Person or group shall not be deemed to beneficially own Capital Stock or voting power subject to a stock or asset purchase agreement, merger agreement or similar agreement (or voting or similar agreement related thereto) until the consummation of the acquisition of the Capital Stock or voting power pursuant to the transactions contemplated by such agreement, (2) if any group includes one or more Permitted Holders, the issued and outstanding Capital Stock of the relevant Person that is directly or indirectly owned by the Permitted Holders that are part of such group shall not be treated as being beneficially owned by such group or any other member of such group for purposes of this definition, (3) a Person or group will not be deemed to beneficially own the Capital Stock of another Person as a result of its ownership of the Capital Stock or other securities of such other Person’s parent company (or any related contractual right) unless it beneficially owns or controls 50% or more of the total voting power of the Capital Stock entitled to vote for the election of directors of such Person’s parent company having a majority of the aggregate votes on the board of directors (or equivalent governing body) of such Person’s parent company and (4) it is understood and agreed that any transaction resulting in a Successor Borrower or Successor Holdings in accordance with the terms hereof shall not give rise to a Change of Control.</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w:t>
      </w:r>
      <w:r>
        <w:rPr>
          <w:rFonts w:ascii="Times New Roman" w:cs="Times New Roman" w:eastAsia="Times New Roman" w:hAnsi="Times New Roman"/>
          <w:sz w:val="20"/>
          <w:szCs w:val="20"/>
          <w:color w:val="auto"/>
        </w:rPr>
        <w:t>” means any fee, charge, expense, cost, accrual, reserve or loss of any kind.</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Charged Amounts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when used with respect to (a) any Loan or Borrowing, refers to whether such Loan, or the Loans comprising such Borrowing, are Initial Term Loans, Additional Term Loans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 xml:space="preserve">, Initial Revolving Loans, Additional Revolving Loans of any series established as a separate “Class”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 xml:space="preserve"> or Swingline Loans, (b) any Commitment, refers to whether such Commitment is an Initial Term Loan Commitment, an Additional Term Loan Commitment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w:t>
      </w:r>
      <w:r>
        <w:rPr>
          <w:rFonts w:ascii="Times New Roman" w:cs="Times New Roman" w:eastAsia="Times New Roman" w:hAnsi="Times New Roman"/>
          <w:sz w:val="20"/>
          <w:szCs w:val="20"/>
          <w:color w:val="auto"/>
        </w:rPr>
        <w:t xml:space="preserve">, an Initial Revolving Credit Commitment, an Additional Revolving Credit Commitment of any series established as a separate “Class”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9.02(c)(ii)</w:t>
      </w:r>
      <w:r>
        <w:rPr>
          <w:rFonts w:ascii="Times New Roman" w:cs="Times New Roman" w:eastAsia="Times New Roman" w:hAnsi="Times New Roman"/>
          <w:sz w:val="20"/>
          <w:szCs w:val="20"/>
          <w:color w:val="auto"/>
        </w:rPr>
        <w:t xml:space="preserve"> or a commitment to make Swingline Loans, (c) any Lender, refers to whether such Lender has a Loan or Commitment of a particular Class and (d) any Revolving Credit Exposure, refers to whether such Revolving Credit Exposure is attributable to a Revolving Credit Commitment of a particular Class.</w:t>
      </w:r>
    </w:p>
    <w:p>
      <w:pPr>
        <w:spacing w:after="0" w:line="18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September 17, 2021, the date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were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has the meaning assigned to such term in the recitals to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“Closing Date Term Commitments” means the Term Commitments of the Term Lenders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CNI Growth Amount</w:t>
      </w:r>
      <w:r>
        <w:rPr>
          <w:rFonts w:ascii="Times New Roman" w:cs="Times New Roman" w:eastAsia="Times New Roman" w:hAnsi="Times New Roman"/>
          <w:sz w:val="20"/>
          <w:szCs w:val="20"/>
          <w:color w:val="auto"/>
        </w:rPr>
        <w:t xml:space="preserve">” means, at any date of determination, for the period (treated as one accounting period) from the first day of the Fiscal Quarter of the Borrower during which the Closing Date </w:t>
      </w:r>
      <w:r>
        <w:rPr>
          <w:rFonts w:ascii="Times New Roman" w:cs="Times New Roman" w:eastAsia="Times New Roman" w:hAnsi="Times New Roman"/>
          <w:sz w:val="20"/>
          <w:szCs w:val="20"/>
          <w:color w:val="FF0000"/>
          <w:strike w:val="1"/>
        </w:rPr>
        <w:t>occurs</w:t>
      </w:r>
      <w:r>
        <w:rPr>
          <w:rFonts w:ascii="Times New Roman" w:cs="Times New Roman" w:eastAsia="Times New Roman" w:hAnsi="Times New Roman"/>
          <w:sz w:val="20"/>
          <w:szCs w:val="20"/>
          <w:u w:val="single" w:color="auto"/>
          <w:color w:val="0000FF"/>
        </w:rPr>
        <w:t>occurred</w:t>
      </w:r>
      <w:r>
        <w:rPr>
          <w:rFonts w:ascii="Times New Roman" w:cs="Times New Roman" w:eastAsia="Times New Roman" w:hAnsi="Times New Roman"/>
          <w:sz w:val="20"/>
          <w:szCs w:val="20"/>
          <w:color w:val="auto"/>
        </w:rPr>
        <w:t xml:space="preserve"> and ending with the last Fiscal Quarter of the Borrower included in the most recently ended Test Period, an amount (which amount shall not be less than zero for any Fiscal Quarter) determined on a cumulative basis equal to 50% of Adjusted Consolidated Net Income for each such Fiscal Quarter included in such period (if Adjusted Consolidated Net Income for such Fiscal Quarter is positive).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spacing w:after="0" w:line="180"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xml:space="preserve">” means, at any time, subject to (x) the applicable limitations set forth in this Agreement and/or any other Loan Document and the terms of any applicable Intercreditor Agreement and (y) the time periods (and extensions thereof) set forth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as applicable, the requirement that:</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the Administrative Agent shall have received (A) each Collateral Document and Loan Guaranty listed on </w:t>
      </w:r>
      <w:r>
        <w:rPr>
          <w:rFonts w:ascii="Times New Roman" w:cs="Times New Roman" w:eastAsia="Times New Roman" w:hAnsi="Times New Roman"/>
          <w:sz w:val="20"/>
          <w:szCs w:val="20"/>
          <w:u w:val="single" w:color="auto"/>
          <w:color w:val="auto"/>
        </w:rPr>
        <w:t>Schedule 1.01(d)</w:t>
      </w:r>
      <w:r>
        <w:rPr>
          <w:rFonts w:ascii="Times New Roman" w:cs="Times New Roman" w:eastAsia="Times New Roman" w:hAnsi="Times New Roman"/>
          <w:sz w:val="20"/>
          <w:szCs w:val="20"/>
          <w:color w:val="auto"/>
        </w:rPr>
        <w:t xml:space="preserve">, duly executed by each Loan Party party thereto, (B) a pledge of all of the Capital Stock (together, in the case of Capital Stock that is certificated, with undated stock or similar powers for each such certificate executed in blank by a Responsible Officer of the pledgor thereof) listed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to the Perfection Certificate, (C) each Material Debt Instrument listed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to the Perfection Certificate, endorsed (without recourse) in blank or accompanied by executed transfer form in blank by the pledgor thereof and (D) Uniform Commercial Code financing statements in appropriate form for filing in the jurisdiction of organization of each Loan Party; and</w:t>
      </w:r>
    </w:p>
    <w:p>
      <w:pPr>
        <w:spacing w:after="0" w:line="18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in the case of any Restricted Subsidiary that is required to become (or otherwise becomes) a Loan Party after the Closing Date the Administrative Agent shall have received:</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 Joinder Agreement, (B) if the respective Restricted Subsidiary required to comply with the requirements set forth in this definition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owns registrations of or applications for US Patents, Trademarks and/or Copyrights that constitute Collateral, an Intellectual Property Security Agreement, (C) a completed Perfection Certificate, (D) Uniform Commercial Code financing statements in appropriate form for filing in such jurisdictions as the Administrative Agent may reasonably request and (E) an executed joinder to each applicable Intercreditor Agreement in substantially the form attached as an exhibit thereto or such other form to which the Administrative Agent may reasonably agree;</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item of Collateral that such Restricted Subsidiary is required to deliver under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of the Security Agreement (which, for the avoidance of doubt, shall be delivered within the time periods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5.12(a)</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ind w:left="1500" w:firstLine="754"/>
        <w:spacing w:after="0" w:line="249" w:lineRule="auto"/>
        <w:tabs>
          <w:tab w:leader="none" w:pos="26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subsidiary that has been designated as a Discretionary Guarantor (A) with respect to any such subsidiary that is a Domestic Subsidiary, the documents described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above and (B) with respect to any such subsidiary that is a Foreign Subsidiary, (1) a Joinder Agreement and (2) such other documentation relating to such categories of assets (other than Excluded Assets) as the Borrower and Administrative Agent may reasonably agree;</w:t>
      </w:r>
    </w:p>
    <w:p>
      <w:pPr>
        <w:spacing w:after="0" w:line="180"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(a) the Security Agreement (and any supplement thereto delivered to the Administrative Agent), (b) each Intellectual Property Security Agreement, and (c) each of the other instruments and documents pursuant to which any Loan Party grants (or purports to grant) a Lien on any Collateral as security for payment of the Secured Obligations.</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 Letter of Credit</w:t>
      </w:r>
      <w:r>
        <w:rPr>
          <w:rFonts w:ascii="Times New Roman" w:cs="Times New Roman" w:eastAsia="Times New Roman" w:hAnsi="Times New Roman"/>
          <w:sz w:val="20"/>
          <w:szCs w:val="20"/>
          <w:color w:val="auto"/>
        </w:rPr>
        <w:t xml:space="preserve">” means any letter of credit issued </w:t>
      </w:r>
      <w:r>
        <w:rPr>
          <w:rFonts w:ascii="Times New Roman" w:cs="Times New Roman" w:eastAsia="Times New Roman" w:hAnsi="Times New Roman"/>
          <w:sz w:val="20"/>
          <w:szCs w:val="20"/>
          <w:color w:val="FF0000"/>
          <w:strike w:val="1"/>
        </w:rPr>
        <w:t>pursuant to this Agreement</w:t>
      </w:r>
      <w:r>
        <w:rPr>
          <w:rFonts w:ascii="Times New Roman" w:cs="Times New Roman" w:eastAsia="Times New Roman" w:hAnsi="Times New Roman"/>
          <w:sz w:val="20"/>
          <w:szCs w:val="20"/>
          <w:color w:val="auto"/>
        </w:rPr>
        <w:t xml:space="preserve"> for the purpose of providing the primary payment mechanism in connection with the purchase of any materials, goods or services by the Borrower or any of its subsidiaries in the ordinary course of business of such Person.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 Tort Claim</w:t>
      </w:r>
      <w:r>
        <w:rPr>
          <w:rFonts w:ascii="Times New Roman" w:cs="Times New Roman" w:eastAsia="Times New Roman" w:hAnsi="Times New Roman"/>
          <w:sz w:val="20"/>
          <w:szCs w:val="20"/>
          <w:color w:val="auto"/>
        </w:rPr>
        <w:t>” has the meaning set forth in Article 9 of the UCC.</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such Lender’s Initial Term Loan Commitment, Initial Revolving Credit Commitment and any Additional Commitment, as applicable, in effect as of such time.</w:t>
      </w:r>
    </w:p>
    <w:p>
      <w:pPr>
        <w:spacing w:after="0" w:line="159"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xml:space="preserve">” means, on any date (a) with respect to the Initial Revolving Credit Commitments, the applicable rate per annum set forth below based upon the Total Net Leverage Ratio;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first Adjustment Date following the </w:t>
      </w:r>
      <w:r>
        <w:rPr>
          <w:rFonts w:ascii="Times New Roman" w:cs="Times New Roman" w:eastAsia="Times New Roman" w:hAnsi="Times New Roman"/>
          <w:sz w:val="20"/>
          <w:szCs w:val="20"/>
          <w:color w:val="FF0000"/>
          <w:strike w:val="1"/>
        </w:rPr>
        <w:t>completion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of at least three full Fiscal Quarters after the 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“Commitment Fee Rate” shall be the applicable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per annum set forth below in </w:t>
      </w:r>
      <w:r>
        <w:rPr>
          <w:rFonts w:ascii="Times New Roman" w:cs="Times New Roman" w:eastAsia="Times New Roman" w:hAnsi="Times New Roman"/>
          <w:sz w:val="20"/>
          <w:szCs w:val="20"/>
          <w:u w:val="single" w:color="auto"/>
          <w:color w:val="000000"/>
        </w:rPr>
        <w:t>Category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FF0000"/>
          <w:strike w:val="1"/>
        </w:rPr>
        <w:t>1</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00"/>
        </w:rPr>
        <w:t xml:space="preserve"> and (b) with respect to Additional Revolving Credit Commitments of any Class, the rate or rates per annum specified in the applicable Refinancing Amendment, Incremental Facility Amendment or Extension Amendment:</w:t>
      </w:r>
    </w:p>
    <w:p>
      <w:pPr>
        <w:spacing w:after="0" w:line="184" w:lineRule="exact"/>
        <w:rPr>
          <w:sz w:val="20"/>
          <w:szCs w:val="20"/>
          <w:color w:val="auto"/>
        </w:rPr>
      </w:pPr>
    </w:p>
    <w:tbl>
      <w:tblPr>
        <w:tblLayout w:type="fixed"/>
        <w:tblInd w:w="1650" w:type="dxa"/>
        <w:tblCellMar>
          <w:top w:w="0" w:type="dxa"/>
          <w:left w:w="0" w:type="dxa"/>
          <w:bottom w:w="0" w:type="dxa"/>
          <w:right w:w="0" w:type="dxa"/>
        </w:tblCellMar>
      </w:tblPr>
      <w:tr>
        <w:trPr>
          <w:trHeight w:val="260"/>
        </w:trPr>
        <w:tc>
          <w:tcPr>
            <w:tcW w:w="5420" w:type="dxa"/>
            <w:vAlign w:val="bottom"/>
            <w:tcBorders>
              <w:top w:val="single" w:sz="8" w:color="auto"/>
              <w:left w:val="single" w:sz="8" w:color="auto"/>
              <w:right w:val="single" w:sz="8" w:color="auto"/>
            </w:tcBorders>
            <w:gridSpan w:val="10"/>
            <w:shd w:val="clear" w:color="auto" w:fill="EEECE1"/>
          </w:tcPr>
          <w:p>
            <w:pPr>
              <w:ind w:left="120"/>
              <w:spacing w:after="0"/>
              <w:rPr>
                <w:sz w:val="20"/>
                <w:szCs w:val="20"/>
                <w:color w:val="auto"/>
              </w:rPr>
            </w:pPr>
            <w:r>
              <w:rPr>
                <w:rFonts w:ascii="Times New Roman" w:cs="Times New Roman" w:eastAsia="Times New Roman" w:hAnsi="Times New Roman"/>
                <w:sz w:val="20"/>
                <w:szCs w:val="20"/>
                <w:color w:val="auto"/>
              </w:rPr>
              <w:t>Total Net Leverage Ratio</w:t>
            </w:r>
          </w:p>
        </w:tc>
        <w:tc>
          <w:tcPr>
            <w:tcW w:w="2560" w:type="dxa"/>
            <w:vAlign w:val="bottom"/>
            <w:tcBorders>
              <w:top w:val="single" w:sz="8" w:color="auto"/>
              <w:right w:val="single" w:sz="8" w:color="auto"/>
            </w:tcBorders>
            <w:gridSpan w:val="3"/>
            <w:shd w:val="clear" w:color="auto" w:fill="EEECE1"/>
          </w:tcPr>
          <w:p>
            <w:pPr>
              <w:jc w:val="center"/>
              <w:ind w:right="60"/>
              <w:spacing w:after="0"/>
              <w:rPr>
                <w:sz w:val="20"/>
                <w:szCs w:val="20"/>
                <w:color w:val="auto"/>
              </w:rPr>
            </w:pPr>
            <w:r>
              <w:rPr>
                <w:rFonts w:ascii="Times New Roman" w:cs="Times New Roman" w:eastAsia="Times New Roman" w:hAnsi="Times New Roman"/>
                <w:sz w:val="20"/>
                <w:szCs w:val="20"/>
                <w:color w:val="auto"/>
                <w:w w:val="98"/>
              </w:rPr>
              <w:t>Commitment Fee Rate</w:t>
            </w:r>
          </w:p>
        </w:tc>
      </w:tr>
      <w:tr>
        <w:trPr>
          <w:trHeight w:val="71"/>
        </w:trPr>
        <w:tc>
          <w:tcPr>
            <w:tcW w:w="120" w:type="dxa"/>
            <w:vAlign w:val="bottom"/>
            <w:tcBorders>
              <w:top w:val="single" w:sz="8" w:color="EEECE1"/>
              <w:left w:val="single" w:sz="8" w:color="auto"/>
              <w:bottom w:val="single" w:sz="8" w:color="auto"/>
            </w:tcBorders>
            <w:shd w:val="clear" w:color="auto" w:fill="EEECE1"/>
          </w:tcPr>
          <w:p>
            <w:pPr>
              <w:spacing w:after="0"/>
              <w:rPr>
                <w:sz w:val="6"/>
                <w:szCs w:val="6"/>
                <w:color w:val="auto"/>
              </w:rPr>
            </w:pPr>
          </w:p>
        </w:tc>
        <w:tc>
          <w:tcPr>
            <w:tcW w:w="860" w:type="dxa"/>
            <w:vAlign w:val="bottom"/>
            <w:tcBorders>
              <w:top w:val="single" w:sz="8" w:color="auto"/>
              <w:bottom w:val="single" w:sz="8" w:color="auto"/>
            </w:tcBorders>
            <w:shd w:val="clear" w:color="auto" w:fill="EEECE1"/>
          </w:tcPr>
          <w:p>
            <w:pPr>
              <w:spacing w:after="0"/>
              <w:rPr>
                <w:sz w:val="6"/>
                <w:szCs w:val="6"/>
                <w:color w:val="auto"/>
              </w:rPr>
            </w:pPr>
          </w:p>
        </w:tc>
        <w:tc>
          <w:tcPr>
            <w:tcW w:w="260" w:type="dxa"/>
            <w:vAlign w:val="bottom"/>
            <w:tcBorders>
              <w:top w:val="single" w:sz="8" w:color="auto"/>
              <w:bottom w:val="single" w:sz="8" w:color="auto"/>
            </w:tcBorders>
            <w:shd w:val="clear" w:color="auto" w:fill="EEECE1"/>
          </w:tcPr>
          <w:p>
            <w:pPr>
              <w:spacing w:after="0"/>
              <w:rPr>
                <w:sz w:val="6"/>
                <w:szCs w:val="6"/>
                <w:color w:val="auto"/>
              </w:rPr>
            </w:pPr>
          </w:p>
        </w:tc>
        <w:tc>
          <w:tcPr>
            <w:tcW w:w="360" w:type="dxa"/>
            <w:vAlign w:val="bottom"/>
            <w:tcBorders>
              <w:top w:val="single" w:sz="8" w:color="auto"/>
              <w:bottom w:val="single" w:sz="8" w:color="auto"/>
            </w:tcBorders>
            <w:shd w:val="clear" w:color="auto" w:fill="EEECE1"/>
          </w:tcPr>
          <w:p>
            <w:pPr>
              <w:spacing w:after="0"/>
              <w:rPr>
                <w:sz w:val="6"/>
                <w:szCs w:val="6"/>
                <w:color w:val="auto"/>
              </w:rPr>
            </w:pPr>
          </w:p>
        </w:tc>
        <w:tc>
          <w:tcPr>
            <w:tcW w:w="280" w:type="dxa"/>
            <w:vAlign w:val="bottom"/>
            <w:tcBorders>
              <w:top w:val="single" w:sz="8" w:color="auto"/>
              <w:bottom w:val="single" w:sz="8" w:color="auto"/>
            </w:tcBorders>
            <w:shd w:val="clear" w:color="auto" w:fill="EEECE1"/>
          </w:tcPr>
          <w:p>
            <w:pPr>
              <w:spacing w:after="0"/>
              <w:rPr>
                <w:sz w:val="6"/>
                <w:szCs w:val="6"/>
                <w:color w:val="auto"/>
              </w:rPr>
            </w:pPr>
          </w:p>
        </w:tc>
        <w:tc>
          <w:tcPr>
            <w:tcW w:w="60" w:type="dxa"/>
            <w:vAlign w:val="bottom"/>
            <w:tcBorders>
              <w:top w:val="single" w:sz="8" w:color="auto"/>
              <w:bottom w:val="single" w:sz="8" w:color="auto"/>
            </w:tcBorders>
            <w:shd w:val="clear" w:color="auto" w:fill="EEECE1"/>
          </w:tcPr>
          <w:p>
            <w:pPr>
              <w:spacing w:after="0"/>
              <w:rPr>
                <w:sz w:val="6"/>
                <w:szCs w:val="6"/>
                <w:color w:val="auto"/>
              </w:rPr>
            </w:pPr>
          </w:p>
        </w:tc>
        <w:tc>
          <w:tcPr>
            <w:tcW w:w="180" w:type="dxa"/>
            <w:vAlign w:val="bottom"/>
            <w:tcBorders>
              <w:top w:val="single" w:sz="8" w:color="auto"/>
              <w:bottom w:val="single" w:sz="8" w:color="auto"/>
            </w:tcBorders>
            <w:shd w:val="clear" w:color="auto" w:fill="EEECE1"/>
          </w:tcPr>
          <w:p>
            <w:pPr>
              <w:spacing w:after="0"/>
              <w:rPr>
                <w:sz w:val="6"/>
                <w:szCs w:val="6"/>
                <w:color w:val="auto"/>
              </w:rPr>
            </w:pPr>
          </w:p>
        </w:tc>
        <w:tc>
          <w:tcPr>
            <w:tcW w:w="100" w:type="dxa"/>
            <w:vAlign w:val="bottom"/>
            <w:tcBorders>
              <w:top w:val="single" w:sz="8" w:color="EEECE1"/>
              <w:bottom w:val="single" w:sz="8" w:color="auto"/>
            </w:tcBorders>
            <w:shd w:val="clear" w:color="auto" w:fill="EEECE1"/>
          </w:tcPr>
          <w:p>
            <w:pPr>
              <w:spacing w:after="0"/>
              <w:rPr>
                <w:sz w:val="6"/>
                <w:szCs w:val="6"/>
                <w:color w:val="auto"/>
              </w:rPr>
            </w:pPr>
          </w:p>
        </w:tc>
        <w:tc>
          <w:tcPr>
            <w:tcW w:w="360" w:type="dxa"/>
            <w:vAlign w:val="bottom"/>
            <w:tcBorders>
              <w:top w:val="single" w:sz="8" w:color="EEECE1"/>
              <w:bottom w:val="single" w:sz="8" w:color="auto"/>
            </w:tcBorders>
            <w:shd w:val="clear" w:color="auto" w:fill="EEECE1"/>
          </w:tcPr>
          <w:p>
            <w:pPr>
              <w:spacing w:after="0"/>
              <w:rPr>
                <w:sz w:val="6"/>
                <w:szCs w:val="6"/>
                <w:color w:val="auto"/>
              </w:rPr>
            </w:pPr>
          </w:p>
        </w:tc>
        <w:tc>
          <w:tcPr>
            <w:tcW w:w="284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c>
          <w:tcPr>
            <w:tcW w:w="360" w:type="dxa"/>
            <w:vAlign w:val="bottom"/>
            <w:tcBorders>
              <w:top w:val="single" w:sz="8" w:color="EEECE1"/>
              <w:bottom w:val="single" w:sz="8" w:color="auto"/>
            </w:tcBorders>
            <w:shd w:val="clear" w:color="auto" w:fill="EEECE1"/>
          </w:tcPr>
          <w:p>
            <w:pPr>
              <w:spacing w:after="0"/>
              <w:rPr>
                <w:sz w:val="6"/>
                <w:szCs w:val="6"/>
                <w:color w:val="auto"/>
              </w:rPr>
            </w:pPr>
          </w:p>
        </w:tc>
        <w:tc>
          <w:tcPr>
            <w:tcW w:w="1780" w:type="dxa"/>
            <w:vAlign w:val="bottom"/>
            <w:tcBorders>
              <w:top w:val="single" w:sz="8" w:color="auto"/>
              <w:bottom w:val="single" w:sz="8" w:color="auto"/>
            </w:tcBorders>
            <w:shd w:val="clear" w:color="auto" w:fill="EEECE1"/>
          </w:tcPr>
          <w:p>
            <w:pPr>
              <w:spacing w:after="0"/>
              <w:rPr>
                <w:sz w:val="6"/>
                <w:szCs w:val="6"/>
                <w:color w:val="auto"/>
              </w:rPr>
            </w:pPr>
          </w:p>
        </w:tc>
        <w:tc>
          <w:tcPr>
            <w:tcW w:w="420" w:type="dxa"/>
            <w:vAlign w:val="bottom"/>
            <w:tcBorders>
              <w:top w:val="single" w:sz="8" w:color="EEECE1"/>
              <w:bottom w:val="single" w:sz="8" w:color="auto"/>
              <w:right w:val="single" w:sz="8" w:color="auto"/>
            </w:tcBorders>
            <w:shd w:val="clear" w:color="auto" w:fill="EEECE1"/>
          </w:tcPr>
          <w:p>
            <w:pPr>
              <w:spacing w:after="0"/>
              <w:rPr>
                <w:sz w:val="6"/>
                <w:szCs w:val="6"/>
                <w:color w:val="auto"/>
              </w:rPr>
            </w:pPr>
          </w:p>
        </w:tc>
      </w:tr>
      <w:tr>
        <w:trPr>
          <w:trHeight w:val="240"/>
        </w:trPr>
        <w:tc>
          <w:tcPr>
            <w:tcW w:w="5420" w:type="dxa"/>
            <w:vAlign w:val="bottom"/>
            <w:tcBorders>
              <w:left w:val="single" w:sz="8" w:color="auto"/>
              <w:right w:val="single" w:sz="8" w:color="auto"/>
            </w:tcBorders>
            <w:gridSpan w:val="10"/>
          </w:tcPr>
          <w:p>
            <w:pPr>
              <w:ind w:left="120"/>
              <w:spacing w:after="0"/>
              <w:rPr>
                <w:sz w:val="20"/>
                <w:szCs w:val="20"/>
                <w:color w:val="auto"/>
              </w:rPr>
            </w:pPr>
            <w:r>
              <w:rPr>
                <w:rFonts w:ascii="Times New Roman" w:cs="Times New Roman" w:eastAsia="Times New Roman" w:hAnsi="Times New Roman"/>
                <w:sz w:val="20"/>
                <w:szCs w:val="20"/>
                <w:color w:val="auto"/>
              </w:rPr>
              <w:t>Category 1</w:t>
            </w: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120" w:type="dxa"/>
            <w:vAlign w:val="bottom"/>
            <w:gridSpan w:val="2"/>
          </w:tcPr>
          <w:p>
            <w:pPr>
              <w:ind w:left="100"/>
              <w:spacing w:after="0" w:line="209" w:lineRule="exact"/>
              <w:rPr>
                <w:sz w:val="20"/>
                <w:szCs w:val="20"/>
                <w:color w:val="auto"/>
              </w:rPr>
            </w:pPr>
            <w:r>
              <w:rPr>
                <w:rFonts w:ascii="Times New Roman" w:cs="Times New Roman" w:eastAsia="Times New Roman" w:hAnsi="Times New Roman"/>
                <w:sz w:val="20"/>
                <w:szCs w:val="20"/>
                <w:color w:val="auto"/>
              </w:rPr>
              <w:t>Greater than</w:t>
            </w:r>
          </w:p>
        </w:tc>
        <w:tc>
          <w:tcPr>
            <w:tcW w:w="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7"/>
              </w:rPr>
              <w:t>2.75</w:t>
            </w:r>
          </w:p>
        </w:tc>
        <w:tc>
          <w:tcPr>
            <w:tcW w:w="3820" w:type="dxa"/>
            <w:vAlign w:val="bottom"/>
            <w:tcBorders>
              <w:right w:val="single" w:sz="8" w:color="auto"/>
            </w:tcBorders>
            <w:gridSpan w:val="6"/>
          </w:tcPr>
          <w:p>
            <w:pPr>
              <w:jc w:val="center"/>
              <w:ind w:right="2880"/>
              <w:spacing w:after="0" w:line="209" w:lineRule="exact"/>
              <w:rPr>
                <w:sz w:val="20"/>
                <w:szCs w:val="20"/>
                <w:color w:val="auto"/>
              </w:rPr>
            </w:pPr>
            <w:r>
              <w:rPr>
                <w:rFonts w:ascii="Times New Roman" w:cs="Times New Roman" w:eastAsia="Times New Roman" w:hAnsi="Times New Roman"/>
                <w:sz w:val="20"/>
                <w:szCs w:val="20"/>
                <w:color w:val="0000FF"/>
                <w:w w:val="98"/>
              </w:rPr>
              <w:t xml:space="preserve">2.25 </w:t>
            </w:r>
            <w:r>
              <w:rPr>
                <w:rFonts w:ascii="Times New Roman" w:cs="Times New Roman" w:eastAsia="Times New Roman" w:hAnsi="Times New Roman"/>
                <w:sz w:val="20"/>
                <w:szCs w:val="20"/>
                <w:color w:val="000000"/>
                <w:w w:val="98"/>
              </w:rPr>
              <w:t>to 1.00</w:t>
            </w:r>
          </w:p>
        </w:tc>
        <w:tc>
          <w:tcPr>
            <w:tcW w:w="2140" w:type="dxa"/>
            <w:vAlign w:val="bottom"/>
            <w:gridSpan w:val="2"/>
          </w:tcPr>
          <w:p>
            <w:pPr>
              <w:jc w:val="center"/>
              <w:ind w:left="261"/>
              <w:spacing w:after="0" w:line="209" w:lineRule="exact"/>
              <w:rPr>
                <w:sz w:val="20"/>
                <w:szCs w:val="20"/>
                <w:color w:val="auto"/>
              </w:rPr>
            </w:pPr>
            <w:r>
              <w:rPr>
                <w:rFonts w:ascii="Times New Roman" w:cs="Times New Roman" w:eastAsia="Times New Roman" w:hAnsi="Times New Roman"/>
                <w:sz w:val="20"/>
                <w:szCs w:val="20"/>
                <w:color w:val="auto"/>
                <w:w w:val="96"/>
              </w:rPr>
              <w:t>0.30%</w:t>
            </w:r>
          </w:p>
        </w:tc>
        <w:tc>
          <w:tcPr>
            <w:tcW w:w="420" w:type="dxa"/>
            <w:vAlign w:val="bottom"/>
            <w:tcBorders>
              <w:right w:val="single" w:sz="8" w:color="auto"/>
            </w:tcBorders>
          </w:tcPr>
          <w:p>
            <w:pPr>
              <w:spacing w:after="0"/>
              <w:rPr>
                <w:sz w:val="18"/>
                <w:szCs w:val="18"/>
                <w:color w:val="auto"/>
              </w:rPr>
            </w:pP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r>
      <w:tr>
        <w:trPr>
          <w:trHeight w:val="237"/>
        </w:trPr>
        <w:tc>
          <w:tcPr>
            <w:tcW w:w="5420" w:type="dxa"/>
            <w:vAlign w:val="bottom"/>
            <w:tcBorders>
              <w:left w:val="single" w:sz="8" w:color="auto"/>
              <w:right w:val="single" w:sz="8" w:color="auto"/>
            </w:tcBorders>
            <w:gridSpan w:val="10"/>
          </w:tcPr>
          <w:p>
            <w:pPr>
              <w:ind w:left="120"/>
              <w:spacing w:after="0"/>
              <w:rPr>
                <w:sz w:val="20"/>
                <w:szCs w:val="20"/>
                <w:color w:val="auto"/>
              </w:rPr>
            </w:pPr>
            <w:r>
              <w:rPr>
                <w:rFonts w:ascii="Times New Roman" w:cs="Times New Roman" w:eastAsia="Times New Roman" w:hAnsi="Times New Roman"/>
                <w:sz w:val="20"/>
                <w:szCs w:val="20"/>
                <w:color w:val="auto"/>
              </w:rPr>
              <w:t>Category 2</w:t>
            </w: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760" w:type="dxa"/>
            <w:vAlign w:val="bottom"/>
            <w:gridSpan w:val="4"/>
          </w:tcPr>
          <w:p>
            <w:pPr>
              <w:ind w:left="100"/>
              <w:spacing w:after="0" w:line="209" w:lineRule="exact"/>
              <w:rPr>
                <w:sz w:val="20"/>
                <w:szCs w:val="20"/>
                <w:color w:val="auto"/>
              </w:rPr>
            </w:pPr>
            <w:r>
              <w:rPr>
                <w:rFonts w:ascii="Times New Roman" w:cs="Times New Roman" w:eastAsia="Times New Roman" w:hAnsi="Times New Roman"/>
                <w:sz w:val="20"/>
                <w:szCs w:val="20"/>
                <w:color w:val="auto"/>
              </w:rPr>
              <w:t>Equal to or less than</w:t>
            </w:r>
          </w:p>
        </w:tc>
        <w:tc>
          <w:tcPr>
            <w:tcW w:w="3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1"/>
              </w:rPr>
              <w:t>2.75</w:t>
            </w:r>
          </w:p>
        </w:tc>
        <w:tc>
          <w:tcPr>
            <w:tcW w:w="3200" w:type="dxa"/>
            <w:vAlign w:val="bottom"/>
            <w:tcBorders>
              <w:right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2.25 </w:t>
            </w:r>
            <w:r>
              <w:rPr>
                <w:rFonts w:ascii="Times New Roman" w:cs="Times New Roman" w:eastAsia="Times New Roman" w:hAnsi="Times New Roman"/>
                <w:sz w:val="20"/>
                <w:szCs w:val="20"/>
                <w:color w:val="000000"/>
              </w:rPr>
              <w:t>to 1.00</w:t>
            </w:r>
          </w:p>
        </w:tc>
        <w:tc>
          <w:tcPr>
            <w:tcW w:w="2140" w:type="dxa"/>
            <w:vAlign w:val="bottom"/>
            <w:gridSpan w:val="2"/>
          </w:tcPr>
          <w:p>
            <w:pPr>
              <w:jc w:val="center"/>
              <w:ind w:left="261"/>
              <w:spacing w:after="0" w:line="209" w:lineRule="exact"/>
              <w:rPr>
                <w:sz w:val="20"/>
                <w:szCs w:val="20"/>
                <w:color w:val="auto"/>
              </w:rPr>
            </w:pPr>
            <w:r>
              <w:rPr>
                <w:rFonts w:ascii="Times New Roman" w:cs="Times New Roman" w:eastAsia="Times New Roman" w:hAnsi="Times New Roman"/>
                <w:sz w:val="20"/>
                <w:szCs w:val="20"/>
                <w:color w:val="auto"/>
                <w:w w:val="96"/>
              </w:rPr>
              <w:t>0.25%</w:t>
            </w:r>
          </w:p>
        </w:tc>
        <w:tc>
          <w:tcPr>
            <w:tcW w:w="420" w:type="dxa"/>
            <w:vAlign w:val="bottom"/>
            <w:tcBorders>
              <w:right w:val="single" w:sz="8" w:color="auto"/>
            </w:tcBorders>
          </w:tcPr>
          <w:p>
            <w:pPr>
              <w:spacing w:after="0"/>
              <w:rPr>
                <w:sz w:val="18"/>
                <w:szCs w:val="18"/>
                <w:color w:val="auto"/>
              </w:rPr>
            </w:pP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top w:val="single" w:sz="8" w:color="0000FF"/>
              <w:bottom w:val="single" w:sz="8" w:color="auto"/>
            </w:tcBorders>
          </w:tcPr>
          <w:p>
            <w:pPr>
              <w:spacing w:after="0"/>
              <w:rPr>
                <w:sz w:val="6"/>
                <w:szCs w:val="6"/>
                <w:color w:val="auto"/>
              </w:rPr>
            </w:pPr>
          </w:p>
        </w:tc>
        <w:tc>
          <w:tcPr>
            <w:tcW w:w="284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r>
    </w:tbl>
    <w:p>
      <w:pPr>
        <w:spacing w:after="0" w:line="20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 xml:space="preserve">The Commitment Fee Rate with respect to the Initial Revolving Credit Commitment shall be adjusted quarterly on a prospective basis on each Adjustment Date based upon the Total Net Leverage Ratio in accordance with the table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financial statements are not delivered when required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at the election of the Required Revolving Lenders, the Commitment Fee Rate shall be the rate per annum set forth above in Category 1 until such financial statements are delivered in compliance with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w:t>
      </w:r>
    </w:p>
    <w:p>
      <w:pPr>
        <w:spacing w:after="0" w:line="77"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from and after the Amendment No. 2 Effective Date, the schedules of Commitments set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forth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Schedule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attached hereto as</w:t>
      </w:r>
      <w:r>
        <w:rPr>
          <w:rFonts w:ascii="Times New Roman" w:cs="Times New Roman" w:eastAsia="Times New Roman" w:hAnsi="Times New Roman"/>
          <w:sz w:val="20"/>
          <w:szCs w:val="20"/>
          <w:u w:val="single" w:color="auto"/>
          <w:color w:val="0000FF"/>
        </w:rPr>
        <w:t>I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Schedule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FF0000"/>
          <w:strike w:val="1"/>
        </w:rPr>
        <w:t>1.01(a)</w:t>
      </w:r>
      <w:r>
        <w:rPr>
          <w:rFonts w:ascii="Times New Roman" w:cs="Times New Roman" w:eastAsia="Times New Roman" w:hAnsi="Times New Roman"/>
          <w:sz w:val="20"/>
          <w:szCs w:val="20"/>
          <w:u w:val="single" w:color="auto"/>
          <w:color w:val="0000FF"/>
        </w:rPr>
        <w:t>II to Amendment No. 2</w:t>
      </w:r>
      <w:r>
        <w:rPr>
          <w:rFonts w:ascii="Times New Roman" w:cs="Times New Roman" w:eastAsia="Times New Roman" w:hAnsi="Times New Roman"/>
          <w:sz w:val="20"/>
          <w:szCs w:val="20"/>
          <w:color w:val="000000"/>
        </w:rPr>
        <w:t>.</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right="240"/>
        <w:spacing w:after="0" w:line="269" w:lineRule="auto"/>
        <w:rPr>
          <w:sz w:val="20"/>
          <w:szCs w:val="20"/>
          <w:color w:val="auto"/>
        </w:rPr>
      </w:pPr>
      <w:r>
        <w:rPr>
          <w:rFonts w:ascii="Times New Roman" w:cs="Times New Roman" w:eastAsia="Times New Roman" w:hAnsi="Times New Roman"/>
          <w:sz w:val="20"/>
          <w:szCs w:val="20"/>
          <w:u w:val="single" w:color="auto"/>
          <w:color w:val="0000FF"/>
        </w:rPr>
        <w:t>“Communication” means this Agreement, any Loan Document and any document, any amendment, approval, consent, information, notice, certificate, request, statement, disclosure or authorization related to any Loan Document.</w:t>
      </w:r>
    </w:p>
    <w:p>
      <w:pPr>
        <w:spacing w:after="0" w:line="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Competitor</w:t>
      </w:r>
      <w:r>
        <w:rPr>
          <w:rFonts w:ascii="Times New Roman" w:cs="Times New Roman" w:eastAsia="Times New Roman" w:hAnsi="Times New Roman"/>
          <w:sz w:val="20"/>
          <w:szCs w:val="20"/>
          <w:color w:val="auto"/>
        </w:rPr>
        <w:t>” means any competitor of the Borrower and/or any of its subsidiaries.</w:t>
      </w:r>
    </w:p>
    <w:p>
      <w:pPr>
        <w:spacing w:after="0" w:line="216"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 Debt Fund Affiliate</w:t>
      </w:r>
      <w:r>
        <w:rPr>
          <w:rFonts w:ascii="Times New Roman" w:cs="Times New Roman" w:eastAsia="Times New Roman" w:hAnsi="Times New Roman"/>
          <w:sz w:val="20"/>
          <w:szCs w:val="20"/>
          <w:color w:val="auto"/>
        </w:rPr>
        <w:t>” means, with respect to any Company Competitor or any Affiliate thereof, any debt fund, investment vehicle, regulated bank entity or unregulated lending entity (in each case, other than any Disqualified Lending Institution or any Excluded Party) that is (a) primarily engaged in making, purchasing, holding or otherwise investing in commercial loans and similar extensions of credit in the ordinary course of business for financial investment purposes (but not with a view towards (i) owning the borrower or issuer of any such loan or similar extension of credit or (ii) investing in special or opportunistic situations) and (b) managed, sponsored or advised by any person that is controlling, controlled by or under common control with the relevant Company Competitor or Affiliate thereof, but only to the extent that no personnel involved with the investment in the relevant Company Competitor or its Affiliates, or the management, control or operation thereof, (i) makes (or has the right to make or participate with others in 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the Borrower and/or any entity that forms part of its business (including any of its subsidiaries).</w:t>
      </w:r>
    </w:p>
    <w:p>
      <w:pPr>
        <w:spacing w:after="0" w:line="19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such other form to which the Borrower and the Administrative Agent may reasonably agree.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or any proposed Successor Rate or Term SOFR, as applicable, any conforming changes to the definitions of “Alternate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means, with respect to any Person on a consolidated basis for any period, the sum of:</w:t>
      </w:r>
    </w:p>
    <w:p>
      <w:pPr>
        <w:spacing w:after="0" w:line="216" w:lineRule="exact"/>
        <w:rPr>
          <w:sz w:val="20"/>
          <w:szCs w:val="20"/>
          <w:color w:val="auto"/>
        </w:rPr>
      </w:pPr>
    </w:p>
    <w:p>
      <w:pPr>
        <w:ind w:left="1900" w:hanging="395"/>
        <w:spacing w:after="0"/>
        <w:tabs>
          <w:tab w:leader="none" w:pos="1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 the determination of Consolidated Net Income for such period, the amount of any proceeds of any business interruption insurance policy (whether or not then received so long as such Person in good faith expects to receive such proceeds);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ind w:left="-360" w:right="20" w:firstLine="745"/>
        <w:spacing w:after="0" w:line="269" w:lineRule="auto"/>
        <w:tabs>
          <w:tab w:leader="none" w:pos="7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those amounts which, in the determination of Consolidated Net Income for such period, have been deducted for:</w:t>
      </w:r>
    </w:p>
    <w:p>
      <w:pPr>
        <w:spacing w:after="0" w:line="15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380" w:right="40" w:firstLine="754"/>
        <w:spacing w:after="0" w:line="269"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or discounts on sales or other payments of Receivables Facility Assets in connection with any Receivables Facility or similar arrangement;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paid and any provision for Taxes, including income, capital, federal, provincial, state, franchise, excise, value added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depreciation and amortization (including, without limitation, amortization of goodwill, software and other intangible assets), (B) all impairment Charges, including any bad debt expense, and (C) all asset write-offs and/or write-downs, including any amortization or write-off of (1) intangible assets and non-cash organization costs, (2) deferred financing and debt issuance fees, costs and expenses, (3) capitalized expenditures (including capitalized software expenditures), customer acquisition costs and incentive payments, (4) media development costs, conversion costs and contract acquisition costs, (5) the amortization of original issue discount resulting from the issuance or incurrence of Indebtedness at less than par, (6) the amortization of favorable or unfavorable lease assets or liabilities and/or (7) capitalized fees relating to any Receivables Facility;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earn-out and/or contingent consideration obligation (including those accounted for as bonuses, compensation or otherwise) and any adjustment thereof incurred in connection with the Transactions and/or any acquisition and/or other Investment (whether or not consummated) which is paid or accrued during such period and, in each case, adjustments thereof;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 including the excess of GAAP rent expense over actual cash rent paid during such period due to the use of straight line rent for GAAP purposes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in the current period, the cash payment in respect thereof in such future period shall not be added back to Consolidated Adjusted EBITDA to such extent);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9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Costs, (B) any Charge incurred in connection with any transaction (in each case, whether or not consummated and whether or not permitted under this Agreement), including (1) any issuance and/or incurrence of Indebtedness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4" w:name="page45"/>
    <w:bookmarkEnd w:id="44"/>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any Charge that would constitute a Public Company Cost), any Receivables Facility (including commissions, discounts, yield, interest expense and similar fees and charges relating thereto) and/or any issuance and/or offering of Capital Stock (including, in each case, by any Parent Company), any acquisition or other Investment,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(2) in connection with the IPO, including any Charge that would constitute a Public Company Cost and/or (3) equipment leases and/or equipment financings, (C) the amount of any Charge that is actually reimbursed or reimbursable by any third party pursuant to any indemnification or reimbursement provision or similar agreement (including any purchase price adjustment) or 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respect of any Charge that is added back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relevant Person in good faith expects to receive reimbursement for such Charge and/or (D) Public Company Costs; </w:t>
      </w:r>
      <w:r>
        <w:rPr>
          <w:rFonts w:ascii="Times New Roman" w:cs="Times New Roman" w:eastAsia="Times New Roman" w:hAnsi="Times New Roman"/>
          <w:sz w:val="20"/>
          <w:szCs w:val="20"/>
          <w:u w:val="single" w:color="auto"/>
          <w:color w:val="auto"/>
        </w:rPr>
        <w:t>plus</w:t>
      </w:r>
    </w:p>
    <w:p>
      <w:pPr>
        <w:spacing w:after="0" w:line="190" w:lineRule="exact"/>
        <w:rPr>
          <w:sz w:val="20"/>
          <w:szCs w:val="20"/>
          <w:color w:val="auto"/>
        </w:rPr>
      </w:pPr>
    </w:p>
    <w:p>
      <w:pPr>
        <w:ind w:left="380" w:right="40" w:firstLine="754"/>
        <w:spacing w:after="0" w:line="269" w:lineRule="auto"/>
        <w:tabs>
          <w:tab w:leader="none" w:pos="15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 or deduction that is associated with any Restricted Subsidiary and attributable to any non-controlling interest and/or minority interest of any third party;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amount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or (ii) without duplication of any amount included in a prior period under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above, to the extent such Charge is covered by insurance proceeds received in cash during such period (it being understood that if the amount received in cash under any such agreement in any period exceeds the amount of any Charge paid during such period such excess amounts received may be carried forward and applied against any Charge in any future period); </w:t>
      </w:r>
      <w:r>
        <w:rPr>
          <w:rFonts w:ascii="Times New Roman" w:cs="Times New Roman" w:eastAsia="Times New Roman" w:hAnsi="Times New Roman"/>
          <w:sz w:val="20"/>
          <w:szCs w:val="20"/>
          <w:u w:val="single" w:color="auto"/>
          <w:color w:val="auto"/>
        </w:rPr>
        <w:t>plus</w:t>
      </w:r>
    </w:p>
    <w:p>
      <w:pPr>
        <w:spacing w:after="0" w:line="192"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amount of management, monitoring, consulting, transaction and advisory fees and related indemnities and/or expenses (including reimbursements) pursuant to any sponsor management agreement (including prior to the Closing Date) and any payment made to any Investor (and/or its Affiliates or management companies) for any financial advisory, financing, underwriting or placement services or in respect of other investment banking activities and/or payments to outside directors of the Borrower, Holdings or any other Parent Company actually paid by or on behalf of, or accrued by, such Person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such payment is permitted under this Agreement and (B) to the extent the relevant payment is permitted hereunder, the amount of any payment to any holder of any option in respect of the Capital Stock of the Borrower, Holdings and/or any other Parent Company in lieu of a Restricted Payment, which payment is made to compensate such optionholder as if it was an equity holder at the time of the relevant Restricted Payment; </w:t>
      </w:r>
      <w:r>
        <w:rPr>
          <w:rFonts w:ascii="Times New Roman" w:cs="Times New Roman" w:eastAsia="Times New Roman" w:hAnsi="Times New Roman"/>
          <w:sz w:val="20"/>
          <w:szCs w:val="20"/>
          <w:u w:val="single" w:color="auto"/>
          <w:color w:val="auto"/>
        </w:rPr>
        <w:t>plus</w:t>
      </w:r>
    </w:p>
    <w:p>
      <w:pPr>
        <w:spacing w:after="0" w:line="192"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attributable to the undertaking and/or implementation of new initiatives, business optimization activities, cost savings initiatives, cost rationalization programs, operating improvements and/or expense reductions and/or synergies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5" w:name="page46"/>
    <w:bookmarkEnd w:id="45"/>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similar initiatives and/or programs (including, in connection with any integration, operational improvement, restructuring or transition, any reconstruction, decommissioning, recommissioning or reconfiguration of fixed assets for alternative uses), any inventory optimization program and/or any curtailment, any business optimization Charge, any Charge relating to the destruction of equipment, any restructuring Charge and/or integration Charge (including any Charge relating to any tax restructuring), any Charge relating to the closure or consolidation of any facility (including but not limited to rent termination costs, moving costs and legal costs), any severance Charge, any Charge relating to any non-ordinary course retention or completion bonus, any Charge associated with any modification to any pension and post-retirement employee benefit plan, any Charge in connection with unused warehouse space, any non-software Charge relating to a new contract, any non-software consulting Charge, any Charge in connection with any exit from, wind down or termination of any line of business and/or any Charge related to any customer dispute, in each case, other than any such Charge incurred in the ordinary course of business of the Borrower and its Restricted Subsidiaries (as determined by the Borrower in good faith); </w:t>
      </w:r>
      <w:r>
        <w:rPr>
          <w:rFonts w:ascii="Times New Roman" w:cs="Times New Roman" w:eastAsia="Times New Roman" w:hAnsi="Times New Roman"/>
          <w:sz w:val="20"/>
          <w:szCs w:val="20"/>
          <w:u w:val="single" w:color="auto"/>
          <w:color w:val="auto"/>
        </w:rPr>
        <w:t>plus</w:t>
      </w:r>
    </w:p>
    <w:p>
      <w:pPr>
        <w:spacing w:after="0" w:line="187" w:lineRule="exact"/>
        <w:rPr>
          <w:sz w:val="20"/>
          <w:szCs w:val="20"/>
          <w:color w:val="auto"/>
        </w:rPr>
      </w:pPr>
    </w:p>
    <w:p>
      <w:pPr>
        <w:jc w:val="both"/>
        <w:ind w:left="380" w:firstLine="754"/>
        <w:spacing w:after="0" w:line="245" w:lineRule="auto"/>
        <w:tabs>
          <w:tab w:leader="none" w:pos="19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 incurred or accrued in connection with any single or one-time event, including in connection with (A) any acquisition or similar Investment consummated after the Closing Date, (B) the closing, consolidation, opening or reconfiguration of any facility during such period, (C) any restructuring Charge, (D) one-time consulting costs or expenses, (E) any non-ordinary course litigation or other legal matter (including actual or prospective legal settlements, fines judgments or orders) and/or (F) Charges arising from non-ordinary course insurance claims and settlements;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9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add-back, adjustment and/or exclusion reflected in (A) the Financial Model and/or (B) subject to the cap described in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below with respect to Run Rate Synergies, any quality of earnings report prepared by any independent registered public accountant of recognized national standing or any other accounting firm reasonably acceptable to the Administrative Agent (a “</w:t>
      </w:r>
      <w:r>
        <w:rPr>
          <w:rFonts w:ascii="Times New Roman" w:cs="Times New Roman" w:eastAsia="Times New Roman" w:hAnsi="Times New Roman"/>
          <w:sz w:val="20"/>
          <w:szCs w:val="20"/>
          <w:u w:val="single" w:color="auto"/>
          <w:color w:val="auto"/>
        </w:rPr>
        <w:t>Quality of Earnings Report</w:t>
      </w:r>
      <w:r>
        <w:rPr>
          <w:rFonts w:ascii="Times New Roman" w:cs="Times New Roman" w:eastAsia="Times New Roman" w:hAnsi="Times New Roman"/>
          <w:sz w:val="20"/>
          <w:szCs w:val="20"/>
          <w:color w:val="auto"/>
        </w:rPr>
        <w:t xml:space="preserve">”), in each case, delivered to the Administrative Agent (including, for the avoidance of doubt, in connection with any acquisition or similar investment after the Closing Date);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pursuant to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below for any previous period and not added back;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pro forma “run rate” expected cost savings, operating expense reductions, operational improvements, business optimization, restructurings and/or cost synergies (collectively, “</w:t>
      </w:r>
      <w:r>
        <w:rPr>
          <w:rFonts w:ascii="Times New Roman" w:cs="Times New Roman" w:eastAsia="Times New Roman" w:hAnsi="Times New Roman"/>
          <w:sz w:val="20"/>
          <w:szCs w:val="20"/>
          <w:u w:val="single" w:color="auto"/>
          <w:color w:val="auto"/>
        </w:rPr>
        <w:t>Run-Rate Synergies</w:t>
      </w:r>
      <w:r>
        <w:rPr>
          <w:rFonts w:ascii="Times New Roman" w:cs="Times New Roman" w:eastAsia="Times New Roman" w:hAnsi="Times New Roman"/>
          <w:sz w:val="20"/>
          <w:szCs w:val="20"/>
          <w:color w:val="auto"/>
        </w:rPr>
        <w:t>”) (net of actual amounts realized) that are reasonably identifiable (in the good faith determination of such Person) related to (A) the Transactions, (B) any asset sale, merger or other business combination, Investment, Disposition, operating improvement, expense reduction, restructuring, cost savings initiative and/or any initiative similar to any of the foregoing and/or specified transaction (each, a “</w:t>
      </w:r>
      <w:r>
        <w:rPr>
          <w:rFonts w:ascii="Times New Roman" w:cs="Times New Roman" w:eastAsia="Times New Roman" w:hAnsi="Times New Roman"/>
          <w:sz w:val="20"/>
          <w:szCs w:val="20"/>
          <w:u w:val="single" w:color="auto"/>
          <w:color w:val="auto"/>
        </w:rPr>
        <w:t>Business Optimization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Initiative</w:t>
      </w:r>
      <w:r>
        <w:rPr>
          <w:rFonts w:ascii="Times New Roman" w:cs="Times New Roman" w:eastAsia="Times New Roman" w:hAnsi="Times New Roman"/>
          <w:sz w:val="20"/>
          <w:szCs w:val="20"/>
          <w:color w:val="auto"/>
        </w:rPr>
        <w:t xml:space="preserve">”), in each case, consummated or implemented prior to or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6" w:name="page47"/>
    <w:bookmarkEnd w:id="46"/>
    <w:p>
      <w:pPr>
        <w:jc w:val="both"/>
        <w:ind w:left="760" w:firstLine="49"/>
        <w:spacing w:after="0" w:line="243" w:lineRule="auto"/>
        <w:rPr>
          <w:sz w:val="20"/>
          <w:szCs w:val="20"/>
          <w:color w:val="auto"/>
        </w:rPr>
      </w:pPr>
      <w:r>
        <w:rPr>
          <w:rFonts w:ascii="Times New Roman" w:cs="Times New Roman" w:eastAsia="Times New Roman" w:hAnsi="Times New Roman"/>
          <w:sz w:val="20"/>
          <w:szCs w:val="20"/>
          <w:color w:val="auto"/>
        </w:rPr>
        <w:t xml:space="preserve">Date and (C) any Business Optimization Initiative consummated or implemented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relevant Business Optimization Initiative resulting in (or substantial steps toward the relevant Business Optimization Initiative that would result in) such Run-Rate Synergies (x) must either be taken or expected to be taken within 18 months following the applicable date of determination and (y) the amounts added back in any four Fiscal Quarter period in reliance on (1)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and (2) with respect to any Run Rate Synergies included in any Quality of Earnings Report, </w:t>
      </w:r>
      <w:r>
        <w:rPr>
          <w:rFonts w:ascii="Times New Roman" w:cs="Times New Roman" w:eastAsia="Times New Roman" w:hAnsi="Times New Roman"/>
          <w:sz w:val="20"/>
          <w:szCs w:val="20"/>
          <w:u w:val="single" w:color="auto"/>
          <w:color w:val="auto"/>
        </w:rPr>
        <w:t>clause (c)(xvi)(B)</w:t>
      </w:r>
      <w:r>
        <w:rPr>
          <w:rFonts w:ascii="Times New Roman" w:cs="Times New Roman" w:eastAsia="Times New Roman" w:hAnsi="Times New Roman"/>
          <w:sz w:val="20"/>
          <w:szCs w:val="20"/>
          <w:color w:val="auto"/>
        </w:rPr>
        <w:t xml:space="preserve"> above, in each case, shall not exceed 25% of the Consolidated Adjusted EBITDA (calculated after giving full effect to the adjustments contemplated by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(c)(xvi)(B)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such cap shall not apply to (x) any adjustment identified in the Financial Model (without regard to the amounts or time period therein), or (y) any amount relating to any pro forma adjustment consistent with Regulation S-X under the Securities Act; </w:t>
      </w:r>
      <w:r>
        <w:rPr>
          <w:rFonts w:ascii="Times New Roman" w:cs="Times New Roman" w:eastAsia="Times New Roman" w:hAnsi="Times New Roman"/>
          <w:sz w:val="20"/>
          <w:szCs w:val="20"/>
          <w:u w:val="single" w:color="auto"/>
          <w:color w:val="auto"/>
        </w:rPr>
        <w:t>plus</w:t>
      </w:r>
    </w:p>
    <w:p>
      <w:pPr>
        <w:spacing w:after="0" w:line="186" w:lineRule="exact"/>
        <w:rPr>
          <w:sz w:val="20"/>
          <w:szCs w:val="20"/>
          <w:color w:val="auto"/>
        </w:rPr>
      </w:pPr>
    </w:p>
    <w:p>
      <w:pPr>
        <w:jc w:val="both"/>
        <w:ind w:left="760" w:firstLine="745"/>
        <w:spacing w:after="0" w:line="254"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full “run rate” impact of Consolidated Adjusted EBITDA attributable to the bookings of new contracts for the next four Fiscal Quarters after the end of the of the relevant Test Period (calculated on a Pro Forma Basis as though such adjustments had been realized on the first day of the applicable period (net of actual amounts realized));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 calculating Consolidated Net Income for such period, any year over year increase in deferred revenue (if positive);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in calculating Consolidated Net Income, the amount of any distribution received by such Person from any Unrestricted Subsidiary;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minus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which, in the determination of Consolidated Net Income for such period, has been added for any non-cash income or non-cash gain, all as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cs="Times New Roman" w:eastAsia="Times New Roman" w:hAnsi="Times New Roman"/>
          <w:sz w:val="20"/>
          <w:szCs w:val="20"/>
          <w:u w:val="single" w:color="auto"/>
          <w:color w:val="auto"/>
        </w:rPr>
        <w:t>minus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cash payment made during such period in respect of any non-cash accrual, reserve or other non-cash Charge that (A) is accounted for in a prior period, (B) was added to Consolidated Net Income to determine Consolidated Adjusted EBITDA for such prior period and (C) does not otherwise reduce Consolidated Net Income for the current period; </w:t>
      </w:r>
      <w:r>
        <w:rPr>
          <w:rFonts w:ascii="Times New Roman" w:cs="Times New Roman" w:eastAsia="Times New Roman" w:hAnsi="Times New Roman"/>
          <w:sz w:val="20"/>
          <w:szCs w:val="20"/>
          <w:u w:val="single" w:color="auto"/>
          <w:color w:val="auto"/>
        </w:rPr>
        <w:t>minus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included in calculating Consolidated Net Income for such period, any year over year decrease in deferred revenue (if negative).</w:t>
      </w:r>
    </w:p>
    <w:p>
      <w:pPr>
        <w:spacing w:after="0" w:line="15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herein, it is agreed that for the purpose of calculating the First Lien Net Leverage Ratio, the Secured Net Leverage Ratio, the Total Net Leverage Ratio and/or the amount of any basket based on a percentage of Consolidated Adjusted EBITDA for any period that includes any Fiscal Quarter listed in the table set forth below, Consolidated Adjusted EBITDA for any Fiscal Quarter referenced in the table set forth below shall be the amount set forth opposite such Fiscal Quarter in the table set forth below, in each case as such amount may be adjusted on a Pro Forma Basis. It is understood and agreed for the avoidance of doubt that the “deemed” Consolidated Adjusted EBITDA numbers set forth below shall not reduce the amount available under any cap set forth in this definition of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tbl>
      <w:tblPr>
        <w:tblLayout w:type="fixed"/>
        <w:tblInd w:w="1590" w:type="dxa"/>
        <w:tblCellMar>
          <w:top w:w="0" w:type="dxa"/>
          <w:left w:w="0" w:type="dxa"/>
          <w:bottom w:w="0" w:type="dxa"/>
          <w:right w:w="0" w:type="dxa"/>
        </w:tblCellMar>
      </w:tblPr>
      <w:tr>
        <w:trPr>
          <w:trHeight w:val="260"/>
        </w:trPr>
        <w:tc>
          <w:tcPr>
            <w:tcW w:w="4360" w:type="dxa"/>
            <w:vAlign w:val="bottom"/>
            <w:tcBorders>
              <w:top w:val="single" w:sz="8" w:color="auto"/>
              <w:left w:val="single" w:sz="8" w:color="auto"/>
              <w:right w:val="single" w:sz="8" w:color="auto"/>
            </w:tcBorders>
            <w:gridSpan w:val="19"/>
            <w:shd w:val="clear" w:color="auto" w:fill="F2F2F2"/>
          </w:tcPr>
          <w:p>
            <w:pPr>
              <w:ind w:left="120"/>
              <w:spacing w:after="0"/>
              <w:rPr>
                <w:sz w:val="20"/>
                <w:szCs w:val="20"/>
                <w:color w:val="auto"/>
              </w:rPr>
            </w:pPr>
            <w:r>
              <w:rPr>
                <w:rFonts w:ascii="Times New Roman" w:cs="Times New Roman" w:eastAsia="Times New Roman" w:hAnsi="Times New Roman"/>
                <w:sz w:val="20"/>
                <w:szCs w:val="20"/>
                <w:color w:val="auto"/>
              </w:rPr>
              <w:t>Fiscal Quarter Ended</w:t>
            </w:r>
          </w:p>
        </w:tc>
        <w:tc>
          <w:tcPr>
            <w:tcW w:w="60" w:type="dxa"/>
            <w:vAlign w:val="bottom"/>
            <w:tcBorders>
              <w:top w:val="single" w:sz="8" w:color="auto"/>
            </w:tcBorders>
            <w:shd w:val="clear" w:color="auto" w:fill="F2F2F2"/>
          </w:tcPr>
          <w:p>
            <w:pPr>
              <w:spacing w:after="0"/>
              <w:rPr>
                <w:sz w:val="22"/>
                <w:szCs w:val="22"/>
                <w:color w:val="auto"/>
              </w:rPr>
            </w:pPr>
          </w:p>
        </w:tc>
        <w:tc>
          <w:tcPr>
            <w:tcW w:w="3680" w:type="dxa"/>
            <w:vAlign w:val="bottom"/>
            <w:tcBorders>
              <w:top w:val="single" w:sz="8" w:color="auto"/>
              <w:right w:val="single" w:sz="8" w:color="auto"/>
            </w:tcBorders>
            <w:gridSpan w:val="5"/>
            <w:shd w:val="clear" w:color="auto" w:fill="F2F2F2"/>
          </w:tcPr>
          <w:p>
            <w:pPr>
              <w:spacing w:after="0"/>
              <w:rPr>
                <w:sz w:val="20"/>
                <w:szCs w:val="20"/>
                <w:color w:val="auto"/>
              </w:rPr>
            </w:pPr>
            <w:r>
              <w:rPr>
                <w:rFonts w:ascii="Times New Roman" w:cs="Times New Roman" w:eastAsia="Times New Roman" w:hAnsi="Times New Roman"/>
                <w:sz w:val="20"/>
                <w:szCs w:val="20"/>
                <w:color w:val="auto"/>
              </w:rPr>
              <w:t>Consolidated Adjusted EBITDA</w:t>
            </w:r>
          </w:p>
        </w:tc>
      </w:tr>
      <w:tr>
        <w:trPr>
          <w:trHeight w:val="71"/>
        </w:trPr>
        <w:tc>
          <w:tcPr>
            <w:tcW w:w="120" w:type="dxa"/>
            <w:vAlign w:val="bottom"/>
            <w:tcBorders>
              <w:top w:val="single" w:sz="8" w:color="F2F2F2"/>
              <w:left w:val="single" w:sz="8" w:color="auto"/>
              <w:bottom w:val="single" w:sz="8" w:color="auto"/>
            </w:tcBorders>
            <w:shd w:val="clear" w:color="auto" w:fill="F2F2F2"/>
          </w:tcPr>
          <w:p>
            <w:pPr>
              <w:spacing w:after="0"/>
              <w:rPr>
                <w:sz w:val="6"/>
                <w:szCs w:val="6"/>
                <w:color w:val="auto"/>
              </w:rPr>
            </w:pPr>
          </w:p>
        </w:tc>
        <w:tc>
          <w:tcPr>
            <w:tcW w:w="360" w:type="dxa"/>
            <w:vAlign w:val="bottom"/>
            <w:tcBorders>
              <w:top w:val="single" w:sz="8" w:color="auto"/>
              <w:bottom w:val="single" w:sz="8" w:color="auto"/>
            </w:tcBorders>
            <w:shd w:val="clear" w:color="auto" w:fill="F2F2F2"/>
          </w:tcPr>
          <w:p>
            <w:pPr>
              <w:spacing w:after="0"/>
              <w:rPr>
                <w:sz w:val="6"/>
                <w:szCs w:val="6"/>
                <w:color w:val="auto"/>
              </w:rPr>
            </w:pPr>
          </w:p>
        </w:tc>
        <w:tc>
          <w:tcPr>
            <w:tcW w:w="400" w:type="dxa"/>
            <w:vAlign w:val="bottom"/>
            <w:tcBorders>
              <w:top w:val="single" w:sz="8" w:color="auto"/>
              <w:bottom w:val="single" w:sz="8" w:color="auto"/>
            </w:tcBorders>
            <w:shd w:val="clear" w:color="auto" w:fill="F2F2F2"/>
          </w:tcPr>
          <w:p>
            <w:pPr>
              <w:spacing w:after="0"/>
              <w:rPr>
                <w:sz w:val="6"/>
                <w:szCs w:val="6"/>
                <w:color w:val="auto"/>
              </w:rPr>
            </w:pPr>
          </w:p>
        </w:tc>
        <w:tc>
          <w:tcPr>
            <w:tcW w:w="60" w:type="dxa"/>
            <w:vAlign w:val="bottom"/>
            <w:tcBorders>
              <w:top w:val="single" w:sz="8" w:color="auto"/>
              <w:bottom w:val="single" w:sz="8" w:color="auto"/>
            </w:tcBorders>
            <w:shd w:val="clear" w:color="auto" w:fill="F2F2F2"/>
          </w:tcPr>
          <w:p>
            <w:pPr>
              <w:spacing w:after="0"/>
              <w:rPr>
                <w:sz w:val="6"/>
                <w:szCs w:val="6"/>
                <w:color w:val="auto"/>
              </w:rPr>
            </w:pPr>
          </w:p>
        </w:tc>
        <w:tc>
          <w:tcPr>
            <w:tcW w:w="380" w:type="dxa"/>
            <w:vAlign w:val="bottom"/>
            <w:tcBorders>
              <w:top w:val="single" w:sz="8" w:color="auto"/>
              <w:bottom w:val="single" w:sz="8" w:color="auto"/>
            </w:tcBorders>
            <w:shd w:val="clear" w:color="auto" w:fill="F2F2F2"/>
          </w:tcPr>
          <w:p>
            <w:pPr>
              <w:spacing w:after="0"/>
              <w:rPr>
                <w:sz w:val="6"/>
                <w:szCs w:val="6"/>
                <w:color w:val="auto"/>
              </w:rPr>
            </w:pPr>
          </w:p>
        </w:tc>
        <w:tc>
          <w:tcPr>
            <w:tcW w:w="120" w:type="dxa"/>
            <w:vAlign w:val="bottom"/>
            <w:tcBorders>
              <w:top w:val="single" w:sz="8" w:color="auto"/>
              <w:bottom w:val="single" w:sz="8" w:color="auto"/>
            </w:tcBorders>
            <w:shd w:val="clear" w:color="auto" w:fill="F2F2F2"/>
          </w:tcPr>
          <w:p>
            <w:pPr>
              <w:spacing w:after="0"/>
              <w:rPr>
                <w:sz w:val="6"/>
                <w:szCs w:val="6"/>
                <w:color w:val="auto"/>
              </w:rPr>
            </w:pPr>
          </w:p>
        </w:tc>
        <w:tc>
          <w:tcPr>
            <w:tcW w:w="60" w:type="dxa"/>
            <w:vAlign w:val="bottom"/>
            <w:tcBorders>
              <w:top w:val="single" w:sz="8" w:color="auto"/>
              <w:bottom w:val="single" w:sz="8" w:color="auto"/>
            </w:tcBorders>
            <w:shd w:val="clear" w:color="auto" w:fill="F2F2F2"/>
          </w:tcPr>
          <w:p>
            <w:pPr>
              <w:spacing w:after="0"/>
              <w:rPr>
                <w:sz w:val="6"/>
                <w:szCs w:val="6"/>
                <w:color w:val="auto"/>
              </w:rPr>
            </w:pPr>
          </w:p>
        </w:tc>
        <w:tc>
          <w:tcPr>
            <w:tcW w:w="100" w:type="dxa"/>
            <w:vAlign w:val="bottom"/>
            <w:tcBorders>
              <w:top w:val="single" w:sz="8" w:color="auto"/>
              <w:bottom w:val="single" w:sz="8" w:color="auto"/>
            </w:tcBorders>
            <w:shd w:val="clear" w:color="auto" w:fill="F2F2F2"/>
          </w:tcPr>
          <w:p>
            <w:pPr>
              <w:spacing w:after="0"/>
              <w:rPr>
                <w:sz w:val="6"/>
                <w:szCs w:val="6"/>
                <w:color w:val="auto"/>
              </w:rPr>
            </w:pPr>
          </w:p>
        </w:tc>
        <w:tc>
          <w:tcPr>
            <w:tcW w:w="80" w:type="dxa"/>
            <w:vAlign w:val="bottom"/>
            <w:tcBorders>
              <w:top w:val="single" w:sz="8" w:color="auto"/>
              <w:bottom w:val="single" w:sz="8" w:color="auto"/>
            </w:tcBorders>
            <w:shd w:val="clear" w:color="auto" w:fill="F2F2F2"/>
          </w:tcPr>
          <w:p>
            <w:pPr>
              <w:spacing w:after="0"/>
              <w:rPr>
                <w:sz w:val="6"/>
                <w:szCs w:val="6"/>
                <w:color w:val="auto"/>
              </w:rPr>
            </w:pPr>
          </w:p>
        </w:tc>
        <w:tc>
          <w:tcPr>
            <w:tcW w:w="20" w:type="dxa"/>
            <w:vAlign w:val="bottom"/>
            <w:tcBorders>
              <w:top w:val="single" w:sz="8" w:color="auto"/>
              <w:bottom w:val="single" w:sz="8" w:color="auto"/>
            </w:tcBorders>
            <w:shd w:val="clear" w:color="auto" w:fill="F2F2F2"/>
          </w:tcPr>
          <w:p>
            <w:pPr>
              <w:spacing w:after="0"/>
              <w:rPr>
                <w:sz w:val="6"/>
                <w:szCs w:val="6"/>
                <w:color w:val="auto"/>
              </w:rPr>
            </w:pPr>
          </w:p>
        </w:tc>
        <w:tc>
          <w:tcPr>
            <w:tcW w:w="100" w:type="dxa"/>
            <w:vAlign w:val="bottom"/>
            <w:tcBorders>
              <w:top w:val="single" w:sz="8" w:color="auto"/>
              <w:bottom w:val="single" w:sz="8" w:color="auto"/>
            </w:tcBorders>
            <w:shd w:val="clear" w:color="auto" w:fill="F2F2F2"/>
          </w:tcPr>
          <w:p>
            <w:pPr>
              <w:spacing w:after="0"/>
              <w:rPr>
                <w:sz w:val="6"/>
                <w:szCs w:val="6"/>
                <w:color w:val="auto"/>
              </w:rPr>
            </w:pPr>
          </w:p>
        </w:tc>
        <w:tc>
          <w:tcPr>
            <w:tcW w:w="180" w:type="dxa"/>
            <w:vAlign w:val="bottom"/>
            <w:tcBorders>
              <w:top w:val="single" w:sz="8" w:color="F2F2F2"/>
              <w:bottom w:val="single" w:sz="8" w:color="auto"/>
            </w:tcBorders>
            <w:shd w:val="clear" w:color="auto" w:fill="F2F2F2"/>
          </w:tcPr>
          <w:p>
            <w:pPr>
              <w:spacing w:after="0"/>
              <w:rPr>
                <w:sz w:val="6"/>
                <w:szCs w:val="6"/>
                <w:color w:val="auto"/>
              </w:rPr>
            </w:pPr>
          </w:p>
        </w:tc>
        <w:tc>
          <w:tcPr>
            <w:tcW w:w="80" w:type="dxa"/>
            <w:vAlign w:val="bottom"/>
            <w:tcBorders>
              <w:top w:val="single" w:sz="8" w:color="F2F2F2"/>
              <w:bottom w:val="single" w:sz="8" w:color="auto"/>
            </w:tcBorders>
            <w:shd w:val="clear" w:color="auto" w:fill="F2F2F2"/>
          </w:tcPr>
          <w:p>
            <w:pPr>
              <w:spacing w:after="0"/>
              <w:rPr>
                <w:sz w:val="6"/>
                <w:szCs w:val="6"/>
                <w:color w:val="auto"/>
              </w:rPr>
            </w:pPr>
          </w:p>
        </w:tc>
        <w:tc>
          <w:tcPr>
            <w:tcW w:w="120" w:type="dxa"/>
            <w:vAlign w:val="bottom"/>
            <w:tcBorders>
              <w:top w:val="single" w:sz="8" w:color="F2F2F2"/>
              <w:bottom w:val="single" w:sz="8" w:color="auto"/>
            </w:tcBorders>
            <w:shd w:val="clear" w:color="auto" w:fill="F2F2F2"/>
          </w:tcPr>
          <w:p>
            <w:pPr>
              <w:spacing w:after="0"/>
              <w:rPr>
                <w:sz w:val="6"/>
                <w:szCs w:val="6"/>
                <w:color w:val="auto"/>
              </w:rPr>
            </w:pPr>
          </w:p>
        </w:tc>
        <w:tc>
          <w:tcPr>
            <w:tcW w:w="200" w:type="dxa"/>
            <w:vAlign w:val="bottom"/>
            <w:tcBorders>
              <w:top w:val="single" w:sz="8" w:color="F2F2F2"/>
              <w:bottom w:val="single" w:sz="8" w:color="auto"/>
            </w:tcBorders>
            <w:shd w:val="clear" w:color="auto" w:fill="F2F2F2"/>
          </w:tcPr>
          <w:p>
            <w:pPr>
              <w:spacing w:after="0"/>
              <w:rPr>
                <w:sz w:val="6"/>
                <w:szCs w:val="6"/>
                <w:color w:val="auto"/>
              </w:rPr>
            </w:pPr>
          </w:p>
        </w:tc>
        <w:tc>
          <w:tcPr>
            <w:tcW w:w="80" w:type="dxa"/>
            <w:vAlign w:val="bottom"/>
            <w:tcBorders>
              <w:top w:val="single" w:sz="8" w:color="F2F2F2"/>
              <w:bottom w:val="single" w:sz="8" w:color="auto"/>
            </w:tcBorders>
            <w:shd w:val="clear" w:color="auto" w:fill="F2F2F2"/>
          </w:tcPr>
          <w:p>
            <w:pPr>
              <w:spacing w:after="0"/>
              <w:rPr>
                <w:sz w:val="6"/>
                <w:szCs w:val="6"/>
                <w:color w:val="auto"/>
              </w:rPr>
            </w:pPr>
          </w:p>
        </w:tc>
        <w:tc>
          <w:tcPr>
            <w:tcW w:w="120" w:type="dxa"/>
            <w:vAlign w:val="bottom"/>
            <w:tcBorders>
              <w:top w:val="single" w:sz="8" w:color="F2F2F2"/>
              <w:bottom w:val="single" w:sz="8" w:color="auto"/>
            </w:tcBorders>
            <w:shd w:val="clear" w:color="auto" w:fill="F2F2F2"/>
          </w:tcPr>
          <w:p>
            <w:pPr>
              <w:spacing w:after="0"/>
              <w:rPr>
                <w:sz w:val="6"/>
                <w:szCs w:val="6"/>
                <w:color w:val="auto"/>
              </w:rPr>
            </w:pPr>
          </w:p>
        </w:tc>
        <w:tc>
          <w:tcPr>
            <w:tcW w:w="680" w:type="dxa"/>
            <w:vAlign w:val="bottom"/>
            <w:tcBorders>
              <w:top w:val="single" w:sz="8" w:color="F2F2F2"/>
              <w:bottom w:val="single" w:sz="8" w:color="auto"/>
            </w:tcBorders>
            <w:shd w:val="clear" w:color="auto" w:fill="F2F2F2"/>
          </w:tcPr>
          <w:p>
            <w:pPr>
              <w:spacing w:after="0"/>
              <w:rPr>
                <w:sz w:val="6"/>
                <w:szCs w:val="6"/>
                <w:color w:val="auto"/>
              </w:rPr>
            </w:pPr>
          </w:p>
        </w:tc>
        <w:tc>
          <w:tcPr>
            <w:tcW w:w="1100" w:type="dxa"/>
            <w:vAlign w:val="bottom"/>
            <w:tcBorders>
              <w:top w:val="single" w:sz="8" w:color="F2F2F2"/>
              <w:bottom w:val="single" w:sz="8" w:color="auto"/>
              <w:right w:val="single" w:sz="8" w:color="auto"/>
            </w:tcBorders>
            <w:shd w:val="clear" w:color="auto" w:fill="F2F2F2"/>
          </w:tcPr>
          <w:p>
            <w:pPr>
              <w:spacing w:after="0"/>
              <w:rPr>
                <w:sz w:val="6"/>
                <w:szCs w:val="6"/>
                <w:color w:val="auto"/>
              </w:rPr>
            </w:pPr>
          </w:p>
        </w:tc>
        <w:tc>
          <w:tcPr>
            <w:tcW w:w="60" w:type="dxa"/>
            <w:vAlign w:val="bottom"/>
            <w:tcBorders>
              <w:top w:val="single" w:sz="8" w:color="F2F2F2"/>
              <w:bottom w:val="single" w:sz="8" w:color="auto"/>
            </w:tcBorders>
            <w:shd w:val="clear" w:color="auto" w:fill="F2F2F2"/>
          </w:tcPr>
          <w:p>
            <w:pPr>
              <w:spacing w:after="0"/>
              <w:rPr>
                <w:sz w:val="6"/>
                <w:szCs w:val="6"/>
                <w:color w:val="auto"/>
              </w:rPr>
            </w:pPr>
          </w:p>
        </w:tc>
        <w:tc>
          <w:tcPr>
            <w:tcW w:w="940" w:type="dxa"/>
            <w:vAlign w:val="bottom"/>
            <w:tcBorders>
              <w:top w:val="single" w:sz="8" w:color="auto"/>
              <w:bottom w:val="single" w:sz="8" w:color="auto"/>
            </w:tcBorders>
            <w:shd w:val="clear" w:color="auto" w:fill="F2F2F2"/>
          </w:tcPr>
          <w:p>
            <w:pPr>
              <w:spacing w:after="0"/>
              <w:rPr>
                <w:sz w:val="6"/>
                <w:szCs w:val="6"/>
                <w:color w:val="auto"/>
              </w:rPr>
            </w:pPr>
          </w:p>
        </w:tc>
        <w:tc>
          <w:tcPr>
            <w:tcW w:w="880" w:type="dxa"/>
            <w:vAlign w:val="bottom"/>
            <w:tcBorders>
              <w:top w:val="single" w:sz="8" w:color="auto"/>
              <w:bottom w:val="single" w:sz="8" w:color="auto"/>
            </w:tcBorders>
            <w:shd w:val="clear" w:color="auto" w:fill="F2F2F2"/>
          </w:tcPr>
          <w:p>
            <w:pPr>
              <w:spacing w:after="0"/>
              <w:rPr>
                <w:sz w:val="6"/>
                <w:szCs w:val="6"/>
                <w:color w:val="auto"/>
              </w:rPr>
            </w:pPr>
          </w:p>
        </w:tc>
        <w:tc>
          <w:tcPr>
            <w:tcW w:w="760" w:type="dxa"/>
            <w:vAlign w:val="bottom"/>
            <w:tcBorders>
              <w:top w:val="single" w:sz="8" w:color="auto"/>
              <w:bottom w:val="single" w:sz="8" w:color="auto"/>
            </w:tcBorders>
            <w:shd w:val="clear" w:color="auto" w:fill="F2F2F2"/>
          </w:tcPr>
          <w:p>
            <w:pPr>
              <w:spacing w:after="0"/>
              <w:rPr>
                <w:sz w:val="6"/>
                <w:szCs w:val="6"/>
                <w:color w:val="auto"/>
              </w:rPr>
            </w:pPr>
          </w:p>
        </w:tc>
        <w:tc>
          <w:tcPr>
            <w:tcW w:w="140" w:type="dxa"/>
            <w:vAlign w:val="bottom"/>
            <w:tcBorders>
              <w:top w:val="single" w:sz="8" w:color="F2F2F2"/>
              <w:bottom w:val="single" w:sz="8" w:color="auto"/>
            </w:tcBorders>
            <w:shd w:val="clear" w:color="auto" w:fill="F2F2F2"/>
          </w:tcPr>
          <w:p>
            <w:pPr>
              <w:spacing w:after="0"/>
              <w:rPr>
                <w:sz w:val="6"/>
                <w:szCs w:val="6"/>
                <w:color w:val="auto"/>
              </w:rPr>
            </w:pPr>
          </w:p>
        </w:tc>
        <w:tc>
          <w:tcPr>
            <w:tcW w:w="960" w:type="dxa"/>
            <w:vAlign w:val="bottom"/>
            <w:tcBorders>
              <w:top w:val="single" w:sz="8" w:color="F2F2F2"/>
              <w:bottom w:val="single" w:sz="8" w:color="auto"/>
              <w:right w:val="single" w:sz="8" w:color="auto"/>
            </w:tcBorders>
            <w:shd w:val="clear" w:color="auto" w:fill="F2F2F2"/>
          </w:tcPr>
          <w:p>
            <w:pPr>
              <w:spacing w:after="0"/>
              <w:rPr>
                <w:sz w:val="6"/>
                <w:szCs w:val="6"/>
                <w:color w:val="auto"/>
              </w:rPr>
            </w:pPr>
          </w:p>
        </w:tc>
      </w:tr>
      <w:tr>
        <w:trPr>
          <w:trHeight w:val="240"/>
        </w:trPr>
        <w:tc>
          <w:tcPr>
            <w:tcW w:w="120" w:type="dxa"/>
            <w:vAlign w:val="bottom"/>
            <w:tcBorders>
              <w:left w:val="single" w:sz="8" w:color="auto"/>
            </w:tcBorders>
          </w:tcPr>
          <w:p>
            <w:pPr>
              <w:spacing w:after="0"/>
              <w:rPr>
                <w:sz w:val="20"/>
                <w:szCs w:val="20"/>
                <w:color w:val="auto"/>
              </w:rPr>
            </w:pPr>
          </w:p>
        </w:tc>
        <w:tc>
          <w:tcPr>
            <w:tcW w:w="1580" w:type="dxa"/>
            <w:vAlign w:val="bottom"/>
            <w:gridSpan w:val="9"/>
          </w:tcPr>
          <w:p>
            <w:pPr>
              <w:spacing w:after="0"/>
              <w:rPr>
                <w:sz w:val="20"/>
                <w:szCs w:val="20"/>
                <w:color w:val="auto"/>
              </w:rPr>
            </w:pPr>
            <w:r>
              <w:rPr>
                <w:rFonts w:ascii="Times New Roman" w:cs="Times New Roman" w:eastAsia="Times New Roman" w:hAnsi="Times New Roman"/>
                <w:sz w:val="20"/>
                <w:szCs w:val="20"/>
                <w:color w:val="FF0000"/>
                <w:strike w:val="1"/>
                <w:w w:val="97"/>
              </w:rPr>
              <w:t>September 30, 2020</w:t>
            </w:r>
          </w:p>
        </w:tc>
        <w:tc>
          <w:tcPr>
            <w:tcW w:w="26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0000FF"/>
              </w:rPr>
              <w:t>December 31, 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5"/>
              </w:rPr>
              <w:t>15,767,000</w:t>
            </w:r>
          </w:p>
        </w:tc>
        <w:tc>
          <w:tcPr>
            <w:tcW w:w="1860" w:type="dxa"/>
            <w:vAlign w:val="bottom"/>
            <w:tcBorders>
              <w:right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20"/>
                <w:szCs w:val="20"/>
                <w:color w:val="0000FF"/>
                <w:w w:val="97"/>
              </w:rPr>
              <w:t>46,741,225</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18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680" w:type="dxa"/>
            <w:vAlign w:val="bottom"/>
            <w:tcBorders>
              <w:top w:val="single" w:sz="8" w:color="0000FF"/>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r>
      <w:tr>
        <w:trPr>
          <w:trHeight w:val="237"/>
        </w:trPr>
        <w:tc>
          <w:tcPr>
            <w:tcW w:w="120" w:type="dxa"/>
            <w:vAlign w:val="bottom"/>
            <w:tcBorders>
              <w:left w:val="single" w:sz="8" w:color="auto"/>
            </w:tcBorders>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7"/>
              </w:rPr>
              <w:t>December</w:t>
            </w:r>
          </w:p>
        </w:tc>
        <w:tc>
          <w:tcPr>
            <w:tcW w:w="8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March </w:t>
            </w:r>
            <w:r>
              <w:rPr>
                <w:rFonts w:ascii="Times New Roman" w:cs="Times New Roman" w:eastAsia="Times New Roman" w:hAnsi="Times New Roman"/>
                <w:sz w:val="20"/>
                <w:szCs w:val="20"/>
                <w:color w:val="000000"/>
              </w:rPr>
              <w:t>31,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9"/>
              </w:rPr>
              <w:t>2020</w:t>
            </w:r>
          </w:p>
        </w:tc>
        <w:tc>
          <w:tcPr>
            <w:tcW w:w="2180" w:type="dxa"/>
            <w:vAlign w:val="bottom"/>
            <w:tcBorders>
              <w:right w:val="single" w:sz="8" w:color="auto"/>
            </w:tcBorders>
            <w:gridSpan w:val="5"/>
          </w:tcPr>
          <w:p>
            <w:pPr>
              <w:jc w:val="right"/>
              <w:ind w:right="1780"/>
              <w:spacing w:after="0"/>
              <w:rPr>
                <w:sz w:val="20"/>
                <w:szCs w:val="20"/>
                <w:color w:val="auto"/>
              </w:rPr>
            </w:pPr>
            <w:r>
              <w:rPr>
                <w:rFonts w:ascii="Times New Roman" w:cs="Times New Roman" w:eastAsia="Times New Roman" w:hAnsi="Times New Roman"/>
                <w:sz w:val="20"/>
                <w:szCs w:val="20"/>
                <w:color w:val="0000FF"/>
                <w:w w:val="94"/>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5"/>
              </w:rPr>
              <w:t>29,857,000</w:t>
            </w:r>
          </w:p>
        </w:tc>
        <w:tc>
          <w:tcPr>
            <w:tcW w:w="1860" w:type="dxa"/>
            <w:vAlign w:val="bottom"/>
            <w:tcBorders>
              <w:right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20"/>
                <w:szCs w:val="20"/>
                <w:color w:val="0000FF"/>
                <w:w w:val="97"/>
              </w:rPr>
              <w:t>28,506,468</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r>
      <w:tr>
        <w:trPr>
          <w:trHeight w:val="237"/>
        </w:trPr>
        <w:tc>
          <w:tcPr>
            <w:tcW w:w="120" w:type="dxa"/>
            <w:vAlign w:val="bottom"/>
            <w:tcBorders>
              <w:left w:val="single" w:sz="8" w:color="auto"/>
            </w:tcBorders>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95"/>
              </w:rPr>
              <w:t>March 31</w:t>
            </w:r>
          </w:p>
        </w:tc>
        <w:tc>
          <w:tcPr>
            <w:tcW w:w="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June 30</w:t>
            </w:r>
            <w:r>
              <w:rPr>
                <w:rFonts w:ascii="Times New Roman" w:cs="Times New Roman" w:eastAsia="Times New Roman" w:hAnsi="Times New Roman"/>
                <w:sz w:val="20"/>
                <w:szCs w:val="20"/>
                <w:color w:val="000000"/>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89"/>
              </w:rPr>
              <w:t>2021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w w:val="94"/>
              </w:rPr>
              <w:t>2024</w:t>
            </w:r>
          </w:p>
        </w:tc>
        <w:tc>
          <w:tcPr>
            <w:tcW w:w="80" w:type="dxa"/>
            <w:vAlign w:val="bottom"/>
          </w:tcPr>
          <w:p>
            <w:pPr>
              <w:spacing w:after="0"/>
              <w:rPr>
                <w:sz w:val="20"/>
                <w:szCs w:val="20"/>
                <w:color w:val="auto"/>
              </w:rPr>
            </w:pPr>
          </w:p>
        </w:tc>
        <w:tc>
          <w:tcPr>
            <w:tcW w:w="1900" w:type="dxa"/>
            <w:vAlign w:val="bottom"/>
            <w:tcBorders>
              <w:right w:val="single" w:sz="8" w:color="auto"/>
            </w:tcBorders>
            <w:gridSpan w:val="3"/>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5"/>
              </w:rPr>
              <w:t>23,849,000</w:t>
            </w:r>
          </w:p>
        </w:tc>
        <w:tc>
          <w:tcPr>
            <w:tcW w:w="1860" w:type="dxa"/>
            <w:vAlign w:val="bottom"/>
            <w:tcBorders>
              <w:right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20"/>
                <w:szCs w:val="20"/>
                <w:color w:val="0000FF"/>
                <w:w w:val="97"/>
              </w:rPr>
              <w:t>16,586,109</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3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r>
      <w:tr>
        <w:trPr>
          <w:trHeight w:val="237"/>
        </w:trPr>
        <w:tc>
          <w:tcPr>
            <w:tcW w:w="1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92"/>
              </w:rPr>
              <w:t>June</w:t>
            </w:r>
          </w:p>
        </w:tc>
        <w:tc>
          <w:tcPr>
            <w:tcW w:w="1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September </w:t>
            </w:r>
            <w:r>
              <w:rPr>
                <w:rFonts w:ascii="Times New Roman" w:cs="Times New Roman" w:eastAsia="Times New Roman" w:hAnsi="Times New Roman"/>
                <w:sz w:val="20"/>
                <w:szCs w:val="20"/>
                <w:color w:val="000000"/>
              </w:rPr>
              <w:t>30,</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89"/>
              </w:rPr>
              <w:t>2021</w:t>
            </w:r>
          </w:p>
        </w:tc>
        <w:tc>
          <w:tcPr>
            <w:tcW w:w="2300" w:type="dxa"/>
            <w:vAlign w:val="bottom"/>
            <w:tcBorders>
              <w:right w:val="single" w:sz="8" w:color="auto"/>
            </w:tcBorders>
            <w:gridSpan w:val="6"/>
          </w:tcPr>
          <w:p>
            <w:pPr>
              <w:jc w:val="right"/>
              <w:ind w:right="1900"/>
              <w:spacing w:after="0"/>
              <w:rPr>
                <w:sz w:val="20"/>
                <w:szCs w:val="20"/>
                <w:color w:val="auto"/>
              </w:rPr>
            </w:pPr>
            <w:r>
              <w:rPr>
                <w:rFonts w:ascii="Times New Roman" w:cs="Times New Roman" w:eastAsia="Times New Roman" w:hAnsi="Times New Roman"/>
                <w:sz w:val="20"/>
                <w:szCs w:val="20"/>
                <w:color w:val="0000FF"/>
                <w:w w:val="94"/>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5"/>
              </w:rPr>
              <w:t>11,771,000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w w:val="97"/>
              </w:rPr>
              <w:t>14,768,779</w:t>
            </w:r>
          </w:p>
        </w:tc>
        <w:tc>
          <w:tcPr>
            <w:tcW w:w="960" w:type="dxa"/>
            <w:vAlign w:val="bottom"/>
            <w:tcBorders>
              <w:right w:val="single" w:sz="8" w:color="auto"/>
            </w:tcBorders>
          </w:tcPr>
          <w:p>
            <w:pPr>
              <w:spacing w:after="0"/>
              <w:rPr>
                <w:sz w:val="20"/>
                <w:szCs w:val="20"/>
                <w:color w:val="auto"/>
              </w:rPr>
            </w:pP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380" w:type="dxa"/>
            <w:vAlign w:val="bottom"/>
            <w:tcBorders>
              <w:top w:val="single" w:sz="8" w:color="0000FF"/>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r>
    </w:tbl>
    <w:p>
      <w:pPr>
        <w:spacing w:after="0" w:line="207"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First Lien Debt</w:t>
      </w:r>
      <w:r>
        <w:rPr>
          <w:rFonts w:ascii="Times New Roman" w:cs="Times New Roman" w:eastAsia="Times New Roman" w:hAnsi="Times New Roman"/>
          <w:sz w:val="20"/>
          <w:szCs w:val="20"/>
          <w:color w:val="auto"/>
        </w:rPr>
        <w:t xml:space="preserve">” means, as to any Person </w:t>
      </w:r>
      <w:r>
        <w:rPr>
          <w:rFonts w:ascii="Times New Roman" w:cs="Times New Roman" w:eastAsia="Times New Roman" w:hAnsi="Times New Roman"/>
          <w:sz w:val="20"/>
          <w:szCs w:val="20"/>
          <w:color w:val="FF0000"/>
          <w:strike w:val="1"/>
        </w:rPr>
        <w:t>at</w:t>
      </w:r>
      <w:r>
        <w:rPr>
          <w:rFonts w:ascii="Times New Roman" w:cs="Times New Roman" w:eastAsia="Times New Roman" w:hAnsi="Times New Roman"/>
          <w:sz w:val="20"/>
          <w:szCs w:val="20"/>
          <w:u w:val="single" w:color="auto"/>
          <w:color w:val="0000FF"/>
        </w:rPr>
        <w:t>on</w:t>
      </w:r>
      <w:r>
        <w:rPr>
          <w:rFonts w:ascii="Times New Roman" w:cs="Times New Roman" w:eastAsia="Times New Roman" w:hAnsi="Times New Roman"/>
          <w:sz w:val="20"/>
          <w:szCs w:val="20"/>
          <w:color w:val="auto"/>
        </w:rPr>
        <w:t xml:space="preserve"> any date of determination, the aggregate principal amount of Consolidated Total Debt outstanding on such date that is secured by a Lien on substantially all of the Collateral and that constitutes First Lien Debt.</w:t>
      </w:r>
    </w:p>
    <w:p>
      <w:pPr>
        <w:spacing w:after="0" w:line="174"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to the extent not otherwise included in consolidated total interest expense, customary commissions, discounts, yield and other fees and charges (including interest expense) relating to any Receivables Facility and any cost associated with any surety bond in connection with financing activities (whether amortized or immediately expensed))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any cash dividend paid or payable in respect of Disqualified Capital Stock during such period other than to such Person or any Restricted Subsidiary,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19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in respect of any period and as determined for any Person (the “</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on a consolidated basis, an amount equal to the sum of net income, determined in accordance with GAAP, but excluding:</w:t>
      </w:r>
    </w:p>
    <w:p>
      <w:pPr>
        <w:spacing w:after="0" w:line="159" w:lineRule="exact"/>
        <w:rPr>
          <w:sz w:val="20"/>
          <w:szCs w:val="20"/>
          <w:color w:val="auto"/>
        </w:rPr>
      </w:pPr>
    </w:p>
    <w:p>
      <w:pPr>
        <w:jc w:val="both"/>
        <w:ind w:left="760" w:firstLine="745"/>
        <w:spacing w:after="0" w:line="243"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income of any Person (other than the Subject Person or a Restricted Subsidiary of the Subject Person) in which any other Person (other than the Subject Person or any Restricted Subsidiary of the Subject Person) has a joint interest, except to the extent of the amount of dividends, distributions or other payments (including any ordinary course dividend, distribution or other payment) paid in cash (or to the extent converted into cash) to the Subject Person or any of its Restricted Subsidiaries by such Person during such period and (ii) the loss of any Person (other than the Subject Person or a Restricted Subsidiary of the Subject Person (or a Person who, if a subsidiary of the Subject Person, would be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8" w:name="page49"/>
    <w:bookmarkEnd w:id="48"/>
    <w:p>
      <w:pPr>
        <w:ind w:left="-360" w:right="60" w:firstLine="745"/>
        <w:spacing w:after="0" w:line="269"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Charge attributable to any asset Dispositions (including asset retirement costs and including any abandonment of assets) or of returned surplus assets outside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Charge from (A) any extraordinary item (as determined in good faith by such Person) and/or (B) any unusual, non-recurring, infrequent and/or exceptional item (as determined in good faith by such Person) and/or (ii) any Charge attributable to and/or payment of any legal settlement, fine, judgment or order;</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 or Charge with respect to, or in connection with, (i) any disposed, abandoned, divested and/or discontinued asset, property or operation (other than, at the option of such Person, any gain or Charge relating to any asset, property or operation held for sale or pending the divestiture and/or termination thereof), (ii) any disposal, abandonment, divestiture and/or discontinuation of any asset, property or operation outside the ordinary course of business (including any asset retirement cost) (other than, at the option of such Person, any gain or Charge relating to assets or properties held for sale or pending the divestiture or termination thereof) and/or (iii) any facility that has been closed during such period;</w:t>
      </w:r>
    </w:p>
    <w:p>
      <w:pPr>
        <w:spacing w:after="0" w:line="184" w:lineRule="exact"/>
        <w:rPr>
          <w:rFonts w:ascii="Times New Roman" w:cs="Times New Roman" w:eastAsia="Times New Roman" w:hAnsi="Times New Roman"/>
          <w:sz w:val="20"/>
          <w:szCs w:val="20"/>
          <w:color w:val="auto"/>
        </w:rPr>
      </w:pPr>
    </w:p>
    <w:p>
      <w:pPr>
        <w:ind w:left="-360" w:right="40" w:firstLine="745"/>
        <w:spacing w:after="0" w:line="269"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write-off or amortization made of any deferred financing cost and/or premium paid and (ii) any Charge attributable to the early extinguishment of Indebtedness (and the termination of any associated Hedge Agreement);</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to the extent that any such Charge is a cash charge, such Charge shall only be excluded to the extent the same is funded with net cash proceeds contributed to relevant Person as a capital contribution or as a result of the sale or issuance of Qualified Capital Stock;</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 (iii) as a result of any change in, or the adoption or modification of, accounting principles and/or policies in accordance with GAAP;</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assets,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Investment or the amortization or write-off of any amount thereof, and (ii) the cumulative effect of changes (effected through cumulative effect adjustment or retroactive application) in, and/or any change resulting from the adoption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9" w:name="page50"/>
    <w:bookmarkEnd w:id="49"/>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modification of, accounting principles or policies made in such period in accordance with GAAP which affect Consolidated Net Income (except that, if such Person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spacing w:after="0" w:line="180" w:lineRule="exact"/>
        <w:rPr>
          <w:sz w:val="20"/>
          <w:szCs w:val="20"/>
          <w:color w:val="auto"/>
        </w:rPr>
      </w:pPr>
    </w:p>
    <w:p>
      <w:pPr>
        <w:ind w:left="1900" w:hanging="395"/>
        <w:spacing w:after="0"/>
        <w:tabs>
          <w:tab w:leader="none" w:pos="19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190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realized or unrealized gain and/or loss in the fair market value of (A) any obligation under any Hedge Agreement as determined in accordance with GAAP and/or (B) any other derivative instrument pursuant to,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Financial Accounting Standards Board’s Accounting Standards Codification No. 815-Derivatives and Hedging, and/or</w:t>
      </w:r>
    </w:p>
    <w:p>
      <w:pPr>
        <w:jc w:val="both"/>
        <w:ind w:left="760" w:hanging="3"/>
        <w:spacing w:after="0" w:line="257" w:lineRule="auto"/>
        <w:tabs>
          <w:tab w:leader="none" w:pos="107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realized or unrealized foreign currency translation or transaction gain or loss (including any currency re-measurement of Indebtedness, any net gain or loss resulting from Hedge Agreements for currency exchange risk associated with the foregoing or any other currency related risk and any gain or loss resulting from any intercompany Indebtedness, any foreign currency translation or transaction or any other currency-related risk);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notwithstanding anything to the contrary herein, any realized gain or loss in respect of any Designated Operational FX Hedge shall be included in the calculation of Consolidated Net Income;</w:t>
      </w:r>
    </w:p>
    <w:p>
      <w:pPr>
        <w:spacing w:after="0" w:line="171" w:lineRule="exact"/>
        <w:rPr>
          <w:rFonts w:ascii="Times New Roman" w:cs="Times New Roman" w:eastAsia="Times New Roman" w:hAnsi="Times New Roman"/>
          <w:sz w:val="19"/>
          <w:szCs w:val="19"/>
          <w:color w:val="auto"/>
        </w:rPr>
      </w:pPr>
    </w:p>
    <w:p>
      <w:pPr>
        <w:ind w:left="760" w:right="60" w:firstLine="745"/>
        <w:spacing w:after="0" w:line="269"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deferred Tax expense associated with any tax deduction or net operating loss arising as a result of the Transactions, or the release of any valuation allowance related to any such item;</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(and, with respect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cash) Charge (including any implementation Charge) (other than any write-down of current assets) (including non-cash compensation expense and any amount representing any non-cash adjustment) required by the application of (i) FASB Statement No. 144, (ii) FASB Statement No. 141R, (iii) FASB Statement No. 142 and (iv) Accounting Standards Update No. 2014-09,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or non-cash Charge required by the application of FASB Statement No. 141R to be expensed by such Person and/or any Restricted Subsidiary during the applicable period; and</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one-time cumulative effect adjustment resulting from any change in accounting for revenue required by Accounting Standards Codification 606 or its replacement and/or (ii) any Charge incurred in connection with the implementation of Accounting Standards Codification 606.</w:t>
      </w:r>
    </w:p>
    <w:p>
      <w:pPr>
        <w:spacing w:after="0" w:line="174"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Debt</w:t>
      </w:r>
      <w:r>
        <w:rPr>
          <w:rFonts w:ascii="Times New Roman" w:cs="Times New Roman" w:eastAsia="Times New Roman" w:hAnsi="Times New Roman"/>
          <w:sz w:val="20"/>
          <w:szCs w:val="20"/>
          <w:color w:val="auto"/>
        </w:rPr>
        <w:t>” means, as to any Person at any date of determination, the aggregate principal amount of Consolidated Total Debt outstanding on such date that is secured by a Lien on substantially all of the Collateral.</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all amounts that would, in conformity with GAAP, be set forth opposite the caption “total assets” (or any like caption) on a consolidated balance sheet of the applicable Person at such date.</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means, as to any Person at any date of determination, (x) the aggregate outstanding principal amount of all third party debt for borrowed money (including LC Disbursements that have not been reimbursed within three Business Days and excluding, for the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of doubt, undrawn letters of credit), (y) to extent constituting Indebtedness, obligations in respect of Capital Leases and (z) the aggregate outstanding principal amount of all purchase money Indebtedness, in each case, as such amount may be adjusted to reflect the effect (as determined by the Borrower in good faith) of any Debt FX Hedge, calculated on a mark-to-market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“Consolidated Total Debt” shall be calculated (a) net of the Unrestricted Cash Amount and (b) excluding (i)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 any debt the proceeds of which are held in Escrow and (iii) for the avoidance of doubt, any amount owing under, or in respect of, any earn-out obligation and/or any purchase price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“Continuing Term Lender” has the meaning assigned to such term in Amendment No. 2.</w:t>
      </w:r>
    </w:p>
    <w:p>
      <w:pPr>
        <w:spacing w:after="0" w:line="108" w:lineRule="exact"/>
        <w:rPr>
          <w:sz w:val="20"/>
          <w:szCs w:val="20"/>
          <w:color w:val="auto"/>
        </w:rPr>
      </w:pPr>
    </w:p>
    <w:p>
      <w:pPr>
        <w:jc w:val="both"/>
        <w:ind w:right="20"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6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Convertible Indebtedness</w:t>
      </w:r>
      <w:r>
        <w:rPr>
          <w:rFonts w:ascii="Times New Roman" w:cs="Times New Roman" w:eastAsia="Times New Roman" w:hAnsi="Times New Roman"/>
          <w:sz w:val="20"/>
          <w:szCs w:val="20"/>
          <w:color w:val="auto"/>
        </w:rPr>
        <w:t>” means Indebtedness of the Parent (which may be guaranteed by any Loan Party) that is (a) not prohibited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this Agreement from being incurred and (b) either (i) convertible into common equity of the Parent (and cash in lieu of fractional shares) and/or cash (in an amount determined by reference to the price of such common equity) or (ii) sold as a unit with any call option, warrant and/or right to purchase (or any substantially equivalent derivative transaction) that is exercisable for common equity of the Parent and/or cash (in an amount determined by reference to the price of such common equity).</w:t>
      </w:r>
    </w:p>
    <w:p>
      <w:pPr>
        <w:spacing w:after="0" w:line="7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w:t>
      </w:r>
      <w:r>
        <w:rPr>
          <w:rFonts w:ascii="Times New Roman" w:cs="Times New Roman" w:eastAsia="Times New Roman" w:hAnsi="Times New Roman"/>
          <w:sz w:val="20"/>
          <w:szCs w:val="20"/>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8.14(c)</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Acquisition Increase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Acquisition Increase Period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xml:space="preserve">” means each of (a) the making of a Revolving Loan or Swingline Loan (other than any Letter of Credit Reimbursement Loan or any Revolving Loan resulting from the application of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or (b) the issuance, amendment, modification, renewal or extension of any Letter of Credit (other than any such amendment, modification, renewal or extension that does not increase the Stated Amount of the relevant Letter of Credit).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Facilities</w:t>
      </w:r>
      <w:r>
        <w:rPr>
          <w:rFonts w:ascii="Times New Roman" w:cs="Times New Roman" w:eastAsia="Times New Roman" w:hAnsi="Times New Roman"/>
          <w:sz w:val="20"/>
          <w:szCs w:val="20"/>
          <w:color w:val="auto"/>
        </w:rPr>
        <w:t>” means the Revolving Facility and the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Assets</w:t>
      </w:r>
      <w:r>
        <w:rPr>
          <w:rFonts w:ascii="Times New Roman" w:cs="Times New Roman" w:eastAsia="Times New Roman" w:hAnsi="Times New Roman"/>
          <w:sz w:val="20"/>
          <w:szCs w:val="20"/>
          <w:color w:val="auto"/>
        </w:rPr>
        <w:t xml:space="preserve">” means, at any date, (a)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management fees receivables) and (b) in the event that any Receivables Facility is accounted for off-balance sheet, (i) gross receivables subject to such Receivables Facility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collections against the amounts sold pursuant to such Receivables Facility.</w:t>
      </w:r>
    </w:p>
    <w:p>
      <w:pPr>
        <w:spacing w:after="0" w:line="184"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Customary Bridge Loans</w:t>
      </w:r>
      <w:r>
        <w:rPr>
          <w:rFonts w:ascii="Times New Roman" w:cs="Times New Roman" w:eastAsia="Times New Roman" w:hAnsi="Times New Roman"/>
          <w:sz w:val="20"/>
          <w:szCs w:val="20"/>
          <w:color w:val="auto"/>
        </w:rPr>
        <w:t xml:space="preserve">” means bridge loans with a maturity date of not longer than one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Weighted Average Life to Maturity of any loan, note, security or other Indebtedness which is exchanged for or otherwise replaces (or is to be exchanged for or otherwise replace) such bridge loans is not shorter than the Weighted Average Life to Maturity of any Class of then-existing Term Loans and (b) the final maturity date of any loan, note, security or other Indebtedness which is exchanged for or otherwise replaces (or is to be exchanged for or otherwise replace) such bridge loans is not earlier than the Latest Term Loan Maturity Date on the date of the issuance or incurrence thereof.</w:t>
      </w:r>
    </w:p>
    <w:p>
      <w:pPr>
        <w:spacing w:after="0" w:line="184"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any applicable Requirements of Law relating to the processing of data, data privacy, data security, data breach notification, and the cross-border transfer of Personal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 Minimis Proceeds Threshold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Fund Affiliate</w:t>
      </w:r>
      <w:r>
        <w:rPr>
          <w:rFonts w:ascii="Times New Roman" w:cs="Times New Roman" w:eastAsia="Times New Roman" w:hAnsi="Times New Roman"/>
          <w:sz w:val="20"/>
          <w:szCs w:val="20"/>
          <w:color w:val="auto"/>
        </w:rPr>
        <w:t>” means any Affiliate of a Sponsor (other than a natural person (or any holding company, investment vehicle or trust for, or owned and operated by, or for the primary benefit of, one or more natural persons)) that is a bona fide debt fund or other investment vehicle (in each case with one or more bona fide investors to whom its managers owe fiduciary duties independent of their fiduciary duties to such Sponsor) that is primarily engaged in, or advises funds or other investment vehicles that are engaged in, making, purchasing, holding or otherwise investing in commercial loans, bonds and similar extensions of credit in the ordinary course.</w:t>
      </w:r>
    </w:p>
    <w:p>
      <w:pPr>
        <w:spacing w:after="0" w:line="185"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FX Hedge</w:t>
      </w:r>
      <w:r>
        <w:rPr>
          <w:rFonts w:ascii="Times New Roman" w:cs="Times New Roman" w:eastAsia="Times New Roman" w:hAnsi="Times New Roman"/>
          <w:sz w:val="20"/>
          <w:szCs w:val="20"/>
          <w:color w:val="auto"/>
        </w:rPr>
        <w:t>” means any Hedge Agreement entered into for the purpose of hedging currency related risks in respect of any Indebtedness of the type described in the definition of “Consolidated Total Debt”.</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upon notice, lapse of time or both would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101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any Person that has (a) defaulted in (or is otherwise unable to perform) its obligations under this Agreement, including its obligations, (x) to make a Loan within two Business Days of the date required to be made by it hereunder or (y) to fund its participation in a Letter of Credit or Swingline Loan required to be funded by it hereunder within two Business Days of the date such obligation arose or such Loan or Letter of Credit or Swingline Loan was required to be made or funded, unless, in the case of </w:t>
      </w:r>
      <w:r>
        <w:rPr>
          <w:rFonts w:ascii="Times New Roman" w:cs="Times New Roman" w:eastAsia="Times New Roman" w:hAnsi="Times New Roman"/>
          <w:sz w:val="19"/>
          <w:szCs w:val="19"/>
          <w:u w:val="single" w:color="auto"/>
          <w:color w:val="auto"/>
        </w:rPr>
        <w:t>subclause (x)</w:t>
      </w:r>
      <w:r>
        <w:rPr>
          <w:rFonts w:ascii="Times New Roman" w:cs="Times New Roman" w:eastAsia="Times New Roman" w:hAnsi="Times New Roman"/>
          <w:sz w:val="19"/>
          <w:szCs w:val="19"/>
          <w:color w:val="auto"/>
        </w:rPr>
        <w:t xml:space="preserve">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Swingline Lender or the Borrower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particular default, if any) to funding a Loan cannot be satisfied), (c) failed, within two Business Days after the request of the Administrative Agent or the Borrower, to confirm in writing that it will comply with the terms of this Agreement relating to its obligations to fund any prospective Loan and/or any participation in any then outstanding Letter of Credit or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Person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(e)(i) become (or any parent company thereof has become) either the subject of (A) a bankruptcy or insolvency proceeding or (B) a Bail-In Action, (ii) has had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the Borrower and the Administrative Agent have each determined that such Person intends, and has all approvals required to enable it (in form and substance satisfactory to the Borrower and the Administrative Agent), to continue to perform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Person shall be deemed to be a Defaulting Lender solely by virtue of the ownership or acquisition of any Capital Stock in such Person or its parent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action does not result in or provide such Person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 In the event that the Administrative Agent determines that any Person is a Defaulting Lender pursuant to the foregoing, such determination shall be conclusive and binding absent manifest error, and such Person shall be deemed to be a Defaulting Lender (subject to </w:t>
      </w:r>
      <w:r>
        <w:rPr>
          <w:rFonts w:ascii="Times New Roman" w:cs="Times New Roman" w:eastAsia="Times New Roman" w:hAnsi="Times New Roman"/>
          <w:sz w:val="19"/>
          <w:szCs w:val="19"/>
          <w:u w:val="single" w:color="auto"/>
          <w:color w:val="auto"/>
        </w:rPr>
        <w:t>Section 2.21(e)</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Borrower, each Issuing Bank, the Swingline Lender and each Lender promptly following such determination.</w:t>
      </w:r>
    </w:p>
    <w:p>
      <w:pPr>
        <w:spacing w:after="0" w:line="200" w:lineRule="exact"/>
        <w:rPr>
          <w:sz w:val="20"/>
          <w:szCs w:val="20"/>
          <w:color w:val="auto"/>
        </w:rPr>
      </w:pP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Divided LLC</w:t>
      </w:r>
      <w:r>
        <w:rPr>
          <w:rFonts w:ascii="Times New Roman" w:cs="Times New Roman" w:eastAsia="Times New Roman" w:hAnsi="Times New Roman"/>
          <w:sz w:val="20"/>
          <w:szCs w:val="20"/>
          <w:color w:val="auto"/>
        </w:rPr>
        <w:t>” means any Delaware LLC which has been formed upon the consummation of a Delaware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Division.</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59"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Transaction</w:t>
      </w:r>
      <w:r>
        <w:rPr>
          <w:rFonts w:ascii="Times New Roman" w:cs="Times New Roman" w:eastAsia="Times New Roman" w:hAnsi="Times New Roman"/>
          <w:sz w:val="20"/>
          <w:szCs w:val="20"/>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spacing w:after="0" w:line="192"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means the fair market value (as determined by the Borrower in good faith) of non-Cash consideration received by the Borrower or any Restricted Subsidiary in connection with any Disposition pursuant to </w:t>
      </w:r>
      <w:r>
        <w:rPr>
          <w:rFonts w:ascii="Times New Roman" w:cs="Times New Roman" w:eastAsia="Times New Roman" w:hAnsi="Times New Roman"/>
          <w:sz w:val="20"/>
          <w:szCs w:val="20"/>
          <w:u w:val="single" w:color="auto"/>
          <w:color w:val="auto"/>
        </w:rPr>
        <w:t>Section 6.07(h)</w:t>
      </w:r>
      <w:r>
        <w:rPr>
          <w:rFonts w:ascii="Times New Roman" w:cs="Times New Roman" w:eastAsia="Times New Roman" w:hAnsi="Times New Roman"/>
          <w:sz w:val="20"/>
          <w:szCs w:val="20"/>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5"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Operational FX Hedge</w:t>
      </w:r>
      <w:r>
        <w:rPr>
          <w:rFonts w:ascii="Times New Roman" w:cs="Times New Roman" w:eastAsia="Times New Roman" w:hAnsi="Times New Roman"/>
          <w:sz w:val="20"/>
          <w:szCs w:val="20"/>
          <w:color w:val="auto"/>
        </w:rPr>
        <w:t>” means any Hedge Agreement (a) entered into for the purpose of hedging currency-related risks in respect of the revenues, cash flows or other balance sheet items of the Borrower and/or any of its subsidiaries and (b) designated at the time entered into (or on or prior to the Closing Date, with respect to any Hedge Agreement entered into on or prior to the Closing Date) as a Designated Operational FX Hedge by the Borrower in a writing delivered to the Administrative Agent.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Discretionary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lease, sublease, or other disposition of any property of any Person, including any disposition of property to a Delaware Divided LLC pursuant to a Delaware LLC Division.</w:t>
      </w:r>
    </w:p>
    <w:p>
      <w:pPr>
        <w:spacing w:after="0" w:line="1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Capital Stock</w:t>
      </w:r>
      <w:r>
        <w:rPr>
          <w:rFonts w:ascii="Times New Roman" w:cs="Times New Roman" w:eastAsia="Times New Roman" w:hAnsi="Times New Roman"/>
          <w:sz w:val="20"/>
          <w:szCs w:val="20"/>
          <w:color w:val="auto"/>
        </w:rPr>
        <w:t>”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the date that is 91 days following the Latest Maturity Date at the time such Capital Stock is issued (it being understood that if any such redemption is in part, only such part coming into effect prior to the date that is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the date that is 91 days following the Latest Maturity Date at the time such Capital Stock is issued or (c) contains any mandatory repurchase obligation (other than for Qualified Capital Stock), in whole or in part, which may come into effect prior to the date that is 91 days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right="100"/>
        <w:spacing w:after="0" w:line="256" w:lineRule="auto"/>
        <w:rPr>
          <w:sz w:val="20"/>
          <w:szCs w:val="20"/>
          <w:color w:val="auto"/>
        </w:rPr>
      </w:pPr>
      <w:r>
        <w:rPr>
          <w:rFonts w:ascii="Times New Roman" w:cs="Times New Roman" w:eastAsia="Times New Roman" w:hAnsi="Times New Roman"/>
          <w:sz w:val="19"/>
          <w:szCs w:val="19"/>
          <w:color w:val="auto"/>
        </w:rPr>
        <w:t xml:space="preserve">the Latest Maturity Date at the time such Capital Stock is issued (it being understood that if any such repurchase obligation is in part, only such part coming into effect prior to the date that is 91 days following the Latest Maturity Date shall constitute Disqualified Capital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(x)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other liquidity event or any Disposition occurring prior to the date that is 91 days following the Latest Maturity Date at the time such Capital Stock is issued shall not constitute Disqualified Capital Stock if the documentation governing such Capital Stock provides that the issuer thereof will not redeem any such Capital Stock pursuant to such provisions unless either (1) the relevant redemption is permitted by the terms of this Agreement or (2) the Termination Date has occurred and (y) for purposes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spacing w:after="0" w:line="6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and/or any Parent Company,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Person identified in writing to the Arrangers on or prior to September 8, 2021, (ii) any Person that is identified in writing to the Administrative Agent after the Closing Date (provided, that any Person so identified after the Closing Date must be reasonably acceptable to the Administrative Agent), (iii) any Affiliate of any Person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that is reasonably identifiable on the basis of such Person’s name as an Affiliate of such Person, and (iv) any other Affiliate of any Person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that is identified in a written notice to the Administrative Agent (each such person, a “</w:t>
      </w:r>
      <w:r>
        <w:rPr>
          <w:rFonts w:ascii="Times New Roman" w:cs="Times New Roman" w:eastAsia="Times New Roman" w:hAnsi="Times New Roman"/>
          <w:sz w:val="20"/>
          <w:szCs w:val="20"/>
          <w:u w:val="single" w:color="auto"/>
          <w:color w:val="auto"/>
        </w:rPr>
        <w:t>Disqualified Lending Institution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Person that is or becomes a Company Competitor and/or any Affiliate of any Company Competitor (other than a Competitor Debt Fund Affiliate), in each case, that is identified in writing to the Administrative Agent, (ii) any Affiliate of any Person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(other than any Competitor Debt Fund Affiliate) that is reasonably identifiable on the basis of such Person’s name as an Affiliate of such Person and (iii) any other Affiliate of any Person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that is identified in a written notice to the Administrative Agent; it being understood and agreed that no Competitor Debt Fund Affiliate of any Company Competitor may be designated as a Disqualified Institution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Affiliate or Representative of any Arranger and/or any Initial Lender that is engaged as a principal primarily in private equity, mezzanine financing or venture capital (any Person described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Excluded Party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1018"/>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written notice delivered pursuant to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above shall apply retroactively to disqualify any person that has acquired or agreed to acquire prior to the delivery of such notice (i) an assignment of an interest in the Loans pursuant to a fully executed Assignment and Assumption (including any consents thereto required hereby) or (ii) a participation interest in the Loans pursuant to a fully executed participation agreement that provides for “participation” only (including any consents thereto required hereby).</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 xml:space="preserve">The Borrower shall be permitted to remove any Person from the list of Disqualified Institutions;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any time after the removal of such Person, the Borrower shall be permitted to re-designate such Person as a Disqualified Institution without the consent of the Administrative Agent or any other Person.</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Lending Institution</w:t>
      </w:r>
      <w:r>
        <w:rPr>
          <w:rFonts w:ascii="Times New Roman" w:cs="Times New Roman" w:eastAsia="Times New Roman" w:hAnsi="Times New Roman"/>
          <w:sz w:val="20"/>
          <w:szCs w:val="20"/>
          <w:color w:val="auto"/>
        </w:rPr>
        <w:t>” has the meaning assigned to such term in the definition of “Disqualified Institution”.</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9.05(f)(ii)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Borrower incorporated or organized under the laws of the US, any state thereof or the District of Columbia.</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xml:space="preserve">” has the meaning assigned to such term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(or, to the extent that the United Kingdom is not an EEA Member Country, the United Kingdom), which is subject to the supervision of a Resolution Authority, (b) any entity established in an EEA Member Country (or, to the extent that the United Kingdom is not an EEA Member Country, the United Kingdom),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(or, to the extent that the United Kingdom is not an EEA Member Country, the United Kingdom),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Electronic Signature</w:t>
      </w:r>
      <w:r>
        <w:rPr>
          <w:rFonts w:ascii="Times New Roman" w:cs="Times New Roman" w:eastAsia="Times New Roman" w:hAnsi="Times New Roman"/>
          <w:sz w:val="20"/>
          <w:szCs w:val="20"/>
          <w:color w:val="FF0000"/>
          <w:strike w:val="1"/>
        </w:rPr>
        <w:t>” means any electronic symbol or process attached to, or associated with, any contract or other record and adopted by a person with the intent to sign, authenticate or accept such contract or record.</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u w:val="single" w:color="auto"/>
          <w:color w:val="0000FF"/>
        </w:rPr>
        <w:t>“Electronic Record” and “Electronic Signature” have the meanings assigned to such terms by 15 USC§7006,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any Affiliated Lender or any Debt Fund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“Eligible Assignee” shall not include (i) any natural person (or any holding company, investment vehicle or trust for, or owned and operated by, or for the primary benefit of, one or more natural persons), (ii) any Disqualified Institution or (iii) except as permitted under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the Borrower or any of its Affiliates.</w:t>
      </w:r>
    </w:p>
    <w:p>
      <w:pPr>
        <w:spacing w:after="0" w:line="18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Amended and Restated Engagement Letter, dated as of September 16, 2021, by and among the Borrower and the </w:t>
      </w:r>
      <w:r>
        <w:rPr>
          <w:rFonts w:ascii="Times New Roman" w:cs="Times New Roman" w:eastAsia="Times New Roman" w:hAnsi="Times New Roman"/>
          <w:sz w:val="20"/>
          <w:szCs w:val="20"/>
          <w:u w:val="single" w:color="auto"/>
          <w:color w:val="0000FF"/>
        </w:rPr>
        <w:t>2021</w:t>
      </w:r>
      <w:r>
        <w:rPr>
          <w:rFonts w:ascii="Times New Roman" w:cs="Times New Roman" w:eastAsia="Times New Roman" w:hAnsi="Times New Roman"/>
          <w:sz w:val="20"/>
          <w:szCs w:val="20"/>
          <w:color w:val="auto"/>
        </w:rPr>
        <w:t xml:space="preserve"> Arrangers (and/or certain of their respective Affiliates).</w:t>
      </w:r>
    </w:p>
    <w:p>
      <w:pPr>
        <w:spacing w:after="0" w:line="51"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land surface and subsurface strata &amp; natural resources such as wetlands, flora and fauna.</w:t>
      </w:r>
    </w:p>
    <w:p>
      <w:pPr>
        <w:spacing w:after="0" w:line="15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w:t>
      </w:r>
      <w:r>
        <w:rPr>
          <w:rFonts w:ascii="Times New Roman" w:cs="Times New Roman" w:eastAsia="Times New Roman" w:hAnsi="Times New Roman"/>
          <w:sz w:val="20"/>
          <w:szCs w:val="20"/>
          <w:color w:val="auto"/>
        </w:rPr>
        <w:t>”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spacing w:after="0" w:line="180" w:lineRule="exact"/>
        <w:rPr>
          <w:sz w:val="20"/>
          <w:szCs w:val="20"/>
          <w:color w:val="auto"/>
        </w:rPr>
      </w:pPr>
    </w:p>
    <w:p>
      <w:pPr>
        <w:jc w:val="both"/>
        <w:ind w:right="20"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applicable Requirements of Law relating to (a) environmental matters, including those relating to any Hazardous Materials Activity; or (b) the generation, use, storage, transportation or disposal of or exposure to Hazardous Materials, in any manner applicable to Holdings, the Borrower or any of its Restricted Subsidiaries or any Facility.</w:t>
      </w:r>
    </w:p>
    <w:p>
      <w:pPr>
        <w:spacing w:after="0" w:line="174"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right="20"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is under common control with Holdings, the Borrower or any Restricted Subsidiary and is treated as a single employer within the meaning of Section 414 of the Code or Section 4001 of ERISA.</w:t>
      </w:r>
    </w:p>
    <w:p>
      <w:pPr>
        <w:spacing w:after="0" w:line="174"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a withdrawal by Holdings, the Borrower or any Restricted Subsidiary or any ERISA Affiliate from a Pension Plan subject to Section 4063 of ERISA during a plan year in which it was a substantial employer (as defined in Section 4001(a)(2) of ERISA) or a cessation of operations at any facility of Holdings, the Borrower or any Restricted Subsidiary or any ERISA Affiliate as described in Section 4062(e) of ERISA, in each case, resulting in liability pursuant to Section 4063 of ERISA; (c) a complete or partial withdrawal by Holdings, the Borrower or any Restricted Subsidiary or any ERISA Affiliate from a Multiemployer Plan resulting in the imposition of Withdrawal Liability on Holdings, the Borrower or any Restricted Subsidiary or any ERISA Affiliate, notification of Holdings, the Borrower or any Restricted Subsidiary or any ERISA Affiliate concerning the imposition of Withdrawal Liability or notification that a Multiemployer Plan is “insolvent” within the meaning of Section 4245 of ERISA; (d) the filing of a notice of intent to terminate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43" w:lineRule="auto"/>
        <w:rPr>
          <w:sz w:val="20"/>
          <w:szCs w:val="20"/>
          <w:color w:val="auto"/>
        </w:rPr>
      </w:pPr>
      <w:r>
        <w:rPr>
          <w:rFonts w:ascii="Times New Roman" w:cs="Times New Roman" w:eastAsia="Times New Roman" w:hAnsi="Times New Roman"/>
          <w:sz w:val="20"/>
          <w:szCs w:val="20"/>
          <w:color w:val="auto"/>
        </w:rPr>
        <w:t>Pension Plan under Section 4041(c) of ERISA, the treatment of a Pension Plan amendment as a termination under Section 4041(c) of ERISA, the commencement of proceedings by the PBGC to terminate a Pension Plan or the receipt by Holdings,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Holdings, the Borrower or any Restricted Subsidiary or any ERISA Affiliate, with respect to the termination of any Pension Plan; or (g) the conditions for imposition of a Lien under Section 303(k) of ERISA have been met with respect to any Pension Plan.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8.14(c)</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has the meaning set forth in the definition of “Indebtedness”.</w:t>
      </w:r>
    </w:p>
    <w:p>
      <w:pPr>
        <w:spacing w:after="0" w:line="21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and the rules and regulations of the SEC promulgated thereunder.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each of the following:</w:t>
      </w:r>
    </w:p>
    <w:p>
      <w:pPr>
        <w:spacing w:after="0" w:line="216" w:lineRule="exact"/>
        <w:rPr>
          <w:sz w:val="20"/>
          <w:szCs w:val="20"/>
          <w:color w:val="auto"/>
        </w:rPr>
      </w:pPr>
    </w:p>
    <w:p>
      <w:pPr>
        <w:jc w:val="both"/>
        <w:ind w:left="760" w:firstLine="745"/>
        <w:spacing w:after="0" w:line="256" w:lineRule="auto"/>
        <w:tabs>
          <w:tab w:leader="none" w:pos="1904"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asset the grant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pacing w:after="0" w:line="173"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Stock of any (i) Captive Insurance Subsidiary, (ii) Unrestricted Subsidiary, (iii) not-for-profit subsidiary,</w:t>
      </w:r>
    </w:p>
    <w:p>
      <w:pPr>
        <w:spacing w:after="0" w:line="21" w:lineRule="exact"/>
        <w:rPr>
          <w:rFonts w:ascii="Times New Roman" w:cs="Times New Roman" w:eastAsia="Times New Roman" w:hAnsi="Times New Roman"/>
          <w:sz w:val="20"/>
          <w:szCs w:val="20"/>
          <w:color w:val="auto"/>
        </w:rPr>
      </w:pPr>
    </w:p>
    <w:p>
      <w:pPr>
        <w:ind w:left="1100" w:hanging="343"/>
        <w:spacing w:after="0"/>
        <w:tabs>
          <w:tab w:leader="none" w:pos="11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Immaterial Subsidiary (other than an Immaterial Subsidiary that is a Loan Party) and/or (v) Receivables Subsidiary;</w:t>
      </w:r>
    </w:p>
    <w:p>
      <w:pPr>
        <w:spacing w:after="0" w:line="193"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intent-to-use (or similar) Trademark application prior to the filing and acceptance by the U.S. Patent and Trademark Office (or similar Governmental Authority)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“Statement of Use”, “Declaration of Use”, “Amendment to Allege Use” or similar filing with respect thereto, only to the extent, if any, that, and solely during the period if any, in which, the grant of a security interest therein may impair the validity or enforceability of such intent-to-use (or similar) Trademark application or any registration issuing therefrom under applicable Requirements of Law;</w:t>
      </w:r>
    </w:p>
    <w:p>
      <w:pPr>
        <w:spacing w:after="0" w:line="180" w:lineRule="exact"/>
        <w:rPr>
          <w:sz w:val="20"/>
          <w:szCs w:val="20"/>
          <w:color w:val="auto"/>
        </w:rPr>
      </w:pPr>
    </w:p>
    <w:p>
      <w:pPr>
        <w:jc w:val="both"/>
        <w:ind w:left="3" w:firstLine="745"/>
        <w:spacing w:after="0" w:line="242" w:lineRule="auto"/>
        <w:tabs>
          <w:tab w:leader="none" w:pos="114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 (including Capital Stock), the grant or perfection of a security interest in which (i) would be prohibited under applicable Requirements of Law (including, without limitation, any rule and/or regulation of any Governmental Authority) (after giving effect to applicable anti-assignment provisions of the UCC or other applicable Requirements of Law), (ii) would require any governmental or regulatory consent, approval, license or authorization, in each case, to the extent such consent, approval, license or authorization has not been obtained (it being understood and agreed that no Loan Party shall have any obligation to procure any such consent, approval, license or authorization) (after giving effect to applicable anti-assignment provisions of the UCC or other applicable Requirements of Law); it being understood that the term “Excluded Asset” shall not include proceeds or receivables arising out of any asset described in </w:t>
      </w:r>
      <w:r>
        <w:rPr>
          <w:rFonts w:ascii="Times New Roman" w:cs="Times New Roman" w:eastAsia="Times New Roman" w:hAnsi="Times New Roman"/>
          <w:sz w:val="20"/>
          <w:szCs w:val="20"/>
          <w:u w:val="single" w:color="auto"/>
          <w:color w:val="auto"/>
        </w:rPr>
        <w:t>clauses (d)(i)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(d)(ii)</w:t>
      </w:r>
      <w:r>
        <w:rPr>
          <w:rFonts w:ascii="Times New Roman" w:cs="Times New Roman" w:eastAsia="Times New Roman" w:hAnsi="Times New Roman"/>
          <w:sz w:val="20"/>
          <w:szCs w:val="20"/>
          <w:color w:val="auto"/>
        </w:rPr>
        <w:t xml:space="preserve"> to the extent that the assignment of such proceeds or receivables is effective under the UCC or other applicable Requirements of Law notwithstanding the relevant requirement or prohibition or (iii) could be reasonably likely to result in material adverse tax consequences (including as a result of the application of Section 956 of the Code or any similar Requirement of Law) to Holdings, the Borrower, any Parent Company and/or any of their subsidiaries as determined by the Borrower in good faith;</w:t>
      </w:r>
    </w:p>
    <w:p>
      <w:pPr>
        <w:spacing w:after="0" w:line="187" w:lineRule="exact"/>
        <w:rPr>
          <w:rFonts w:ascii="Times New Roman" w:cs="Times New Roman" w:eastAsia="Times New Roman" w:hAnsi="Times New Roman"/>
          <w:sz w:val="20"/>
          <w:szCs w:val="20"/>
          <w:color w:val="auto"/>
        </w:rPr>
      </w:pPr>
    </w:p>
    <w:p>
      <w:pPr>
        <w:ind w:left="3" w:firstLine="745"/>
        <w:spacing w:after="0" w:line="269" w:lineRule="auto"/>
        <w:tabs>
          <w:tab w:leader="none" w:pos="114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leasehold Real Estate Asset, (ii) except to the extent a security interest therein can be perfected by the filing of a UCC-1 financing statement, any other leasehold interest, and (iii) any owned Real Estate Asset;</w:t>
      </w:r>
    </w:p>
    <w:p>
      <w:pPr>
        <w:spacing w:after="0" w:line="159"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Stock of (i) any Person that is not the Borrower or a Wholly-Owned Subsidiary of the Borrower and/or</w:t>
      </w:r>
    </w:p>
    <w:p>
      <w:pPr>
        <w:spacing w:after="0" w:line="21" w:lineRule="exact"/>
        <w:rPr>
          <w:rFonts w:ascii="Times New Roman" w:cs="Times New Roman" w:eastAsia="Times New Roman" w:hAnsi="Times New Roman"/>
          <w:sz w:val="20"/>
          <w:szCs w:val="20"/>
          <w:color w:val="auto"/>
        </w:rPr>
      </w:pPr>
    </w:p>
    <w:p>
      <w:pPr>
        <w:ind w:left="283" w:hanging="283"/>
        <w:spacing w:after="0"/>
        <w:tabs>
          <w:tab w:leader="none" w:pos="28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any non-Wholly Owned Subsidiary of the Borrower;</w:t>
      </w:r>
    </w:p>
    <w:p>
      <w:pPr>
        <w:spacing w:after="0" w:line="193"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Margin Stock;</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Stock of (i) any Foreign Subsidiary and (ii) any FSHCO, in each case, (A) in excess of 65% of the issued and outstanding voting Capital Stock and 100% of the issued and outstanding non-voting Capital Stock of any such Foreign Subsidiary and/or FSHCO or (B) to the extent such Foreign Subsidiary or FSHCO is not a first-tier Subsidiary of any Loan Party;</w:t>
      </w:r>
    </w:p>
    <w:p>
      <w:pPr>
        <w:spacing w:after="0" w:line="174"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Commercial Tort Claim;</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Deposit Account, securities account and/or similar account (including any securities entitlement), escrow, fiduciary and/or trust account, payroll and other employee wage and benefit accounts, tax accounts (including, sales tax accounts), any cash collateral account, any Cash and Cash Equivalents and any funds and other property held or maintained in any such accounts (other than, in each case, proceeds of other Collateral as to which perfection may be accomplished by filing a UCC-1 financing statement or automatically in accordance with the UCC);</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subject to any purchase money security interest, Capital Lease obligation, sale-leaseback obligation or similar arrangement, in each case, that is permitted or otherwise not prohibited by the terms of this Agreement and to the extent the grant of a security interest therein would violate or invalidate such lease, license or agreement or purchase money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arrangement or create a right of termination in favor of any other party thereto (other than Holdings or any subsidiary of Holdings); it being understood that the term “Excluded Asset” shall not include proceeds or receivables arising out of any asset described in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to the extent that the assignment of such proceeds or receivables is expressly deemed to be effective under the UCC or other applicable Requirements of Law notwithstanding the relevant violation or invalidation;</w:t>
      </w:r>
    </w:p>
    <w:p>
      <w:pPr>
        <w:spacing w:after="0" w:line="180" w:lineRule="exact"/>
        <w:rPr>
          <w:sz w:val="20"/>
          <w:szCs w:val="20"/>
          <w:color w:val="auto"/>
        </w:rPr>
      </w:pPr>
    </w:p>
    <w:p>
      <w:pPr>
        <w:ind w:right="20" w:firstLine="745"/>
        <w:spacing w:after="0" w:line="269"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Letter-of-Credit Right that does not constitute a supporting obligation, except to the extent the security interest therein may be perfected by filing of a financing statement under the UCC of any applicable jurisdiction;</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and other assets subject to certificates of title, except to the extent the security interest therein may be perfected by filing of a financing statement under the UCC of any applicable jurisdiction;</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of a Person acquired by Holdings, the Borrower or any other Restricted Subsidiary that, at the time of the relevant acquisition, is encumbered to secure assumed Indebtedness permitted by this Agreement to the extent (and for so long as) the documentation governing the applicable assumed Indebtedness prohibits such asset from being pledged to secure the Secured Obligations and the relevant prohibition was not implemented in contemplation of the applicable acquisition;</w:t>
      </w:r>
    </w:p>
    <w:p>
      <w:pPr>
        <w:spacing w:after="0" w:line="179"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with respect to which the Borrower has in good faith determined that the cost, burden, difficulty or consequence (including (i) any effect on the ability of the relevant Loan Party to conduct its operations and business in the ordinary course of business and (ii) the cost of mortgage, stamp, intangible or other taxes or expenses) of obtaining or perfecting a security interest therein outweighs, or is excessive in light of, the practical benefit of a security interest to the relevant Secured Parties afforded thereby (and the Lenders acknowledge that the Collateral that may be provided by any Loan Party may be limited to minimize stamp duty, notarization, registration or other applicable fees, taxes and duties where the benefit to the Secured Parties of increasing the secured amount is disproportionate to the level of such fees, taxes and duties);</w:t>
      </w:r>
    </w:p>
    <w:p>
      <w:pPr>
        <w:spacing w:after="0" w:line="18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license or state or local franchise, charter or authorization, to the extent a security interest in any such license, franchise, charter or authorization would be prohibited or restricted thereby, after giving effect to the anti-assignment provisions of the UCC of any applicable jurisdiction, other than any proceeds or receivable thereof to the extent the assignment of the same is effective under the UCC of any applicable jurisdiction notwithstanding such consent or restriction;</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subject to any Receivables Facility; and</w:t>
      </w:r>
    </w:p>
    <w:p>
      <w:pPr>
        <w:spacing w:after="0" w:line="215"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aircraft, airframes, aircraft engines, helicopters and equipment and/or other assets that are affixed to, or otherwise constitute, such aircraft, airframes, aircraft engines and/or helicopters.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Party</w:t>
      </w:r>
      <w:r>
        <w:rPr>
          <w:rFonts w:ascii="Times New Roman" w:cs="Times New Roman" w:eastAsia="Times New Roman" w:hAnsi="Times New Roman"/>
          <w:sz w:val="20"/>
          <w:szCs w:val="20"/>
          <w:color w:val="auto"/>
        </w:rPr>
        <w:t>” has the meaning assigned to such term in the definition of “Disqualified Institution”.</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740"/>
        <w:spacing w:after="0"/>
        <w:tabs>
          <w:tab w:leader="none" w:pos="11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any Restricted Subsidiary that is not a Wholly-Owned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0" w:name="page61"/>
    <w:bookmarkEnd w:id="60"/>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Immaterial Subsidiary;</w:t>
      </w:r>
    </w:p>
    <w:p>
      <w:pPr>
        <w:spacing w:after="0" w:line="215" w:lineRule="exact"/>
        <w:rPr>
          <w:rFonts w:ascii="Times New Roman" w:cs="Times New Roman" w:eastAsia="Times New Roman" w:hAnsi="Times New Roman"/>
          <w:sz w:val="20"/>
          <w:szCs w:val="20"/>
          <w:color w:val="auto"/>
        </w:rPr>
      </w:pPr>
    </w:p>
    <w:p>
      <w:pPr>
        <w:jc w:val="both"/>
        <w:ind w:firstLine="745"/>
        <w:spacing w:after="0" w:line="256" w:lineRule="auto"/>
        <w:tabs>
          <w:tab w:leader="none" w:pos="114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that (i) is prohibited or restricted from providing a Loan Guaranty by (A) any Requirement of Law or (B) any Contractual Obligation that exists on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or at the time such Restricted Subsidiary becomes a subsidiary (which Contractual Obligation was not entered into in contemplation of the acquisition of such Restricted Subsidiary (including pursuant to assumed Indebtedness)), (ii) would require a governmental (including regulatory) or third party consent, approval, license or authorization (including any regulatory consent, approval, license or authorization) to provide a Loan Guaranty (including under any financial assistance, corporate benefit, thin capitalization, capital maintenance, liquidity maintenance or similar legal principles), unless such consent, approval, license or authorization has been obtained (it being understood and agreed that none of Holdings, the Borrower and/or any of their respective subsidiaries shall have any obligation to obtain (or seek to obtain) any such consent, approval, license or authorization) or (iii) with respect to which the provision of a Loan Guaranty could reasonably be expected to result in material and adverse tax consequences to Holdings, the Borrower, any Parent Company and/or any of its or their subsidiaries as determined by the Borrower in good faith;</w:t>
      </w:r>
    </w:p>
    <w:p>
      <w:pPr>
        <w:spacing w:after="0" w:line="177"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not-for-profit subsidiary;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Captive Insurance Subsidiary;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Receivables Subsidiary;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Subsidiary that (i) is a FSHCO or (ii) is a direct or indirect subsidiary of any Foreign Subsidiary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FSHCO;</w:t>
      </w:r>
    </w:p>
    <w:p>
      <w:pPr>
        <w:spacing w:after="0" w:line="193"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Unrestricted Subsidiary;</w:t>
      </w:r>
    </w:p>
    <w:p>
      <w:pPr>
        <w:spacing w:after="0" w:line="215"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acquired by the Borrower or any Restricted Subsidiary that, at the time of the relevant acquisition, is an obligor in respect of assumed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w:t>
      </w:r>
    </w:p>
    <w:p>
      <w:pPr>
        <w:spacing w:after="0" w:line="184"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Restricted Subsidiary with respect to which the burden or cost of providing a Loan Guaranty outweighs, or would be excessive in light of, the practical benefits afforded thereby as determined by the Borrower in good faith in consultation with the Administrative Agent;</w:t>
      </w:r>
    </w:p>
    <w:p>
      <w:pPr>
        <w:spacing w:after="0" w:line="17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the case of any Swap Obligation that constitutes a “swap” within the meaning of section 1(a)(47) of the Commodity Exchange Act (which for the avoidance of doubt shall be determined after giving effect to any “keepwell, support or other agreement” (as such terms are used under the Commodity Exchange Act)), any Domestic Subsidiary that is not an “eligible contract participant” as defined under the Commodity Exchange Act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1" w:name="page62"/>
    <w:bookmarkEnd w:id="61"/>
    <w:p>
      <w:pPr>
        <w:jc w:val="both"/>
        <w:ind w:left="760" w:firstLine="745"/>
        <w:spacing w:after="0" w:line="246" w:lineRule="auto"/>
        <w:tabs>
          <w:tab w:leader="none" w:pos="19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where the provision by such subsidiary of a Loan Guaranty could reasonably be expected to conflict with the fiduciary duties of such subsidiary’s directors or result in, or could reasonably be expected to result in, a material risk of personal or criminal liability for such subsidiary or any of its officers or directors or to the extent it is not within the legal capacity of such subsidiary to provide a Loan Guaranty (whether as a result of financial assistance, corporate benefit, thin capitalization, capital maintenance, liquidity maintenance or similar rules or otherwise);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broker-dealer subsidiary;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any Person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or any Governmental Authority succeeding to any or all of its functions) (a) by virtue of such Loan Guarantor’s failure for any reason to constitute an “eligible contract participant” as defined in the Commodity Exchange Act and the regulations thereunder (determined after giving effect to </w:t>
      </w:r>
      <w:r>
        <w:rPr>
          <w:rFonts w:ascii="Times New Roman" w:cs="Times New Roman" w:eastAsia="Times New Roman" w:hAnsi="Times New Roman"/>
          <w:sz w:val="20"/>
          <w:szCs w:val="20"/>
          <w:u w:val="single" w:color="auto"/>
          <w:color w:val="auto"/>
        </w:rPr>
        <w:t>Section 3.20</w:t>
      </w:r>
      <w:r>
        <w:rPr>
          <w:rFonts w:ascii="Times New Roman" w:cs="Times New Roman" w:eastAsia="Times New Roman" w:hAnsi="Times New Roman"/>
          <w:sz w:val="20"/>
          <w:szCs w:val="20"/>
          <w:color w:val="auto"/>
        </w:rPr>
        <w:t xml:space="preserve"> of the Loan Guaranty and any other “keepwell”, support or other agreement for the benefit of such Loan Guarantor) at the time the Loan Guaranty of such Loan Guarantor or the grant of such security interest becomes effective with respect to such 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97"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with respect to the Administrative Agent, any Lender or Issuing Bank, or any other recipient of any payment to be made by or on account of any obligation of any Loan Party under any Loan Document, (a) any Taxes imposed on (or measured by) such recipient’s net income (however denominated)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(c) any US federal withholding Tax that is imposed on amounts payable to or for the account of such Lender (other than a Lender that became a Lender pursuant to an assignment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such recipient to comply with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and (e) any Tax imposed under FATCA.</w:t>
      </w:r>
    </w:p>
    <w:p>
      <w:pPr>
        <w:spacing w:after="0" w:line="1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Letters</w:t>
      </w:r>
      <w:r>
        <w:rPr>
          <w:rFonts w:ascii="Times New Roman" w:cs="Times New Roman" w:eastAsia="Times New Roman" w:hAnsi="Times New Roman"/>
          <w:sz w:val="20"/>
          <w:szCs w:val="20"/>
          <w:u w:val="single" w:color="auto"/>
          <w:color w:val="0000FF"/>
        </w:rPr>
        <w:t>Letter</w:t>
      </w:r>
      <w:r>
        <w:rPr>
          <w:rFonts w:ascii="Times New Roman" w:cs="Times New Roman" w:eastAsia="Times New Roman" w:hAnsi="Times New Roman"/>
          <w:sz w:val="20"/>
          <w:szCs w:val="20"/>
          <w:color w:val="auto"/>
        </w:rPr>
        <w:t xml:space="preserve"> of Credit” means any letter of credit previously issued </w:t>
      </w:r>
      <w:r>
        <w:rPr>
          <w:rFonts w:ascii="Times New Roman" w:cs="Times New Roman" w:eastAsia="Times New Roman" w:hAnsi="Times New Roman"/>
          <w:sz w:val="20"/>
          <w:szCs w:val="20"/>
          <w:u w:val="single" w:color="auto"/>
          <w:color w:val="0000FF"/>
        </w:rPr>
        <w:t>under this Agreement</w:t>
      </w:r>
      <w:r>
        <w:rPr>
          <w:rFonts w:ascii="Times New Roman" w:cs="Times New Roman" w:eastAsia="Times New Roman" w:hAnsi="Times New Roman"/>
          <w:sz w:val="20"/>
          <w:szCs w:val="20"/>
          <w:color w:val="auto"/>
        </w:rPr>
        <w:t xml:space="preserve"> that (a) will remain outstanding on and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and (b) is listed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-192405</wp:posOffset>
            </wp:positionV>
            <wp:extent cx="532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2765" cy="8255"/>
                    </a:xfrm>
                    <a:prstGeom prst="rect">
                      <a:avLst/>
                    </a:prstGeom>
                    <a:noFill/>
                  </pic:spPr>
                </pic:pic>
              </a:graphicData>
            </a:graphic>
          </wp:anchor>
        </w:drawing>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 Amendment</w:t>
      </w:r>
      <w:r>
        <w:rPr>
          <w:rFonts w:ascii="Times New Roman" w:cs="Times New Roman" w:eastAsia="Times New Roman" w:hAnsi="Times New Roman"/>
          <w:sz w:val="19"/>
          <w:szCs w:val="19"/>
          <w:color w:val="auto"/>
        </w:rPr>
        <w:t xml:space="preserve">” means an amendment to this Agreement that is reasonably satisfactory to the Administrative Agent (to the extent required by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and the Borrower executed by (a) the Borrower and the Subsidiary Guarantors, (b) the Administrative Agent and (c) each Lender that has accepted the applicable Extension Offer pursuant hereto and in accordance with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20"/>
          <w:szCs w:val="20"/>
          <w:u w:val="single" w:color="auto"/>
          <w:color w:val="auto"/>
        </w:rPr>
        <w:t>Articles 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previously owned, leased, operated or used by Holdings, the Borrower or any of its Restricted Subsidiaries or any of their respective predecessors or Affiliates.</w:t>
      </w:r>
    </w:p>
    <w:p>
      <w:pPr>
        <w:spacing w:after="0" w:line="174"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FCA</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85"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means the website of the Federal Reserve Bank of New York at http://www.newyorkfed.org, or any successor source.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the Agent Fee Letter, dated September 8, 2021, among the Borrower, Bank of America and BofA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w:t>
      </w:r>
    </w:p>
    <w:p>
      <w:pPr>
        <w:spacing w:after="0" w:line="19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Model</w:t>
      </w:r>
      <w:r>
        <w:rPr>
          <w:rFonts w:ascii="Times New Roman" w:cs="Times New Roman" w:eastAsia="Times New Roman" w:hAnsi="Times New Roman"/>
          <w:sz w:val="20"/>
          <w:szCs w:val="20"/>
          <w:color w:val="auto"/>
        </w:rPr>
        <w:t xml:space="preserve">” means the final financial model made available by the Borrower to the Administrative Agent prior to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Debt</w:t>
      </w:r>
      <w:r>
        <w:rPr>
          <w:rFonts w:ascii="Times New Roman" w:cs="Times New Roman" w:eastAsia="Times New Roman" w:hAnsi="Times New Roman"/>
          <w:sz w:val="20"/>
          <w:szCs w:val="20"/>
          <w:color w:val="auto"/>
        </w:rPr>
        <w:t xml:space="preserve">” means (a) the Initial Term Loans and the Initial Revolving Loans and (b) any other Indebtedness (other than any such Indebtedness among Holdings, the Borrower and/or any of their respective subsidiaries) that is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 securing the Initial Term Loans and the Initial Revolving Loans.</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Net Leverage Ratio</w:t>
      </w:r>
      <w:r>
        <w:rPr>
          <w:rFonts w:ascii="Times New Roman" w:cs="Times New Roman" w:eastAsia="Times New Roman" w:hAnsi="Times New Roman"/>
          <w:sz w:val="20"/>
          <w:szCs w:val="20"/>
          <w:color w:val="auto"/>
        </w:rPr>
        <w:t>” means the ratio, as of any date of determination, of (a) Consolidated First Lien Debt as of the last day of the most recently ended Test Period to (b) Consolidated Adjusted EBITDA for the most recently ended Test Period, in each case, of the Borrower and its Restricted Subsidiaries on a consolidated basis.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each fiscal year of the Borrower ending on December 31 of each calendar year.</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Incremental Amount</w:t>
      </w:r>
      <w:r>
        <w:rPr>
          <w:rFonts w:ascii="Times New Roman" w:cs="Times New Roman" w:eastAsia="Times New Roman" w:hAnsi="Times New Roman"/>
          <w:sz w:val="20"/>
          <w:szCs w:val="20"/>
          <w:color w:val="auto"/>
        </w:rPr>
        <w:t>” means the greater of $</w:t>
      </w:r>
      <w:r>
        <w:rPr>
          <w:rFonts w:ascii="Times New Roman" w:cs="Times New Roman" w:eastAsia="Times New Roman" w:hAnsi="Times New Roman"/>
          <w:sz w:val="20"/>
          <w:szCs w:val="20"/>
          <w:color w:val="FF0000"/>
          <w:strike w:val="1"/>
        </w:rPr>
        <w:t>82,500,000</w:t>
      </w:r>
      <w:r>
        <w:rPr>
          <w:rFonts w:ascii="Times New Roman" w:cs="Times New Roman" w:eastAsia="Times New Roman" w:hAnsi="Times New Roman"/>
          <w:sz w:val="20"/>
          <w:szCs w:val="20"/>
          <w:u w:val="single" w:color="auto"/>
          <w:color w:val="0000FF"/>
        </w:rPr>
        <w:t>90,000,000</w:t>
      </w:r>
      <w:r>
        <w:rPr>
          <w:rFonts w:ascii="Times New Roman" w:cs="Times New Roman" w:eastAsia="Times New Roman" w:hAnsi="Times New Roman"/>
          <w:sz w:val="20"/>
          <w:szCs w:val="20"/>
          <w:color w:val="auto"/>
        </w:rPr>
        <w:t xml:space="preserve"> and 100% of Consolidated Adjusted EBITDA as of the last day of the most recently ended Test Period.</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or Issuing Bank that is not a US Person.</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the Borrower that is not a Domestic Subsidiary.</w:t>
      </w:r>
    </w:p>
    <w:p>
      <w:pPr>
        <w:spacing w:after="0" w:line="216" w:lineRule="exact"/>
        <w:rPr>
          <w:sz w:val="20"/>
          <w:szCs w:val="20"/>
          <w:color w:val="auto"/>
        </w:rPr>
      </w:pPr>
    </w:p>
    <w:p>
      <w:pPr>
        <w:jc w:val="both"/>
        <w:ind w:firstLine="101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FSHCO</w:t>
      </w:r>
      <w:r>
        <w:rPr>
          <w:rFonts w:ascii="Times New Roman" w:cs="Times New Roman" w:eastAsia="Times New Roman" w:hAnsi="Times New Roman"/>
          <w:sz w:val="19"/>
          <w:szCs w:val="19"/>
          <w:color w:val="auto"/>
        </w:rPr>
        <w:t xml:space="preserve">” means (a) any direct or indirect Domestic Subsidiary that has no material assets other than the Capital Stock and/or Indebtedness of one or more Foreign Subsidiaries and (b) any direct or indirect Domestic Subsidiary that has no material assets other than the Capital Stock and/or Indebtedness of one or more Persons of the type described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US in effect and applicable to the accounting period in respect of which reference to GAAP is made.</w:t>
      </w:r>
    </w:p>
    <w:p>
      <w:pPr>
        <w:spacing w:after="0" w:line="159"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 each case whether associated with the US, a foreign government or any political subdivision thereof, including any applicable supranational body (such as the European Union or the European Central Bank).</w:t>
      </w:r>
    </w:p>
    <w:p>
      <w:pPr>
        <w:spacing w:after="0" w:line="185"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approval, plan, directive, consent order or consent decree of or from any Governmental Authority.</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20"/>
          <w:szCs w:val="20"/>
          <w:u w:val="single" w:color="auto"/>
          <w:color w:val="auto"/>
        </w:rPr>
        <w:t>Primary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Obligor</w:t>
      </w:r>
      <w:r>
        <w:rPr>
          <w:rFonts w:ascii="Times New Roman" w:cs="Times New Roman" w:eastAsia="Times New Roman" w:hAnsi="Times New Roman"/>
          <w:sz w:val="20"/>
          <w:szCs w:val="20"/>
          <w:color w:val="auto"/>
        </w:rPr>
        <w:t>”) in any manner and including any obligation of the Guarantor (a) to purchase or pay (or advance or supply funds for the purchase 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or customary and reasonable indemnity obligations in effect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has the meaning assigned to such term in the definition of “Guarantee”.</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spacing w:after="0" w:line="180"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 Activity</w:t>
      </w:r>
      <w:r>
        <w:rPr>
          <w:rFonts w:ascii="Times New Roman" w:cs="Times New Roman" w:eastAsia="Times New Roman" w:hAnsi="Times New Roman"/>
          <w:sz w:val="20"/>
          <w:szCs w:val="20"/>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8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agreement with respect to any Derivative Transaction (or any master agreement which is intended to govern multiple Derivative Transactions) between any Loan Party or any Restricted Subsidiary and any other Person.</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 any Hedge Agreement.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preamble to this Agreement and shall, for the avoidance of doubt, include any Successor Holdings.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IBA</w:t>
      </w:r>
      <w:r>
        <w:rPr>
          <w:rFonts w:ascii="Times New Roman" w:cs="Times New Roman" w:eastAsia="Times New Roman" w:hAnsi="Times New Roman"/>
          <w:sz w:val="20"/>
          <w:szCs w:val="20"/>
          <w:color w:val="FF0000"/>
          <w:strike w:val="1"/>
        </w:rPr>
        <w:t xml:space="preserve">” has the meaning assigned to such term in </w:t>
      </w:r>
      <w:r>
        <w:rPr>
          <w:rFonts w:ascii="Times New Roman" w:cs="Times New Roman" w:eastAsia="Times New Roman" w:hAnsi="Times New Roman"/>
          <w:sz w:val="20"/>
          <w:szCs w:val="20"/>
          <w:u w:val="single" w:color="auto"/>
          <w:color w:val="FF0000"/>
          <w:strike w:val="1"/>
        </w:rPr>
        <w:t>Section 1.11</w:t>
      </w:r>
      <w:r>
        <w:rPr>
          <w:rFonts w:ascii="Times New Roman" w:cs="Times New Roman" w:eastAsia="Times New Roman" w:hAnsi="Times New Roman"/>
          <w:sz w:val="20"/>
          <w:szCs w:val="20"/>
          <w:color w:val="FF0000"/>
          <w:strike w:val="1"/>
        </w:rPr>
        <w:t>.</w:t>
      </w:r>
    </w:p>
    <w:p>
      <w:pPr>
        <w:spacing w:after="0" w:line="216" w:lineRule="exact"/>
        <w:rPr>
          <w:sz w:val="20"/>
          <w:szCs w:val="20"/>
          <w:color w:val="auto"/>
        </w:rPr>
      </w:pPr>
    </w:p>
    <w:p>
      <w:pPr>
        <w:jc w:val="both"/>
        <w:ind w:firstLine="107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as of any date, any subsidiary of the Borrower the contribution to Consolidated Adjusted EBITDA of which, when taken together with the contribution to Consolidated Adjusted EBITDA of all other subsidiaries that are Immaterial Subsidiaries, does not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5.00% of Consolidated Adjusted EBITDA as of the last day of the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all times prior to the first delivery of financial statements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this definition shall be applied based on the pro forma consolidated financial statements delivered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w:t>
      </w:r>
      <w:r>
        <w:rPr>
          <w:rFonts w:ascii="Times New Roman" w:cs="Times New Roman" w:eastAsia="Times New Roman" w:hAnsi="Times New Roman"/>
          <w:sz w:val="20"/>
          <w:szCs w:val="20"/>
          <w:color w:val="auto"/>
        </w:rPr>
        <w:t>” means, with respect to any individual, such individual’s child, stepchild, grandchild or more remote descendant, parent, stepparent, grandparent, spouse, former spouse, domestic partner, former domestic partner, sibling, mother-in-law, father-in-law, son-in-law and/or daughter-in-law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Fixed Incremental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(A) the aggregate outstanding principal amount of any Incremental Facility and/or Incremental Equivalent Debt previously incurred or issued in reliance on the Fixed Incremental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outstanding principal amount of any Ratio Debt issued and/or incurred in reliance on the Fixed Incremental Amount pursuant to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after giving effect to (1) any reclassification of any Incremental Facility and/or Incremental Equivalent Debt as having been issued or incurred in reliance on the Incremental Incurrence-Based Component and/or (2) any reclassification of any Ratio Debt as having been incurred in reliance on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60" w:lineRule="auto"/>
        <w:tabs>
          <w:tab w:leader="none" w:pos="190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Incremental Facility or Incremental Equivalent Debt that effectively extends (i) the Maturity Date with respect to any Class of Loans and/or Commitments hereunder and/or (ii) the maturity date with respect to (A) any other First Lien Debt and/or (B) any Junior Lien Debt (it being understood that, in the case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the relevant Incremental Facility or Incremental Equivalent Debt incurred in reliance hereon will, at the option of the Borrower, either constitute Junior Lien Debt or be unsecured), an amount equal to the portion of the relevant Class of Loans or Commitments or such other First Lien Debt or such Junior Lien Debt, as applicable, that will be replaced by such Incremental Facility or Incremental Equivalent Debt; </w:t>
      </w:r>
      <w:r>
        <w:rPr>
          <w:rFonts w:ascii="Times New Roman" w:cs="Times New Roman" w:eastAsia="Times New Roman" w:hAnsi="Times New Roman"/>
          <w:sz w:val="19"/>
          <w:szCs w:val="19"/>
          <w:u w:val="single" w:color="auto"/>
          <w:color w:val="auto"/>
        </w:rPr>
        <w:t>plus</w:t>
      </w:r>
    </w:p>
    <w:p>
      <w:pPr>
        <w:spacing w:after="0" w:line="172"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Incremental Facility or Incremental Equivalent Debt that effectively replaces any Revolving Credit Commitment terminated in accordance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 amount equal to the relevant terminated Revolving Credit Commitment;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7" w:lineRule="auto"/>
        <w:tabs>
          <w:tab w:leader="none" w:pos="190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duplication of clauses (b) and (c) above, (x) (i) the amount of any voluntary prepayment, redemption, repurchase or other retirement of (A)(1) any Term Loan and/or any other First Lien Debt and/or (2) any Junior Lien Debt (it being understood that, in the case of this </w:t>
      </w:r>
      <w:r>
        <w:rPr>
          <w:rFonts w:ascii="Times New Roman" w:cs="Times New Roman" w:eastAsia="Times New Roman" w:hAnsi="Times New Roman"/>
          <w:sz w:val="19"/>
          <w:szCs w:val="19"/>
          <w:u w:val="single" w:color="auto"/>
          <w:color w:val="auto"/>
        </w:rPr>
        <w:t>clause (x)(i)(A)(2)</w:t>
      </w:r>
      <w:r>
        <w:rPr>
          <w:rFonts w:ascii="Times New Roman" w:cs="Times New Roman" w:eastAsia="Times New Roman" w:hAnsi="Times New Roman"/>
          <w:sz w:val="19"/>
          <w:szCs w:val="19"/>
          <w:color w:val="auto"/>
        </w:rPr>
        <w:t xml:space="preserve">, such amount may only be relied on to incur an Incremental Facility that either constitutes Junior Lien Debt or is unsecured) and/or (B) the amount of any permanent reduction of (1) any Revolving Credit Commitment and/or any revolving commitment in respect of any First Lien Debt and/or (2) any revolving commitment in respect of any Junior Lien Debt (it being understood that, in the case of this </w:t>
      </w:r>
      <w:r>
        <w:rPr>
          <w:rFonts w:ascii="Times New Roman" w:cs="Times New Roman" w:eastAsia="Times New Roman" w:hAnsi="Times New Roman"/>
          <w:sz w:val="19"/>
          <w:szCs w:val="19"/>
          <w:u w:val="single" w:color="auto"/>
          <w:color w:val="auto"/>
        </w:rPr>
        <w:t>clause (x)(i)(B)(2)</w:t>
      </w:r>
      <w:r>
        <w:rPr>
          <w:rFonts w:ascii="Times New Roman" w:cs="Times New Roman" w:eastAsia="Times New Roman" w:hAnsi="Times New Roman"/>
          <w:sz w:val="19"/>
          <w:szCs w:val="19"/>
          <w:color w:val="auto"/>
        </w:rPr>
        <w:t xml:space="preserve">, such amount may only be relied on to incur an Incremental Facility that either constitutes Junior Lien Debt or is unsecured) and (ii) the amount of any reduction in the outstanding principal amount of (A) any Term Loan and/or any other First Lien Debt and/or any (B) any Junior Lien Debt (it being understood that, in the case of this </w:t>
      </w:r>
      <w:r>
        <w:rPr>
          <w:rFonts w:ascii="Times New Roman" w:cs="Times New Roman" w:eastAsia="Times New Roman" w:hAnsi="Times New Roman"/>
          <w:sz w:val="19"/>
          <w:szCs w:val="19"/>
          <w:u w:val="single" w:color="auto"/>
          <w:color w:val="auto"/>
        </w:rPr>
        <w:t>clause (x)(ii)(B)</w:t>
      </w:r>
      <w:r>
        <w:rPr>
          <w:rFonts w:ascii="Times New Roman" w:cs="Times New Roman" w:eastAsia="Times New Roman" w:hAnsi="Times New Roman"/>
          <w:sz w:val="19"/>
          <w:szCs w:val="19"/>
          <w:color w:val="auto"/>
        </w:rPr>
        <w:t>, such amount may only be relied on to incur an Incremental Facility that either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Junior Lien Debt or is unsecured) resulting from any assignment of such Term Loan, First Lien Debt and/or Junior Lien Debt to (and/or any purchase of such Term Loan, First Lien Debt or Junior Lien Debt by) the Borrower and/or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each of </w:t>
      </w:r>
      <w:r>
        <w:rPr>
          <w:rFonts w:ascii="Times New Roman" w:cs="Times New Roman" w:eastAsia="Times New Roman" w:hAnsi="Times New Roman"/>
          <w:sz w:val="20"/>
          <w:szCs w:val="20"/>
          <w:u w:val="single" w:color="auto"/>
          <w:color w:val="auto"/>
        </w:rPr>
        <w:t>clauses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the relevant prepayment, redemption, purchase, assignment, redemption or other retirement was not funded with the proceeds of any long-term Indebtedness (other than revolving Indebtedness)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Incremental Prepayment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outstanding principal amount of any Indebtedness incurred in reliance on the Incremental Prepayment Amount pursuant to </w:t>
      </w:r>
      <w:r>
        <w:rPr>
          <w:rFonts w:ascii="Times New Roman" w:cs="Times New Roman" w:eastAsia="Times New Roman" w:hAnsi="Times New Roman"/>
          <w:sz w:val="20"/>
          <w:szCs w:val="20"/>
          <w:u w:val="single" w:color="auto"/>
          <w:color w:val="auto"/>
        </w:rPr>
        <w:t>Section 6.01(w)(i)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84" w:lineRule="exact"/>
        <w:rPr>
          <w:sz w:val="20"/>
          <w:szCs w:val="20"/>
          <w:color w:val="auto"/>
        </w:rPr>
      </w:pPr>
    </w:p>
    <w:p>
      <w:pPr>
        <w:ind w:left="760" w:firstLine="745"/>
        <w:spacing w:after="0" w:line="269" w:lineRule="auto"/>
        <w:tabs>
          <w:tab w:leader="none" w:pos="19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unlimited amount so long as, in the case 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after giving effect to the relevant Incremental Facility and/or Incremental Equivalent Debt; as applicable:</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constitutes First Lien Debt, the First Lien Net Leverage Ratio does not exceed 3.60:1.00;</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constitutes Junior Lien Debt, the Secured Net Leverage Ratio does not exceed 4.10:1.00; or</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Facility and/or Incremental Equivalent Debt is unsecured, the Total Net Leverage Ratio does not exceed 4.35:1.00;</w:t>
      </w:r>
    </w:p>
    <w:p>
      <w:pPr>
        <w:spacing w:after="0" w:line="159" w:lineRule="exact"/>
        <w:rPr>
          <w:sz w:val="20"/>
          <w:szCs w:val="20"/>
          <w:color w:val="auto"/>
        </w:rPr>
      </w:pPr>
    </w:p>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 xml:space="preserve">in each case described in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calculated on a Pro Forma Basis, including the application of the proceeds thereof (in the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without “netting” the cash proceeds of the applicable Incremental Facility or Incremental Equivalent Debt on the consolidated balance sheet of the Borrower), and in the case of any Incremental Facility or Incremental Equivalent Debt consisting of a revolving facility or a delayed draw term loan facility then being incurred or established, assuming a full drawing of such revolving facility or such delayed draw term loan facility on the date of the implementation thereof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Incremental Incurrence-Based Component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right="40" w:firstLine="396"/>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Incremental Facility and/or Incremental Equivalent Debt may be incurred under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definition as selected by the Borrower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Borrower elects otherwise, any such Incremental Facility and/or Incremental Equivalent Debt will be deemed to have been incurred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under the Incremental Incurrence-Based Component, to the maximum extent permitted thereunder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under the Incremental Prepayment Amount, to the maximum extent permitted thereunder.</w:t>
      </w:r>
    </w:p>
    <w:p>
      <w:pPr>
        <w:spacing w:after="0" w:line="77"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means any commitment made by a lender to provide all or any portion of any Incremental Facility or Incremental Loan.</w:t>
      </w:r>
    </w:p>
    <w:p>
      <w:pPr>
        <w:spacing w:after="0" w:line="155" w:lineRule="exact"/>
        <w:rPr>
          <w:sz w:val="20"/>
          <w:szCs w:val="20"/>
          <w:color w:val="auto"/>
        </w:rPr>
      </w:pPr>
    </w:p>
    <w:p>
      <w:pPr>
        <w:ind w:firstLine="101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means Indebtedness in the form of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senior secured or unsecured notes or loans and/or junior secured or unsecured notes or loans and/or, in each case commitments in respect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56" w:lineRule="exact"/>
        <w:rPr>
          <w:sz w:val="20"/>
          <w:szCs w:val="20"/>
          <w:color w:val="auto"/>
        </w:rPr>
      </w:pPr>
    </w:p>
    <w:p>
      <w:pPr>
        <w:jc w:val="both"/>
        <w:ind w:left="760" w:firstLine="745"/>
        <w:spacing w:after="0" w:line="246" w:lineRule="auto"/>
        <w:tabs>
          <w:tab w:leader="none" w:pos="19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principal amount (or committed amount, if applicable under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thereof shall not exceed the sum of (i) Incremental Cap (as in effect at the time of determination, including giving effect to any reclassification on or prior to such date of determination) and (ii) at the election of the Borrower, any additional amount of Indebtedness otherwise permitted to be incurred under this Agreement (and if such additional Indebtedness that is reallocated to Incremental Equivalent Debt is secured, the relevant Liens securing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ind w:left="760"/>
        <w:spacing w:after="0" w:line="269" w:lineRule="auto"/>
        <w:rPr>
          <w:sz w:val="20"/>
          <w:szCs w:val="20"/>
          <w:color w:val="auto"/>
        </w:rPr>
      </w:pPr>
      <w:r>
        <w:rPr>
          <w:rFonts w:ascii="Times New Roman" w:cs="Times New Roman" w:eastAsia="Times New Roman" w:hAnsi="Times New Roman"/>
          <w:sz w:val="20"/>
          <w:szCs w:val="20"/>
          <w:color w:val="auto"/>
        </w:rPr>
        <w:t>Indebtedness are Permitted Liens other than by virtue of such additional Indebtedness being incurred as Incremental Equivalent Debt);</w:t>
      </w:r>
    </w:p>
    <w:p>
      <w:pPr>
        <w:spacing w:after="0" w:line="159" w:lineRule="exact"/>
        <w:rPr>
          <w:sz w:val="20"/>
          <w:szCs w:val="20"/>
          <w:color w:val="auto"/>
        </w:rPr>
      </w:pPr>
    </w:p>
    <w:p>
      <w:pPr>
        <w:ind w:left="760" w:right="20" w:firstLine="745"/>
        <w:spacing w:after="0" w:line="26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applicable to such notes or loans (other than Customary Bridge Loans and/or revolving Indebtedness) is no shorter than the Weighted Average Life to Maturity of the then existing Term Loans;</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95" w:lineRule="auto"/>
        <w:tabs>
          <w:tab w:leader="none" w:pos="190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final maturity date with respect to such notes or loans (other than Customary Bridge Loans and/or revolving Indebtedness) is no earlier than the Latest Term Loan Maturity Date on the date of the issuance or incurrence, as applicable, thereof;</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such Indebtedness may otherwise have an amortization schedule as determined by the Borrower and the lenders providing such Incremental Equivalent Debt;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74" w:lineRule="auto"/>
        <w:tabs>
          <w:tab w:leader="none" w:pos="190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currency, pricing (including any “MFN” or other pricing terms), interest rate margins, rate floors, fees, premiums (including prepayment premiums), funding discounts and the maturity and amortization schedule applicable to any Incremental Equivalent Debt shall be determined by the Borrower and the lender or lenders providing such Incremental Equivalent Debt;</w:t>
      </w:r>
    </w:p>
    <w:p>
      <w:pPr>
        <w:spacing w:after="0" w:line="156"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Incremental Equivalent Debt will be documented pursuant to separate documentation from the credit agreement governing the Credit Facilities;</w:t>
      </w:r>
    </w:p>
    <w:p>
      <w:pPr>
        <w:spacing w:after="0" w:line="155"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Indebtedness is (i)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Secured Obligations that constitute First Lien Debt, (ii) secured by the Collateral on a junior basis as compared to the Secured Obligations that constitute First Lien Debt or (iii) subordinated to the Obligations in right of payment, then the holders of such Indebtedness (or a representative thereof) shall be party to an Intercreditor Agreement;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Indebtedness may be (A) issued or guaranteed by any subsidiary of the Borrower which is not a Loan Party (it being understood and agreed that the obligations of any Person with respect to any Escrow arrangement into which the proceeds of such Indebtedness are deposited shall not constitute a guarantee by any subsidiary that is not a Loan Party) or (B) secured by any asset that does not constitute Collateral; it being understood that any such Indebtedness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the Borrower executed by each of (a) Holdings and the Borrower, (b) the Administrative Agent and (c) each Lender that agrees to provide all or any portion of the Incremental Facility being incurred pursuant thereto and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Incurrence-Based Component</w:t>
      </w:r>
      <w:r>
        <w:rPr>
          <w:rFonts w:ascii="Times New Roman" w:cs="Times New Roman" w:eastAsia="Times New Roman" w:hAnsi="Times New Roman"/>
          <w:sz w:val="20"/>
          <w:szCs w:val="20"/>
          <w:color w:val="auto"/>
        </w:rPr>
        <w:t>” has the meaning assigned to such term in the definition of “Incremental Cap”.</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Prepayment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“Incremental Cap.”</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 Lender</w:t>
      </w:r>
      <w:r>
        <w:rPr>
          <w:rFonts w:ascii="Times New Roman" w:cs="Times New Roman" w:eastAsia="Times New Roman" w:hAnsi="Times New Roman"/>
          <w:sz w:val="20"/>
          <w:szCs w:val="20"/>
          <w:color w:val="auto"/>
        </w:rPr>
        <w:t>” means, with respect to any Incremental Revolving Facility, each Revolving Lender providing any portion of such Incremental Revolving Facility.</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as applied to any Person means, without duplication:</w:t>
      </w:r>
    </w:p>
    <w:p>
      <w:pPr>
        <w:spacing w:after="0" w:line="216" w:lineRule="exact"/>
        <w:rPr>
          <w:sz w:val="20"/>
          <w:szCs w:val="20"/>
          <w:color w:val="auto"/>
        </w:rPr>
      </w:pPr>
    </w:p>
    <w:p>
      <w:pPr>
        <w:ind w:left="1900" w:hanging="395"/>
        <w:spacing w:after="0"/>
        <w:tabs>
          <w:tab w:leader="none" w:pos="1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for borrowed money;</w:t>
      </w:r>
    </w:p>
    <w:p>
      <w:pPr>
        <w:spacing w:after="0" w:line="215"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portion of obligations with respect to Capital Leases to the extent recorded as a liability on a balance sheet (excluding the footnotes thereto) of such Person prepared in accordance with GAAP;</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95" w:lineRule="auto"/>
        <w:tabs>
          <w:tab w:leader="none" w:pos="190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44" w:lineRule="auto"/>
        <w:tabs>
          <w:tab w:leader="none" w:pos="190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such Person owed for all or any part of the deferred purchase price of property or services (excluding (i) any earn-out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 incurred under ERISA, (iii) accrued expenses and trade accounts payable in the ordinary course of business (including on an inter-company basis) and (iv) liabilities associated with customer prepayments and deposits), which purchase price is (A) due more than six months from the date of the incurrence of the obligation in respect thereof or (B) evidenced by a note or similar written instrument);</w:t>
      </w:r>
    </w:p>
    <w:p>
      <w:pPr>
        <w:spacing w:after="0" w:line="18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monetary obligation of any other Person secured by any Lien on any asset owned or held by such Person regardless of whether the Indebtedness secured thereby has been assumed by such Person or is non-recourse to the credit of such Person;</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amount of any letter of credit issued for the account of such Person or as to which such Person is otherwise liable for reimbursement of drawings;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by such Person of the Indebtedness of another;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any Disqualified Capital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ind w:left="760" w:firstLine="745"/>
        <w:spacing w:after="0" w:line="269" w:lineRule="auto"/>
        <w:tabs>
          <w:tab w:leader="none" w:pos="19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obligations of such Person in respect of any Derivative Transaction, including any Hedge Agreement, whether or not entered into for hedging or speculative purposes;</w:t>
      </w:r>
    </w:p>
    <w:p>
      <w:pPr>
        <w:spacing w:after="0" w:line="15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no event shall any obligation under any Derivative Transaction be deemed to constitute “Indebtedness” for any calculation of the First Lien Net Leverage Ratio, the Secured Net Leverage Ratio, the Total Net Leverage Ratio or any other financial ratio under this Agreement, (ii) the amount of Indebtedness of any Person for purposes of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shall be deemed to be equal to the lesser of</w:t>
      </w:r>
    </w:p>
    <w:p>
      <w:pPr>
        <w:ind w:right="20" w:firstLine="8"/>
        <w:spacing w:after="0" w:line="241" w:lineRule="auto"/>
        <w:tabs>
          <w:tab w:leader="none" w:pos="3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unpaid principal amount of such Indebtedness and (B) the fair market value of the property encumbered thereby as determined by such Person in good faith and (iii) the term “Indebtedness” shall exclude (A) intercompany loans and/or advances arising from cash management, tax and accounting operations and (B) intercompany loans and/or advances made in the ordinary course of business that have a term that does not exceed 364 days.</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For all purposes hereof, the Indebtedness of any Person shall (i)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notwithstanding anything herein to the contrary, the term “Indebtedness” shall not include, and shall be calculated without giving effect to,</w:t>
      </w:r>
    </w:p>
    <w:p>
      <w:pPr>
        <w:spacing w:after="0" w:line="1" w:lineRule="exact"/>
        <w:rPr>
          <w:sz w:val="20"/>
          <w:szCs w:val="20"/>
          <w:color w:val="auto"/>
        </w:rPr>
      </w:pPr>
    </w:p>
    <w:p>
      <w:pPr>
        <w:ind w:right="20" w:firstLine="8"/>
        <w:spacing w:after="0"/>
        <w:tabs>
          <w:tab w:leader="none" w:pos="2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(2)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and (ii) exclude (A) obligations incurred in connection with the consummation of any transaction solely to the extent the proceeds thereof are and continue to be held in an escrow, trust, collateral or similar account or arrangement (collectively, an “</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and are not otherwise made available to such Person, (B) prepaid or deferred revenue and (C) obligations that constitute “Indebtedness” solely by virtue of a pledge of an Investment (without an accompanying guaranty) in any Unrestricted Subsidiary.</w:t>
      </w:r>
    </w:p>
    <w:p>
      <w:pPr>
        <w:spacing w:after="0" w:line="80"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amount of any Indebtedness that is issued at a discount to its initial principal amount shall be calculated based on the initial stated principal amount thereof without giving effect to any such discount.</w:t>
      </w:r>
    </w:p>
    <w:p>
      <w:pPr>
        <w:spacing w:after="0" w:line="51"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all Taxes, other than Excluded Taxes or Other Taxes, imposed on or with respect to any payment made by or on account of any obligation of any Loan Party under any Loan Document.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Lenders</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u w:val="single" w:color="auto"/>
          <w:color w:val="0000FF"/>
        </w:rPr>
        <w:t>2021</w:t>
      </w:r>
      <w:r>
        <w:rPr>
          <w:rFonts w:ascii="Times New Roman" w:cs="Times New Roman" w:eastAsia="Times New Roman" w:hAnsi="Times New Roman"/>
          <w:sz w:val="20"/>
          <w:szCs w:val="20"/>
          <w:color w:val="auto"/>
        </w:rPr>
        <w:t xml:space="preserve"> Arrangers and the affiliates of the </w:t>
      </w:r>
      <w:r>
        <w:rPr>
          <w:rFonts w:ascii="Times New Roman" w:cs="Times New Roman" w:eastAsia="Times New Roman" w:hAnsi="Times New Roman"/>
          <w:sz w:val="20"/>
          <w:szCs w:val="20"/>
          <w:u w:val="single" w:color="auto"/>
          <w:color w:val="0000FF"/>
        </w:rPr>
        <w:t>2021</w:t>
      </w:r>
      <w:r>
        <w:rPr>
          <w:rFonts w:ascii="Times New Roman" w:cs="Times New Roman" w:eastAsia="Times New Roman" w:hAnsi="Times New Roman"/>
          <w:sz w:val="20"/>
          <w:szCs w:val="20"/>
          <w:color w:val="auto"/>
        </w:rPr>
        <w:t xml:space="preserve"> Arrangers who are party to this Agreement as Lenders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Commitment</w:t>
      </w:r>
      <w:r>
        <w:rPr>
          <w:rFonts w:ascii="Times New Roman" w:cs="Times New Roman" w:eastAsia="Times New Roman" w:hAnsi="Times New Roman"/>
          <w:sz w:val="20"/>
          <w:szCs w:val="20"/>
          <w:color w:val="auto"/>
        </w:rPr>
        <w:t xml:space="preserve">” means, with respect to any Person, the commitment of such Person to make Initial Revolving Loans (and acquire participations in Letters of Credit and Swingline Loans) hereunder as set forth on the Commitment Schedule, or in the Assignment Agreement pursuant to which such Person assumed its Initial Revolving Credit Commitment, as applicable, as the same may be (a)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(b)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or (c) increased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The aggregate amount of the Initial Revolving Credit Commitments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is $</w:t>
      </w:r>
      <w:r>
        <w:rPr>
          <w:rFonts w:ascii="Times New Roman" w:cs="Times New Roman" w:eastAsia="Times New Roman" w:hAnsi="Times New Roman"/>
          <w:sz w:val="20"/>
          <w:szCs w:val="20"/>
          <w:color w:val="FF0000"/>
          <w:strike w:val="1"/>
        </w:rPr>
        <w:t>75,000,000</w:t>
      </w:r>
      <w:r>
        <w:rPr>
          <w:rFonts w:ascii="Times New Roman" w:cs="Times New Roman" w:eastAsia="Times New Roman" w:hAnsi="Times New Roman"/>
          <w:sz w:val="20"/>
          <w:szCs w:val="20"/>
          <w:u w:val="single" w:color="auto"/>
          <w:color w:val="0000FF"/>
        </w:rPr>
        <w:t>50,000,000</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Exposure</w:t>
      </w:r>
      <w:r>
        <w:rPr>
          <w:rFonts w:ascii="Times New Roman" w:cs="Times New Roman" w:eastAsia="Times New Roman" w:hAnsi="Times New Roman"/>
          <w:sz w:val="20"/>
          <w:szCs w:val="20"/>
          <w:color w:val="auto"/>
        </w:rPr>
        <w:t xml:space="preserve">” means, with respect to any Lender at any time, the aggregate Outstanding Amount at such time of all Initial Revolving Loans of such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at such time of such Lender’s LC Exposure and Swingline Exposure, in each case, attributable to its Initial Revolving Credit Commitment.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Credit Maturity Date</w:t>
      </w:r>
      <w:r>
        <w:rPr>
          <w:rFonts w:ascii="Times New Roman" w:cs="Times New Roman" w:eastAsia="Times New Roman" w:hAnsi="Times New Roman"/>
          <w:sz w:val="20"/>
          <w:szCs w:val="20"/>
          <w:color w:val="auto"/>
        </w:rPr>
        <w:t xml:space="preserve">” means the date that is five years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Facility</w:t>
      </w:r>
      <w:r>
        <w:rPr>
          <w:rFonts w:ascii="Times New Roman" w:cs="Times New Roman" w:eastAsia="Times New Roman" w:hAnsi="Times New Roman"/>
          <w:sz w:val="20"/>
          <w:szCs w:val="20"/>
          <w:color w:val="auto"/>
        </w:rPr>
        <w:t>” means the Initial Revolving Credit Commitments and the Initial Revolving Loans and other extensions of credit thereunder.</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Lender</w:t>
      </w:r>
      <w:r>
        <w:rPr>
          <w:rFonts w:ascii="Times New Roman" w:cs="Times New Roman" w:eastAsia="Times New Roman" w:hAnsi="Times New Roman"/>
          <w:sz w:val="20"/>
          <w:szCs w:val="20"/>
          <w:color w:val="auto"/>
        </w:rPr>
        <w:t>” means any Lender with an Initial Revolving Credit Commitment or any Initial Revolving Credit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Exposure.</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Lender</w:t>
      </w:r>
      <w:r>
        <w:rPr>
          <w:rFonts w:ascii="Times New Roman" w:cs="Times New Roman" w:eastAsia="Times New Roman" w:hAnsi="Times New Roman"/>
          <w:sz w:val="20"/>
          <w:szCs w:val="20"/>
          <w:color w:val="auto"/>
        </w:rPr>
        <w:t>” means any Lender with an Initial Term Loan Commitment or an outstanding Initial Term Loan.</w:t>
      </w:r>
    </w:p>
    <w:p>
      <w:pPr>
        <w:spacing w:after="0" w:line="216" w:lineRule="exact"/>
        <w:rPr>
          <w:sz w:val="20"/>
          <w:szCs w:val="20"/>
          <w:color w:val="auto"/>
        </w:rPr>
      </w:pPr>
    </w:p>
    <w:p>
      <w:pPr>
        <w:jc w:val="both"/>
        <w:ind w:firstLine="101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Term Loan Commitment</w:t>
      </w:r>
      <w:r>
        <w:rPr>
          <w:rFonts w:ascii="Times New Roman" w:cs="Times New Roman" w:eastAsia="Times New Roman" w:hAnsi="Times New Roman"/>
          <w:sz w:val="19"/>
          <w:szCs w:val="19"/>
          <w:color w:val="auto"/>
        </w:rPr>
        <w:t xml:space="preserve">” means, with respect to any Person, the commitment of such Person to make Initial Term Loans hereunder in an aggregate amount not to exceed the amount set forth opposite such Person’s name on the Commitment Schedule, as the same may be (a) reduced from time to time pursuant to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(b) reduced or increased from time to time pursuant to assignments made by or to such Term Lender pursuant to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xml:space="preserve"> or (c) increased from time to time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The aggregate amount of the Term Lenders’ Initial Term Loan Commitments on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is $</w:t>
      </w:r>
      <w:r>
        <w:rPr>
          <w:rFonts w:ascii="Times New Roman" w:cs="Times New Roman" w:eastAsia="Times New Roman" w:hAnsi="Times New Roman"/>
          <w:sz w:val="19"/>
          <w:szCs w:val="19"/>
          <w:color w:val="FF0000"/>
          <w:strike w:val="1"/>
        </w:rPr>
        <w:t>275,000,000</w:t>
      </w:r>
      <w:r>
        <w:rPr>
          <w:rFonts w:ascii="Times New Roman" w:cs="Times New Roman" w:eastAsia="Times New Roman" w:hAnsi="Times New Roman"/>
          <w:sz w:val="19"/>
          <w:szCs w:val="19"/>
          <w:u w:val="single" w:color="auto"/>
          <w:color w:val="0000FF"/>
        </w:rPr>
        <w:t>175,000,000</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Maturity Date</w:t>
      </w:r>
      <w:r>
        <w:rPr>
          <w:rFonts w:ascii="Times New Roman" w:cs="Times New Roman" w:eastAsia="Times New Roman" w:hAnsi="Times New Roman"/>
          <w:sz w:val="20"/>
          <w:szCs w:val="20"/>
          <w:color w:val="auto"/>
        </w:rPr>
        <w:t xml:space="preserve">” means the date that is five years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w:t>
      </w:r>
      <w:r>
        <w:rPr>
          <w:rFonts w:ascii="Times New Roman" w:cs="Times New Roman" w:eastAsia="Times New Roman" w:hAnsi="Times New Roman"/>
          <w:sz w:val="20"/>
          <w:szCs w:val="20"/>
          <w:color w:val="auto"/>
        </w:rPr>
        <w:t xml:space="preserve">” means any agreement, or a supplement thereto, executed on or after the Closing Date confirming or effecting the grant of any Lien on IP Rights owned by any Loan Party to the Administrative Agent, for the benefit of the Secured Parties, required in accordance with this Agreement and the Security Agreement, including an Intellectual Property Security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such other form to which the Borrower and the Administrative Agent may reasonably agree.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1900" w:hanging="395"/>
        <w:spacing w:after="0"/>
        <w:tabs>
          <w:tab w:leader="none" w:pos="1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that constitutes First Lien Debt, a Pari Passu Intercreditor Agreement;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that constitutes Junior Lien Debt, a Junior Lien Intercreditor Agreement; and/or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8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or another form reasonably acceptable to the Administrative Agent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each Scheduled Payment Date and the maturity date applicable to such ABR Loan and (b) with respect to any Term SOFR Loan, the last day of the Interest Period applicable to the Borrowing of which such Loan is a part and, in the case of a Term SOFR Loan with an Interest Period of more than three months’ duration, each day that would have been an Interest Payment Date had successive Interest Periods of three months’ duration been applicable to such Borrowing.</w:t>
      </w:r>
    </w:p>
    <w:p>
      <w:pPr>
        <w:spacing w:after="0" w:line="165"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SOFR Borrowing, the period commencing on the date of such Borrowing and ending on the numerically corresponding day in the calendar month that is one, three or six months (or, to the extent available to all relevant affected Lenders, 12 months or any period shorter than 12 months) thereafter, as the Borrower may elect (in the case of each requested Interest Period,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w:t>
      </w:r>
    </w:p>
    <w:p>
      <w:pPr>
        <w:spacing w:after="0" w:line="192"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 any purchase or other acquisition for consideration by the Borrower or any of its Restricted Subsidiaries of any of the Capital Stock of any other Person (other than any Loan Party (other than Holdings)), (b) the acquisition for consideration by the Borrower or any of its Restricted Subsidiaries by purchase or otherwise (other than any purchase or other acquisition of inventory, materials, supplies and/or equipment in the ordinary course of business) of all or a substantial portion of the business, property or fixed assets of any other Person constituting an operating division or operating line of business or other operating business unit of such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in exchange for consideration by the Borrower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Restricted Subsidiaries to any other Person. Subject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the amount of any Investment shall be the original cost of such Investment, plus the cost of any addition thereto that otherwise constitutes an Investment, without any adjustment for any increase or decrease in value, or any write-up, write-down or write-off with respect thereto, but giving effect to (i) any repayment of principal and/or interest in the case of any Investment in the form of a loan or other debt instrument and (ii) any return of capital or return on Investment in the case of any equity Investment (whether as a distribution, dividend, redemption or sale but not in excess of the amount of the relevant initial Investment). It is understood and agreed that the term “Investment” shall exclude (A) intercompany advances arising from cash management, tax and accounting operations and (B) intercompany loans, advances or Indebtedness made in the ordinary course of business that have a term that does not exceed 364 days.</w:t>
      </w:r>
    </w:p>
    <w:p>
      <w:pPr>
        <w:spacing w:after="0" w:line="18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 xml:space="preserve">” means (a) the Sponsors, (b) the Management Investors, and (c) other investors that, directly or indirectly, beneficially </w:t>
      </w:r>
      <w:r>
        <w:rPr>
          <w:rFonts w:ascii="Times New Roman" w:cs="Times New Roman" w:eastAsia="Times New Roman" w:hAnsi="Times New Roman"/>
          <w:sz w:val="20"/>
          <w:szCs w:val="20"/>
          <w:color w:val="FF0000"/>
          <w:strike w:val="1"/>
        </w:rPr>
        <w:t>own</w:t>
      </w:r>
      <w:r>
        <w:rPr>
          <w:rFonts w:ascii="Times New Roman" w:cs="Times New Roman" w:eastAsia="Times New Roman" w:hAnsi="Times New Roman"/>
          <w:sz w:val="20"/>
          <w:szCs w:val="20"/>
          <w:u w:val="single" w:color="auto"/>
          <w:color w:val="0000FF"/>
        </w:rPr>
        <w:t>owns</w:t>
      </w:r>
      <w:r>
        <w:rPr>
          <w:rFonts w:ascii="Times New Roman" w:cs="Times New Roman" w:eastAsia="Times New Roman" w:hAnsi="Times New Roman"/>
          <w:sz w:val="20"/>
          <w:szCs w:val="20"/>
          <w:color w:val="auto"/>
        </w:rPr>
        <w:t xml:space="preserve"> Capital Stock in Holdings </w:t>
      </w:r>
      <w:r>
        <w:rPr>
          <w:rFonts w:ascii="Times New Roman" w:cs="Times New Roman" w:eastAsia="Times New Roman" w:hAnsi="Times New Roman"/>
          <w:sz w:val="20"/>
          <w:szCs w:val="20"/>
          <w:color w:val="FF0000"/>
          <w:strike w:val="1"/>
        </w:rPr>
        <w:t>on</w:t>
      </w:r>
      <w:r>
        <w:rPr>
          <w:rFonts w:ascii="Times New Roman" w:cs="Times New Roman" w:eastAsia="Times New Roman" w:hAnsi="Times New Roman"/>
          <w:sz w:val="20"/>
          <w:szCs w:val="20"/>
          <w:u w:val="single" w:color="auto"/>
          <w:color w:val="0000FF"/>
        </w:rPr>
        <w:t>immediately prior 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Closing Date</w:t>
      </w:r>
      <w:r>
        <w:rPr>
          <w:rFonts w:ascii="Times New Roman" w:cs="Times New Roman" w:eastAsia="Times New Roman" w:hAnsi="Times New Roman"/>
          <w:sz w:val="20"/>
          <w:szCs w:val="20"/>
          <w:u w:val="single" w:color="auto"/>
          <w:color w:val="0000FF"/>
        </w:rPr>
        <w:t>IPO</w:t>
      </w:r>
      <w:r>
        <w:rPr>
          <w:rFonts w:ascii="Times New Roman" w:cs="Times New Roman" w:eastAsia="Times New Roman" w:hAnsi="Times New Roman"/>
          <w:sz w:val="20"/>
          <w:szCs w:val="20"/>
          <w:color w:val="auto"/>
        </w:rPr>
        <w:t>, which may include one or more of the limited partners of any Sponsor.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3.05(c)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Separation Transaction</w:t>
      </w:r>
      <w:r>
        <w:rPr>
          <w:rFonts w:ascii="Times New Roman" w:cs="Times New Roman" w:eastAsia="Times New Roman" w:hAnsi="Times New Roman"/>
          <w:sz w:val="20"/>
          <w:szCs w:val="20"/>
          <w:color w:val="auto"/>
        </w:rPr>
        <w:t xml:space="preserve">” means (a) any Disposition by any Loan Party </w:t>
      </w:r>
      <w:r>
        <w:rPr>
          <w:rFonts w:ascii="Times New Roman" w:cs="Times New Roman" w:eastAsia="Times New Roman" w:hAnsi="Times New Roman"/>
          <w:sz w:val="20"/>
          <w:szCs w:val="20"/>
          <w:u w:val="single" w:color="auto"/>
          <w:color w:val="0000FF"/>
        </w:rPr>
        <w:t>or its Restricted Subsidiary</w:t>
      </w:r>
      <w:r>
        <w:rPr>
          <w:rFonts w:ascii="Times New Roman" w:cs="Times New Roman" w:eastAsia="Times New Roman" w:hAnsi="Times New Roman"/>
          <w:sz w:val="20"/>
          <w:szCs w:val="20"/>
          <w:color w:val="auto"/>
        </w:rPr>
        <w:t xml:space="preserve"> of any Material Intellectual Property to any Unrestricted Subsidiary (other than any bona fide operational joint venture established for legitimate business purposes) and/or (b) any Investment by any Loan Party in the form of a contribution of Material Intellectual Property to any Unrestricted Subsidiary (other than any bona fide operational joint venture established for legitimate business purposes).</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US Internal Revenue Service.</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means, as the context may require, (a) each of Bank of America, </w:t>
      </w:r>
      <w:r>
        <w:rPr>
          <w:rFonts w:ascii="Times New Roman" w:cs="Times New Roman" w:eastAsia="Times New Roman" w:hAnsi="Times New Roman"/>
          <w:sz w:val="20"/>
          <w:szCs w:val="20"/>
          <w:color w:val="FF0000"/>
          <w:strike w:val="1"/>
        </w:rPr>
        <w:t>Barclays Bank PLC, New York Branch,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Suisse AG, Cayman Islands Branch, Deutsche Bank AG New York Branch, Goldman Sachs Bank USA,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JPMorgan Chase Bank, N.A.,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Morgan Stanley Senior Funding, Inc. and Stifel Bank &amp; Trust</w:t>
      </w:r>
      <w:r>
        <w:rPr>
          <w:rFonts w:ascii="Times New Roman" w:cs="Times New Roman" w:eastAsia="Times New Roman" w:hAnsi="Times New Roman"/>
          <w:sz w:val="20"/>
          <w:szCs w:val="20"/>
          <w:u w:val="single" w:color="auto"/>
          <w:color w:val="0000FF"/>
          <w:strike w:val="1"/>
        </w:rPr>
        <w:t>DNB Capital LLC, Deutsche Bank AG New York Branch, and Goldman Sachs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Bank USA,</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and (b) each other Person that is or becomes a Revolving Lender, that, in the case of this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00"/>
          <w:strike w:val="1"/>
        </w:rPr>
        <w:t>clause (b)</w:t>
      </w:r>
      <w:r>
        <w:rPr>
          <w:rFonts w:ascii="Times New Roman" w:cs="Times New Roman" w:eastAsia="Times New Roman" w:hAnsi="Times New Roman"/>
          <w:sz w:val="20"/>
          <w:szCs w:val="20"/>
          <w:color w:val="000000"/>
          <w:strike w:val="1"/>
        </w:rPr>
        <w:t>, agrees to act as an Issuing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Bank hereunder pursuant to </w:t>
      </w:r>
      <w:r>
        <w:rPr>
          <w:rFonts w:ascii="Times New Roman" w:cs="Times New Roman" w:eastAsia="Times New Roman" w:hAnsi="Times New Roman"/>
          <w:sz w:val="20"/>
          <w:szCs w:val="20"/>
          <w:u w:val="single" w:color="auto"/>
          <w:color w:val="000000"/>
          <w:strike w:val="1"/>
        </w:rPr>
        <w:t>Section 2.05(h)(ii)</w:t>
      </w:r>
      <w:r>
        <w:rPr>
          <w:rFonts w:ascii="Times New Roman" w:cs="Times New Roman" w:eastAsia="Times New Roman" w:hAnsi="Times New Roman"/>
          <w:sz w:val="20"/>
          <w:szCs w:val="20"/>
          <w:color w:val="000000"/>
          <w:strike w:val="1"/>
        </w:rPr>
        <w:t xml:space="preserve">, and in the case of </w:t>
      </w:r>
      <w:r>
        <w:rPr>
          <w:rFonts w:ascii="Times New Roman" w:cs="Times New Roman" w:eastAsia="Times New Roman" w:hAnsi="Times New Roman"/>
          <w:sz w:val="20"/>
          <w:szCs w:val="20"/>
          <w:u w:val="single" w:color="auto"/>
          <w:color w:val="000000"/>
          <w:strike w:val="1"/>
        </w:rPr>
        <w:t>clauses (a)</w:t>
      </w:r>
      <w:r>
        <w:rPr>
          <w:rFonts w:ascii="Times New Roman" w:cs="Times New Roman" w:eastAsia="Times New Roman" w:hAnsi="Times New Roman"/>
          <w:sz w:val="20"/>
          <w:szCs w:val="20"/>
          <w:color w:val="000000"/>
          <w:strike w:val="1"/>
        </w:rPr>
        <w:t xml:space="preserve"> and </w:t>
      </w:r>
      <w:r>
        <w:rPr>
          <w:rFonts w:ascii="Times New Roman" w:cs="Times New Roman" w:eastAsia="Times New Roman" w:hAnsi="Times New Roman"/>
          <w:sz w:val="20"/>
          <w:szCs w:val="20"/>
          <w:u w:val="single" w:color="auto"/>
          <w:color w:val="000000"/>
          <w:strike w:val="1"/>
        </w:rPr>
        <w:t>(b)</w:t>
      </w:r>
      <w:r>
        <w:rPr>
          <w:rFonts w:ascii="Times New Roman" w:cs="Times New Roman" w:eastAsia="Times New Roman" w:hAnsi="Times New Roman"/>
          <w:sz w:val="20"/>
          <w:szCs w:val="20"/>
          <w:color w:val="000000"/>
          <w:strike w:val="1"/>
        </w:rPr>
        <w:t>, each such Person in its capacity as an issuer of Letters of Credit hereunder.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w:t>
      </w:r>
    </w:p>
    <w:p>
      <w:pPr>
        <w:spacing w:after="0" w:line="18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or such other form that is reasonably satisfactory to the Administrative Agent and the Borrower; it being understood and agreed that any Joinder Agreement executed by any Foreign Subsidiary may include such modifications as may be necessary to reflect the fact that such Foreign Subsidiary may not become party to the Security Agreement.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Debt</w:t>
      </w:r>
      <w:r>
        <w:rPr>
          <w:rFonts w:ascii="Times New Roman" w:cs="Times New Roman" w:eastAsia="Times New Roman" w:hAnsi="Times New Roman"/>
          <w:sz w:val="20"/>
          <w:szCs w:val="20"/>
          <w:color w:val="auto"/>
        </w:rPr>
        <w:t>” means any Indebtedness (other than Indebtedness among Holdings, the Borrower and/or any of their respective subsidiaries) that is secured by a Lien on the Collateral that is expressly junior or subordinated to the Lien on the Collateral securing the Initial Term Loans and the Initial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Intercreditor Agreement</w:t>
      </w:r>
      <w:r>
        <w:rPr>
          <w:rFonts w:ascii="Times New Roman" w:cs="Times New Roman" w:eastAsia="Times New Roman" w:hAnsi="Times New Roman"/>
          <w:sz w:val="20"/>
          <w:szCs w:val="20"/>
          <w:color w:val="auto"/>
        </w:rPr>
        <w:t xml:space="preserve">” means an intercreditor agreement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with any changes thereto (whether material or immaterial) as the Borrower and the Administrative Agent may agree in their respective reasonable discretion.</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7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Revolving Credit Maturity Date</w:t>
      </w:r>
      <w:r>
        <w:rPr>
          <w:rFonts w:ascii="Times New Roman" w:cs="Times New Roman" w:eastAsia="Times New Roman" w:hAnsi="Times New Roman"/>
          <w:sz w:val="20"/>
          <w:szCs w:val="20"/>
          <w:color w:val="auto"/>
        </w:rPr>
        <w:t>” means, as of any date of determination, the latest maturity or expiration date applicable to any Revolving Loan or Revolving Credit Commitment hereunder at such time.</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Term Loan Maturity Date</w:t>
      </w:r>
      <w:r>
        <w:rPr>
          <w:rFonts w:ascii="Times New Roman" w:cs="Times New Roman" w:eastAsia="Times New Roman" w:hAnsi="Times New Roman"/>
          <w:sz w:val="20"/>
          <w:szCs w:val="20"/>
          <w:color w:val="auto"/>
        </w:rPr>
        <w:t>” means, as of any date of determination, the latest maturity or expiration date applicable to any Term Loan hereunder at such time.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or disbursement made by an Issuing Bank pursuant to a Letter of Credit.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amount of all outstanding Letters of Credit (other than any Letter of Credit that is subject to Letter of Credit Support at such time) at such time and (b) the aggregate principal amount of all LC Disbursements that have not yet been reimbursed at such time. The LC Exposure of any Revolving Lender at any time shall equal its Applicable Revolving Credit Percentage of the aggregate LC Exposure at such time.</w:t>
      </w:r>
    </w:p>
    <w:p>
      <w:pPr>
        <w:spacing w:after="0" w:line="18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 the application of the relevant Debtor Relief Laws, general principles of equity and/or principles of good faith and fair dealing.</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the Term Lenders, the Revolving Lenders and any other Person that becomes a party hereto pursuant to an Assignment Agreement, other than any such Person that ceases to be a party hereto pursuant to an Assignment Agreement.</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(or, in the case of any Existing Letter of Credit, deemed to be issued) pursuant to this Agreement (which, for the avoidance of doubt, shall exclude any Commercial Letter of Credit).</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means with respect to each Issuing Bank, the commitment of such Issuing Bank to issue Letters of Credit in an aggregate amount to not exceed the amount set forth opposite such Person’s name on the Commitment Schedule.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Reimbursement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2.05(d)(i)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Request</w:t>
      </w:r>
      <w:r>
        <w:rPr>
          <w:rFonts w:ascii="Times New Roman" w:cs="Times New Roman" w:eastAsia="Times New Roman" w:hAnsi="Times New Roman"/>
          <w:sz w:val="20"/>
          <w:szCs w:val="20"/>
          <w:color w:val="auto"/>
        </w:rPr>
        <w:t xml:space="preserve">” means a request by the Borrower for a new Letter of Credit or an amendment to any existing Letter of Credit in accordance with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substantially in the form of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 xml:space="preserve"> or such other form that is reasonably satisfactory to the relevant Issuing Bank and the Borrower.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Letter-of-Credit Right</w:t>
      </w:r>
      <w:r>
        <w:rPr>
          <w:rFonts w:ascii="Times New Roman" w:cs="Times New Roman" w:eastAsia="Times New Roman" w:hAnsi="Times New Roman"/>
          <w:sz w:val="20"/>
          <w:szCs w:val="20"/>
          <w:color w:val="auto"/>
        </w:rPr>
        <w:t>” has the meaning set forth in Article 9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means $15,000,000, subject to increase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Support</w:t>
      </w:r>
      <w:r>
        <w:rPr>
          <w:rFonts w:ascii="Times New Roman" w:cs="Times New Roman" w:eastAsia="Times New Roman" w:hAnsi="Times New Roman"/>
          <w:sz w:val="20"/>
          <w:szCs w:val="20"/>
          <w:color w:val="auto"/>
        </w:rPr>
        <w:t>” means, with respect to any Letter of Credit, that (a) such Letter of Credit has been Cash collateralized in an amount equal to 100% of the face amount of such Letter of Credit, (b) a separate letter of credit has been issued in favor of the Issuing Bank (or its designee) with respect to such Letter of Credit pursuant to arrangements reasonably satisfactory to such Issuing Bank and in an amount equal to 100% of the face amount of the applicable Letter of Credit issued hereunder, (c) such Letter of Credit has been deemed reissued under another agreement in a manner reasonably acceptable to the applicable Issuing Bank or (d) other arrangements reasonably acceptable to the relevant Issuing Bank with respect to such Letter of Credit.</w:t>
      </w:r>
    </w:p>
    <w:p>
      <w:pPr>
        <w:spacing w:after="0" w:line="184"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 operating lease in and of itself be deemed to constitute a Lien.</w:t>
      </w:r>
    </w:p>
    <w:p>
      <w:pPr>
        <w:spacing w:after="0" w:line="185"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w:t>
      </w:r>
      <w:r>
        <w:rPr>
          <w:rFonts w:ascii="Times New Roman" w:cs="Times New Roman" w:eastAsia="Times New Roman" w:hAnsi="Times New Roman"/>
          <w:sz w:val="20"/>
          <w:szCs w:val="20"/>
          <w:u w:val="single" w:color="auto"/>
          <w:color w:val="0000FF"/>
        </w:rPr>
        <w:t>Amendment No. 1, Amendment No. 2,</w:t>
      </w:r>
      <w:r>
        <w:rPr>
          <w:rFonts w:ascii="Times New Roman" w:cs="Times New Roman" w:eastAsia="Times New Roman" w:hAnsi="Times New Roman"/>
          <w:sz w:val="20"/>
          <w:szCs w:val="20"/>
          <w:color w:val="auto"/>
        </w:rPr>
        <w:t xml:space="preserve"> any Promissory Note, each Loan Guaranty, the Collateral Documents, any Intercreditor Agreement (if any) to which the Borrower is a party, any Perfection Certificate,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(a) Holdings and (b) any Subsidiary Guarantor.</w:t>
      </w:r>
    </w:p>
    <w:p>
      <w:pPr>
        <w:spacing w:after="0" w:line="21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the Loan Guaranty,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executed by each Loan Party thereto and the Administrative Agent for the benefit of the Secured Parties, as supplemented in accordance with the terms of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Installment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 and each Loan Guarantor.</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any Initial Term Loan, any Additional Term Loan, any Revolving Loan, any Swingline Loan or any Additional Revolving Loan.</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Investors</w:t>
      </w:r>
      <w:r>
        <w:rPr>
          <w:rFonts w:ascii="Times New Roman" w:cs="Times New Roman" w:eastAsia="Times New Roman" w:hAnsi="Times New Roman"/>
          <w:sz w:val="20"/>
          <w:szCs w:val="20"/>
          <w:color w:val="auto"/>
        </w:rPr>
        <w:t>” means (a) Jason Krantz and (b) the current and former officers, directors, managers, employees and members of management of the Borrower, any Parent Company and/or any subsidiary of the Borrower.</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16"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 acquisition or other similar Investment with total consideration, including earn-out payments and other contingent payment obligations, in an amount not less than $40,000,000.</w:t>
      </w:r>
    </w:p>
    <w:p>
      <w:pPr>
        <w:spacing w:after="0" w:line="51" w:lineRule="exact"/>
        <w:rPr>
          <w:sz w:val="20"/>
          <w:szCs w:val="20"/>
          <w:color w:val="auto"/>
        </w:rPr>
      </w:pPr>
    </w:p>
    <w:p>
      <w:pPr>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(i) the business, assets or financial condition, in each case, of the Borrower and its Restricted Subsidiaries, taken as a whole,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rights and remedies (taken as a whole) of the Administrative Agent under the applicable Loan Documents or (iii) the ability of the Loan Parties (taken as a whole) to perform their payment obligations under the applicable Loan Documents.</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Debt Instrument</w:t>
      </w:r>
      <w:r>
        <w:rPr>
          <w:rFonts w:ascii="Times New Roman" w:cs="Times New Roman" w:eastAsia="Times New Roman" w:hAnsi="Times New Roman"/>
          <w:sz w:val="20"/>
          <w:szCs w:val="20"/>
          <w:color w:val="auto"/>
        </w:rPr>
        <w:t>” means any physical instrument evidencing any Indebtedness for borrowed money owing from any Person other than any Loan Party which is required to be pledged and delivered to the Administrative Agent (or its bailee) pursuant to the Security Agreement.</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xml:space="preserve">” means any intellectual property owned by any Loan Party </w:t>
      </w:r>
      <w:r>
        <w:rPr>
          <w:rFonts w:ascii="Times New Roman" w:cs="Times New Roman" w:eastAsia="Times New Roman" w:hAnsi="Times New Roman"/>
          <w:sz w:val="20"/>
          <w:szCs w:val="20"/>
          <w:u w:val="single" w:color="auto"/>
          <w:color w:val="0000FF"/>
        </w:rPr>
        <w:t>or any of their Restricted Subsidiaries</w:t>
      </w:r>
      <w:r>
        <w:rPr>
          <w:rFonts w:ascii="Times New Roman" w:cs="Times New Roman" w:eastAsia="Times New Roman" w:hAnsi="Times New Roman"/>
          <w:sz w:val="20"/>
          <w:szCs w:val="20"/>
          <w:color w:val="auto"/>
        </w:rPr>
        <w:t xml:space="preserve"> that is, in the good faith determination of the Borrower, material to the operation of the business of the Borrower and its Restricted Subsidiaries, taken as a whole.</w:t>
      </w:r>
    </w:p>
    <w:p>
      <w:pPr>
        <w:spacing w:after="0" w:line="174"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(a) with respect to the Initial Revolving Facility, the Initial Revolving Credit Maturity Date, (b) with respect to the Initial Term Loans, the Initial Term Loan Maturity Date, (c) with respect to any Replacement Term Loan or Revolver Replacement Facility, the final maturity date for such Replacement Term Loan or Revolver Replacement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 that is subject to the provisions of Title IV of ERISA, and in respect of which Holdings, the Borrower or any of its Restricted Subsidiaries, or any of their respective ERISA Affiliates, makes or is obligated to make contributions or with respect to which any of them has any ongoing obligation or liability, contingent or otherwise.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Insurance/Condemnation Proceeds</w:t>
      </w:r>
      <w:r>
        <w:rPr>
          <w:rFonts w:ascii="Times New Roman" w:cs="Times New Roman" w:eastAsia="Times New Roman" w:hAnsi="Times New Roman"/>
          <w:sz w:val="20"/>
          <w:szCs w:val="20"/>
          <w:color w:val="auto"/>
        </w:rPr>
        <w:t>” means an amount equal to:</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Cash payment or proceeds (including Cash Equivalents) received by the Borrower or any of its Restricted Subsidiaries (i) under any casualty insurance policy in respect of a covered loss thereunder of any asset of the Borrower or any of its Restricted Subsidiaries or (ii) as a result of the taking of any asset of the Borrower or any of its Restricted Subsidiaries by any Person pursuant to the power of eminent domain, condemnation or otherwise, or pursuant to a sale of any such assets to a purchaser with such power under threat of such a taking, in each case other than any amount that is attributable to business interruption and/or lost profit; </w:t>
      </w:r>
      <w:r>
        <w:rPr>
          <w:rFonts w:ascii="Times New Roman" w:cs="Times New Roman" w:eastAsia="Times New Roman" w:hAnsi="Times New Roman"/>
          <w:sz w:val="20"/>
          <w:szCs w:val="20"/>
          <w:u w:val="single" w:color="auto"/>
          <w:color w:val="auto"/>
        </w:rPr>
        <w:t>minus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out-of-pocket cost and/or expense incurred by the Borrower or any of its Restricted Subsidiaries in connection with the adjustment, settlement or collection of any claims of the Borrower or the relevant Restricted Subsidiary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ind w:left="480" w:firstLine="754"/>
        <w:spacing w:after="0" w:line="249" w:lineRule="auto"/>
        <w:tabs>
          <w:tab w:leader="none" w:pos="16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outstanding principal amount of, premium or penalty, if any, and interest and other amounts on any Indebtedness (other than the Loans and/or any after First Lien Debt and/or Junior Lien Debt) that is secured by a Lien on the assets in question and that is required to be repaid or otherwise comes due or would be in default under the terms thereof as a result of such loss, taking or sale;</w:t>
      </w:r>
    </w:p>
    <w:p>
      <w:pPr>
        <w:spacing w:after="0" w:line="179" w:lineRule="exact"/>
        <w:rPr>
          <w:rFonts w:ascii="Times New Roman" w:cs="Times New Roman" w:eastAsia="Times New Roman" w:hAnsi="Times New Roman"/>
          <w:sz w:val="20"/>
          <w:szCs w:val="20"/>
          <w:color w:val="auto"/>
        </w:rPr>
      </w:pPr>
    </w:p>
    <w:p>
      <w:pPr>
        <w:ind w:left="1620" w:hanging="386"/>
        <w:spacing w:after="0"/>
        <w:tabs>
          <w:tab w:leader="none" w:pos="16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 out-of-pocket costs of putting any affected property in a safe and secure position;</w:t>
      </w:r>
    </w:p>
    <w:p>
      <w:pPr>
        <w:spacing w:after="0" w:line="215" w:lineRule="exact"/>
        <w:rPr>
          <w:rFonts w:ascii="Times New Roman" w:cs="Times New Roman" w:eastAsia="Times New Roman" w:hAnsi="Times New Roman"/>
          <w:sz w:val="20"/>
          <w:szCs w:val="20"/>
          <w:color w:val="auto"/>
        </w:rPr>
      </w:pPr>
    </w:p>
    <w:p>
      <w:pPr>
        <w:jc w:val="both"/>
        <w:ind w:left="480" w:firstLine="754"/>
        <w:spacing w:after="0" w:line="243" w:lineRule="auto"/>
        <w:tabs>
          <w:tab w:leader="none" w:pos="16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Borrower’s good faith estimate of income Taxes paid or payable (including pursuant to Tax sharing arrangements or any intercompany distribution)) in connection with any sale or taking of such assets as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it being understood that the reduction of any net operating loss resulting from such Disposition shall be deemed to constitute an income Tax “paid or payable” for purposes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480" w:firstLine="754"/>
        <w:spacing w:after="0" w:line="249" w:lineRule="auto"/>
        <w:tabs>
          <w:tab w:leader="none" w:pos="16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and at the time any such amount is released from such reserve, such amounts shall constitute Net Insurance/Condemnation Proceeds); and</w:t>
      </w:r>
    </w:p>
    <w:p>
      <w:pPr>
        <w:spacing w:after="0" w:line="179" w:lineRule="exact"/>
        <w:rPr>
          <w:rFonts w:ascii="Times New Roman" w:cs="Times New Roman" w:eastAsia="Times New Roman" w:hAnsi="Times New Roman"/>
          <w:sz w:val="20"/>
          <w:szCs w:val="20"/>
          <w:color w:val="auto"/>
        </w:rPr>
      </w:pPr>
    </w:p>
    <w:p>
      <w:pPr>
        <w:jc w:val="both"/>
        <w:ind w:left="480" w:firstLine="754"/>
        <w:spacing w:after="0" w:line="254" w:lineRule="auto"/>
        <w:tabs>
          <w:tab w:leader="none" w:pos="16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covered loss or taking from any non-Wholly-Owned Subsidiary, the pro rata portion thereof (calculated without regard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attributable to minority interests and not available for distribution to or for the account of the Borrower or a Wholly-Owned Subsidiary as a result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260" w:firstLine="745"/>
        <w:spacing w:after="0" w:line="254" w:lineRule="auto"/>
        <w:tabs>
          <w:tab w:leader="none" w:pos="8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Disposition (including any Prepayment Asset Sale), the Cash proceeds (including Cash Equivalents and Cash proceeds subsequently received (as and when received) in respect of non-cash consideration initially received), net of:</w:t>
      </w:r>
    </w:p>
    <w:p>
      <w:pPr>
        <w:spacing w:after="0" w:line="174" w:lineRule="exact"/>
        <w:rPr>
          <w:rFonts w:ascii="Times New Roman" w:cs="Times New Roman" w:eastAsia="Times New Roman" w:hAnsi="Times New Roman"/>
          <w:sz w:val="20"/>
          <w:szCs w:val="20"/>
          <w:color w:val="auto"/>
        </w:rPr>
      </w:pPr>
    </w:p>
    <w:p>
      <w:pPr>
        <w:jc w:val="both"/>
        <w:ind w:left="480" w:firstLine="754"/>
        <w:spacing w:after="0" w:line="243" w:lineRule="auto"/>
        <w:tabs>
          <w:tab w:leader="none" w:pos="162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it being understood that the reduction in the amount of any net operating loss resulting from such Disposition shall be deemed to constitute an income Tax “paid or payable”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480" w:right="20" w:firstLine="754"/>
        <w:spacing w:after="0" w:line="269" w:lineRule="auto"/>
        <w:tabs>
          <w:tab w:leader="none" w:pos="162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provided as a reserve in accordance with GAAP against any liabilities under any indemnification obligation or purchase price adjustment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306705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13" w:right="339" w:bottom="1440" w:gutter="0" w:footer="0" w:header="0"/>
        </w:sectPr>
      </w:pPr>
    </w:p>
    <w:bookmarkStart w:id="77" w:name="page78"/>
    <w:bookmarkEnd w:id="77"/>
    <w:p>
      <w:pPr>
        <w:ind w:left="1500"/>
        <w:spacing w:after="0" w:line="269" w:lineRule="auto"/>
        <w:rPr>
          <w:sz w:val="20"/>
          <w:szCs w:val="20"/>
          <w:color w:val="auto"/>
        </w:rPr>
      </w:pPr>
      <w:r>
        <w:rPr>
          <w:rFonts w:ascii="Times New Roman" w:cs="Times New Roman" w:eastAsia="Times New Roman" w:hAnsi="Times New Roman"/>
          <w:sz w:val="20"/>
          <w:szCs w:val="20"/>
          <w:color w:val="auto"/>
        </w:rPr>
        <w:t>with such Disposition (provided that to the extent and at the time any such amount is released from such reserve, such amounts shall constitute Net Proceeds);</w:t>
      </w:r>
    </w:p>
    <w:p>
      <w:pPr>
        <w:spacing w:after="0" w:line="159" w:lineRule="exact"/>
        <w:rPr>
          <w:sz w:val="20"/>
          <w:szCs w:val="20"/>
          <w:color w:val="auto"/>
        </w:rPr>
      </w:pPr>
    </w:p>
    <w:p>
      <w:pPr>
        <w:jc w:val="both"/>
        <w:ind w:left="1500" w:firstLine="754"/>
        <w:spacing w:after="0" w:line="249" w:lineRule="auto"/>
        <w:tabs>
          <w:tab w:leader="none" w:pos="26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premium or penalty, if any, interest and other amounts on any Indebtedness (other than the Loans and any other Indebtedness that constitutes First Lien Debt or Junior Lien Debt) which is secured by the asset sold in such Disposition and which is required to be repaid or otherwise comes due or would be in default and is repaid (other than any such Indebtedness that is assumed by the purchaser of such asset);</w:t>
      </w:r>
    </w:p>
    <w:p>
      <w:pPr>
        <w:spacing w:after="0" w:line="179"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escrow (until released from escrow to the Borrower or any of its Restricted Subsidiaries) from the sale price for such Disposition;</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Disposition by any non-Wholly-Owned Subsidiary, the pro rata portion of the Net Proceeds thereof (calculated without regard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that is attributable to any minority interest and not available for distribution to or for the account of the Borrower or a Wholly-Owned Subsidiary as a result thereof; and</w:t>
      </w:r>
    </w:p>
    <w:p>
      <w:pPr>
        <w:spacing w:after="0" w:line="174"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used to repay or return any customer deposit required to be repaid or returned as a result of such Disposition;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issuance or incurrence of Indebtedness, issuance of Capital Stock and/or any contribution in respect of any Capital Stock, the Cash proceeds thereof, net of all Taxes and customary fees, commissions, costs, underwriting discounts and other fees and expenses incurred in connection therewith, including any cost associated with the unwinding of any Hedge Agreement in connection with such Indebtedness.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Non-Debt Fund Affiliate</w:t>
      </w:r>
      <w:r>
        <w:rPr>
          <w:rFonts w:ascii="Times New Roman" w:cs="Times New Roman" w:eastAsia="Times New Roman" w:hAnsi="Times New Roman"/>
          <w:sz w:val="20"/>
          <w:szCs w:val="20"/>
          <w:color w:val="auto"/>
        </w:rPr>
        <w:t>” means any Investor (which is an Affiliate of Holdings) and any Affiliate of any such Investor, other than any Debt Fund Affiliate.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Revolving Lenders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2.21(d)(i)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Q</w:t>
      </w:r>
      <w:r>
        <w:rPr>
          <w:rFonts w:ascii="Times New Roman" w:cs="Times New Roman" w:eastAsia="Times New Roman" w:hAnsi="Times New Roman"/>
          <w:sz w:val="20"/>
          <w:szCs w:val="20"/>
          <w:color w:val="auto"/>
        </w:rPr>
        <w:t xml:space="preserve"> or such other form as may be approved by the Administrative Agent and the Borrower (including any form on an electronic platform or electronic transmission system as shall be approved by the Administrative Agent and the Borrower), appropriately completed and signed by a Responsible Officer.</w:t>
      </w:r>
    </w:p>
    <w:p>
      <w:pPr>
        <w:spacing w:after="0" w:line="72"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 Otherwise Applied</w:t>
      </w:r>
      <w:r>
        <w:rPr>
          <w:rFonts w:ascii="Times New Roman" w:cs="Times New Roman" w:eastAsia="Times New Roman" w:hAnsi="Times New Roman"/>
          <w:sz w:val="20"/>
          <w:szCs w:val="20"/>
          <w:color w:val="auto"/>
        </w:rPr>
        <w:t xml:space="preserve">” means, with respect to the proceeds of the issuance of Qualified Capital Stock or contribution with respect to Qualified Capital Stock, that as of any date of determination such proceeds have not previously been applied to permit a transaction in reliance on </w:t>
      </w:r>
      <w:r>
        <w:rPr>
          <w:rFonts w:ascii="Times New Roman" w:cs="Times New Roman" w:eastAsia="Times New Roman" w:hAnsi="Times New Roman"/>
          <w:sz w:val="20"/>
          <w:szCs w:val="20"/>
          <w:u w:val="single" w:color="auto"/>
          <w:color w:val="auto"/>
        </w:rPr>
        <w:t>Sections 6.04(a)(ii)(B)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(a)(iii)(A)</w:t>
      </w:r>
      <w:r>
        <w:rPr>
          <w:rFonts w:ascii="Times New Roman" w:cs="Times New Roman" w:eastAsia="Times New Roman" w:hAnsi="Times New Roman"/>
          <w:sz w:val="20"/>
          <w:szCs w:val="20"/>
          <w:color w:val="auto"/>
        </w:rPr>
        <w:t xml:space="preserve"> (to the extent a Restricted Payment is made in 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 definition of “Available Amount”), </w:t>
      </w:r>
      <w:r>
        <w:rPr>
          <w:rFonts w:ascii="Times New Roman" w:cs="Times New Roman" w:eastAsia="Times New Roman" w:hAnsi="Times New Roman"/>
          <w:sz w:val="20"/>
          <w:szCs w:val="20"/>
          <w:u w:val="single" w:color="auto"/>
          <w:color w:val="auto"/>
        </w:rPr>
        <w:t>6.04(a)(iii)(B) 6.04(a)(viii)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6.04(b)(v)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(b)(vi)(A)</w:t>
      </w:r>
      <w:r>
        <w:rPr>
          <w:rFonts w:ascii="Times New Roman" w:cs="Times New Roman" w:eastAsia="Times New Roman" w:hAnsi="Times New Roman"/>
          <w:sz w:val="20"/>
          <w:szCs w:val="20"/>
          <w:color w:val="auto"/>
        </w:rPr>
        <w:t xml:space="preserve"> (to the extent a Restricted Debt Payment is made in 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 definition of “Available Amount”), </w:t>
      </w:r>
      <w:r>
        <w:rPr>
          <w:rFonts w:ascii="Times New Roman" w:cs="Times New Roman" w:eastAsia="Times New Roman" w:hAnsi="Times New Roman"/>
          <w:sz w:val="20"/>
          <w:szCs w:val="20"/>
          <w:u w:val="single" w:color="auto"/>
          <w:color w:val="auto"/>
        </w:rPr>
        <w:t>6.06(n)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6.06(r)(i)</w:t>
      </w:r>
      <w:r>
        <w:rPr>
          <w:rFonts w:ascii="Times New Roman" w:cs="Times New Roman" w:eastAsia="Times New Roman" w:hAnsi="Times New Roman"/>
          <w:sz w:val="20"/>
          <w:szCs w:val="20"/>
          <w:color w:val="auto"/>
        </w:rPr>
        <w:t xml:space="preserve"> (to the extent an Investment is made in reliance on </w:t>
      </w:r>
      <w:r>
        <w:rPr>
          <w:rFonts w:ascii="Times New Roman" w:cs="Times New Roman" w:eastAsia="Times New Roman" w:hAnsi="Times New Roman"/>
          <w:sz w:val="20"/>
          <w:szCs w:val="20"/>
          <w:u w:val="single" w:color="auto"/>
          <w:color w:val="auto"/>
        </w:rPr>
        <w:t>clause (a)(iii)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(a)(xiv)</w:t>
      </w:r>
      <w:r>
        <w:rPr>
          <w:rFonts w:ascii="Times New Roman" w:cs="Times New Roman" w:eastAsia="Times New Roman" w:hAnsi="Times New Roman"/>
          <w:sz w:val="20"/>
          <w:szCs w:val="20"/>
          <w:color w:val="auto"/>
        </w:rPr>
        <w:t xml:space="preserve"> of the definition of “Available Amount”) and/or </w:t>
      </w:r>
      <w:r>
        <w:rPr>
          <w:rFonts w:ascii="Times New Roman" w:cs="Times New Roman" w:eastAsia="Times New Roman" w:hAnsi="Times New Roman"/>
          <w:sz w:val="20"/>
          <w:szCs w:val="20"/>
          <w:u w:val="single" w:color="auto"/>
          <w:color w:val="auto"/>
        </w:rPr>
        <w:t>6.06(r)(ii)</w:t>
      </w:r>
      <w:r>
        <w:rPr>
          <w:rFonts w:ascii="Times New Roman" w:cs="Times New Roman" w:eastAsia="Times New Roman" w:hAnsi="Times New Roman"/>
          <w:sz w:val="20"/>
          <w:szCs w:val="20"/>
          <w:color w:val="auto"/>
        </w:rPr>
        <w:t>.</w:t>
      </w:r>
    </w:p>
    <w:p>
      <w:pPr>
        <w:spacing w:after="0" w:line="76"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(including interest accruing during the pendency of any bankruptcy, insolvency, receivership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45" w:lineRule="auto"/>
        <w:rPr>
          <w:sz w:val="20"/>
          <w:szCs w:val="20"/>
          <w:color w:val="auto"/>
        </w:rPr>
      </w:pPr>
      <w:r>
        <w:rPr>
          <w:rFonts w:ascii="Times New Roman" w:cs="Times New Roman" w:eastAsia="Times New Roman" w:hAnsi="Times New Roman"/>
          <w:sz w:val="20"/>
          <w:szCs w:val="20"/>
          <w:color w:val="auto"/>
        </w:rPr>
        <w:t>proceeding, regardless of whether allowed or allowable in such proceeding) on the Loans, all LC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 Derivative Instrument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 Control of the U.S. Treasury Department.</w:t>
      </w:r>
    </w:p>
    <w:p>
      <w:pPr>
        <w:spacing w:after="0" w:line="108"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its certificate or articles of incorporation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Lender, any Issuing Bank or the Administrative Agent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101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all present or future stamp, court or documentary Taxes or any intangible, recording, filing or other similar Taxes arising from any payment made under any Loan Document or from the execution, delivery or enforcement or registration, from the receipt or perfection of a security interest under, or otherwise with respect to, any Loan Document, but excluding (i) any Excluded Taxes, and</w:t>
      </w:r>
    </w:p>
    <w:p>
      <w:pPr>
        <w:ind w:right="20" w:firstLine="8"/>
        <w:spacing w:after="0" w:line="246" w:lineRule="auto"/>
        <w:tabs>
          <w:tab w:leader="none" w:pos="3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Taxes that are Other Connection Taxes imposed with respect to an assignment or participation (other than an assignment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Term Loan, Revolving Loan and/or Swingline Loan on any date, the aggregate outstanding principal amount thereof after giving effect to any borrowing and/or prepayment or repayment of such Term Loan, Revolving Loan and/or Swingline Loans, as the case may be, occurring on such date, (b) with respect to any Letter of Credit, the aggregate amount available to be drawn under such Letter of Credit after giving effect to any change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 with respect to any Letter of Credit occurring on such date and any other change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right="20"/>
        <w:spacing w:after="0" w:line="269" w:lineRule="auto"/>
        <w:rPr>
          <w:sz w:val="20"/>
          <w:szCs w:val="20"/>
          <w:color w:val="auto"/>
        </w:rPr>
      </w:pPr>
      <w:r>
        <w:rPr>
          <w:rFonts w:ascii="Times New Roman" w:cs="Times New Roman" w:eastAsia="Times New Roman" w:hAnsi="Times New Roman"/>
          <w:sz w:val="20"/>
          <w:szCs w:val="20"/>
          <w:color w:val="auto"/>
        </w:rPr>
        <w:t>aggregate amount of such LC Disbursement as of such date, including as a result of any reimbursement by the Borrower of such unreimbursed LC Disbursement.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means (a) the Parent and (b) any Person of which the Borrower is a direct or indirect Wholly-Owned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94"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Passu Intercreditor Agreement</w:t>
      </w:r>
      <w:r>
        <w:rPr>
          <w:rFonts w:ascii="Times New Roman" w:cs="Times New Roman" w:eastAsia="Times New Roman" w:hAnsi="Times New Roman"/>
          <w:sz w:val="20"/>
          <w:szCs w:val="20"/>
          <w:color w:val="auto"/>
        </w:rPr>
        <w:t xml:space="preserve">” means an intercreditor agreement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with any changes thereto (whether material or immaterial) as the Borrower and the Administrative Agent may agree in their respective reasonable discretion.</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Participant/SPC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means the following: (a) any and all patents and patent applications; (b) all inventions described and claimed therein;</w:t>
      </w:r>
    </w:p>
    <w:p>
      <w:pPr>
        <w:spacing w:after="0" w:line="22" w:lineRule="exact"/>
        <w:rPr>
          <w:sz w:val="20"/>
          <w:szCs w:val="20"/>
          <w:color w:val="auto"/>
        </w:rPr>
      </w:pPr>
    </w:p>
    <w:p>
      <w:pPr>
        <w:jc w:val="both"/>
        <w:ind w:firstLine="8"/>
        <w:spacing w:after="0" w:line="241" w:lineRule="auto"/>
        <w:tabs>
          <w:tab w:leader="none" w:pos="2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defined in Section 3(2) of ERISA (other than a Multiemployer Plan), that is subject to the provisions of Title IV of ERISA or Section 412 of the Code or Section 302 of ERISA, which Holdings, the Borrower or any of its Restricted Subsidiaries, or any of their respective ERISA Affiliates, maintains or contributes to or has an obligation to contribute to, or otherwise has any liability, contingent or otherwise.</w:t>
      </w:r>
    </w:p>
    <w:p>
      <w:pPr>
        <w:spacing w:after="0" w:line="18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that is reasonably acceptable to the Administrative Agent and the Borrower.</w:t>
      </w:r>
    </w:p>
    <w:p>
      <w:pPr>
        <w:spacing w:after="0" w:line="159"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Requirements</w:t>
      </w:r>
      <w:r>
        <w:rPr>
          <w:rFonts w:ascii="Times New Roman" w:cs="Times New Roman" w:eastAsia="Times New Roman" w:hAnsi="Times New Roman"/>
          <w:sz w:val="20"/>
          <w:szCs w:val="20"/>
          <w:color w:val="auto"/>
        </w:rPr>
        <w:t xml:space="preserve">” means (a) with respect to any Loan Party (other than any Discretionary Guarantor that is a Foreign Subsidiary),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US Copyright Office (solely as required under applicable Requirements of Law), and the delivery to the Administrative Agent of, solely to the extent the same constitutes Collateral, any stock certificate or promissory note, together with instruments of transfer executed in blank and (b) with respect to any Discretionary Guarantor that is a Foreign Subsidiary, any recording, filing, registration, notification or other action required to be taken in the applicable jurisdiction,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to the extent required by the applicable Loan Documents.</w:t>
      </w:r>
    </w:p>
    <w:p>
      <w:pPr>
        <w:spacing w:after="0" w:line="189" w:lineRule="exact"/>
        <w:rPr>
          <w:sz w:val="20"/>
          <w:szCs w:val="20"/>
          <w:color w:val="auto"/>
        </w:rPr>
      </w:pPr>
    </w:p>
    <w:p>
      <w:pPr>
        <w:jc w:val="both"/>
        <w:ind w:right="20" w:firstLine="101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means any acquisition made by the Borrower or any of its Restricted Subsidiaries, whether by purchase, merger or otherwise, of (a) all or substantially all of the assets, or any business line, unit or division or product line (including research and development and related assets in respect of any product) of, any Person or (b) of a majority of the outstanding Capital Stock of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each case, so long as 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on a Pro Forma Basis; it being understood and agreed that “Permitted Acquisition” shall include any Investment in (x) any Restricted Subsidiary the effect of which is to increase the Borrower’s or any Restricted Subsidiary’s equity ownership in such Restricted Subsidiary or (y) any joint venture for the purpose of increasing the Borrower’s or its relevant Restricted Subsidiary’s ownership interest in such joint venture, in each case if (1) such Person is or becomes a Restricted Subsidiary or (2) such Person, in one transaction or a series of related transactions, is amalgamated, merged or consolidated with or into, or transfers or conveys all or a substantial portion of its assets (or such division, business line, unit or product line) to, or is liquidated into, the Borrower and/or any Restricted Subsidiary as a result of such transaction.</w:t>
      </w:r>
    </w:p>
    <w:p>
      <w:pPr>
        <w:spacing w:after="0" w:line="18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Asset Swap</w:t>
      </w:r>
      <w:r>
        <w:rPr>
          <w:rFonts w:ascii="Times New Roman" w:cs="Times New Roman" w:eastAsia="Times New Roman" w:hAnsi="Times New Roman"/>
          <w:sz w:val="20"/>
          <w:szCs w:val="20"/>
          <w:color w:val="auto"/>
        </w:rPr>
        <w:t>” means the concurrent purchase and sale or exchange of Related Business Assets or any combination of Related Business Assets between the Borrower and/or any Restricted Subsidiary, on the one hand, and any other Person, on the other hand.</w:t>
      </w:r>
    </w:p>
    <w:p>
      <w:pPr>
        <w:spacing w:after="0" w:line="1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Permitted Bond Hedge Transaction</w:t>
      </w:r>
      <w:r>
        <w:rPr>
          <w:rFonts w:ascii="Times New Roman" w:cs="Times New Roman" w:eastAsia="Times New Roman" w:hAnsi="Times New Roman"/>
          <w:sz w:val="19"/>
          <w:szCs w:val="19"/>
          <w:color w:val="auto"/>
        </w:rPr>
        <w:t xml:space="preserve">” means any call or capped call option (or substantively equivalent derivative transaction) with respect to the Parent’s common equity that is purchased by the Parent in connection with the issuance of any Convertible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ind w:right="60" w:firstLine="8"/>
        <w:spacing w:after="0" w:line="241" w:lineRule="auto"/>
        <w:tabs>
          <w:tab w:leader="none" w:pos="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such transaction entered into after the Closing Date, such transaction is consummated substantially simultaneously with the issuance of such Convertible Indebtedness and (y) the purchase price for such Permitted Bond Hedge Transaction, less the proceeds received by the Parent from the sale of any related Permitted Warrant Transaction, does not exceed the net proceeds received by the Parent from the Convertible Indebtedness issued in connection with such Permitted Bond Hedge Transaction.</w:t>
      </w:r>
    </w:p>
    <w:p>
      <w:pPr>
        <w:spacing w:after="0" w:line="80"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xml:space="preserve">” means (a) the Investors and (b) any Person with which one or more Investors and/or management form a “group” (within the meaning of Section 14(d) of the Exchange Act) so long as, in the case of this </w:t>
      </w:r>
      <w:r>
        <w:rPr>
          <w:rFonts w:ascii="Times New Roman" w:cs="Times New Roman" w:eastAsia="Times New Roman" w:hAnsi="Times New Roman"/>
          <w:sz w:val="20"/>
          <w:szCs w:val="20"/>
          <w:b w:val="1"/>
          <w:bCs w:val="1"/>
          <w:u w:val="single" w:color="auto"/>
          <w:color w:val="auto"/>
        </w:rPr>
        <w:t>clause (b),</w:t>
      </w:r>
      <w:r>
        <w:rPr>
          <w:rFonts w:ascii="Times New Roman" w:cs="Times New Roman" w:eastAsia="Times New Roman" w:hAnsi="Times New Roman"/>
          <w:sz w:val="20"/>
          <w:szCs w:val="20"/>
          <w:color w:val="auto"/>
        </w:rPr>
        <w:t xml:space="preserve"> the relevant Investors beneficially own more than 50% of the relevant voting Capital Stock beneficially owned by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such</w:t>
      </w:r>
      <w:r>
        <w:rPr>
          <w:rFonts w:ascii="Times New Roman" w:cs="Times New Roman" w:eastAsia="Times New Roman" w:hAnsi="Times New Roman"/>
          <w:sz w:val="20"/>
          <w:szCs w:val="20"/>
          <w:color w:val="auto"/>
        </w:rPr>
        <w:t xml:space="preserve"> group.</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right="220"/>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Permitted Warrant Transaction</w:t>
      </w:r>
      <w:r>
        <w:rPr>
          <w:rFonts w:ascii="Times New Roman" w:cs="Times New Roman" w:eastAsia="Times New Roman" w:hAnsi="Times New Roman"/>
          <w:sz w:val="19"/>
          <w:szCs w:val="19"/>
          <w:color w:val="auto"/>
        </w:rPr>
        <w:t>” means any call option, warrant or right to purchase (or substantively equivalent derivative transaction) with respect to the Parent’s common equity sold by the Parent substantially concurrently with a related Permitted Bond Hedge Transaction.</w:t>
      </w:r>
    </w:p>
    <w:p>
      <w:pPr>
        <w:spacing w:after="0" w:line="25"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any other entity.</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has the same meaning as the term “personal data,” “personal information,” “protected health information” or the equivalent under applicable Requirements of Law.</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maintained by Holdings and/or any Restricted Subsidiary or, with respect to any such plan that is subject to Section 412 of the Code or Title IV of ERISA, any of its ERISA Affiliates, other than any Multiemployer Plan.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Asset Sale</w:t>
      </w:r>
      <w:r>
        <w:rPr>
          <w:rFonts w:ascii="Times New Roman" w:cs="Times New Roman" w:eastAsia="Times New Roman" w:hAnsi="Times New Roman"/>
          <w:sz w:val="20"/>
          <w:szCs w:val="20"/>
          <w:color w:val="auto"/>
        </w:rPr>
        <w:t xml:space="preserve">” means any Disposition by the Borrower or any Restricted Subsidiary made outside the ordinary course of business pursuant in reliance on </w:t>
      </w:r>
      <w:r>
        <w:rPr>
          <w:rFonts w:ascii="Times New Roman" w:cs="Times New Roman" w:eastAsia="Times New Roman" w:hAnsi="Times New Roman"/>
          <w:sz w:val="20"/>
          <w:szCs w:val="20"/>
          <w:u w:val="single" w:color="auto"/>
          <w:color w:val="auto"/>
        </w:rPr>
        <w:t>Section 6.07(h)</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has the meaning assigned to such term in the definition of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(a) the rate of interest publicly announced, from time to time, by the Administrative Agent at its principal office in New York City as its “prime rate,” with the understanding that the “prime rate” is one of the Administrative Agent’s base rates (not necessarily the lowest of such rates) and serves as the basis upon which effective rates of interest are calculated for those loans making reference thereto and is evidenced by the recording thereof after its announcement in such internal publications as the Administrative Agent may designate or (b) if the Administrative Agent has no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8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with respect to any determination of the Total Net Leverage Ratio, the First Lien Net Leverage Ratio, the Secured Net Leverage Ratio, Consolidated Adjusted EBITDA or Consolidated Total Assets (including any component definition thereof), that:</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 any Disposition of all or substantially all of the Capital Stock of any Restricted Subsidiary or any division and/or product line of the Borrower and/or any Restricted Subsidiary, (ii) any designation of a Restricted Subsidiary as an Unrestricted Subsidiary (iii) the implementation of any Business Optimization Initiative relating to a cost-savings action and/or (iv) if applicable, any Subject Transaction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definition thereof,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 any Permitted Acquisition or other Investment, (ii) any designation of any Unrestricted Subsidiary as a Restricted Subsidiary, and/or (iii) if applicable, any Subject Transaction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the definition thereof,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retirement or repayment of Indebtedness by the Borrower or any of its Subsidiaries that constitutes a Subject Transaction shall be deemed to have occurred as of the first day of the applicable Test Period with respect to any test or covenant for which the relevant determination is being made;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Indebtedness incurred by the Borrower or any of its Restricted Subsidiaries in connection therewith that constitutes a Subject Transaction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Capital Lease shall be deemed to accrue at an interest rate reasonably determined by a Responsible Officer of the Borrower in good faith to be the rate of interest implicit in such obligation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accordance with GAAP and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174" w:lineRule="exact"/>
        <w:rPr>
          <w:sz w:val="20"/>
          <w:szCs w:val="20"/>
          <w:color w:val="auto"/>
        </w:rPr>
      </w:pPr>
    </w:p>
    <w:p>
      <w:pPr>
        <w:jc w:val="both"/>
        <w:ind w:left="760" w:firstLine="745"/>
        <w:spacing w:after="0" w:line="245"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acquisition of any asset included in calculating Consolidated Total Assets (other than the amount Cash or Cash Equivalents, which is addressed in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below),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other than, for the avoidance of doubt, for purposes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other Subject Transaction shall be deemed to have occurred as of the first day of the applicable Test Period (or, in the case of Consolidated Total Assets, as of the last day of such Test Period) with respect to any test or covenant for which such calculation is being made.</w:t>
      </w:r>
    </w:p>
    <w:p>
      <w:pPr>
        <w:spacing w:after="0" w:line="17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 xml:space="preserve">It is hereby agreed that for purposes of determining pro forma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prior to the last day of the first full Fiscal Quarter after the Closing Date, the applicable level shall be the level cited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Notwithstanding anything to the contrary set forth in the immediately preceding paragraph, for the avoidance of doubt, when calculating the Total Net Leverage Ratio for purposes of the definitions of “Applicable Rate” and “Commitment Fee Rate” and for purposes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(other than for the purpose of determining pro forma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as a condition to taking any action under this Agreement), the events described in the immediately preceding paragraph that occurred subsequent to the end of the applicable Test Period shall not be given pro forma effect.</w:t>
      </w:r>
    </w:p>
    <w:p>
      <w:pPr>
        <w:spacing w:after="0" w:line="7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means the financial projections, forecasts, financial estimates and other forward-looking and/or projected information of or relating to the Borrower and its subsidiaries included in the </w:t>
      </w:r>
      <w:r>
        <w:rPr>
          <w:rFonts w:ascii="Times New Roman" w:cs="Times New Roman" w:eastAsia="Times New Roman" w:hAnsi="Times New Roman"/>
          <w:sz w:val="20"/>
          <w:szCs w:val="20"/>
          <w:color w:val="FF0000"/>
          <w:strike w:val="1"/>
        </w:rPr>
        <w:t>Financial Model</w:t>
      </w:r>
      <w:r>
        <w:rPr>
          <w:rFonts w:ascii="Times New Roman" w:cs="Times New Roman" w:eastAsia="Times New Roman" w:hAnsi="Times New Roman"/>
          <w:sz w:val="20"/>
          <w:szCs w:val="20"/>
          <w:u w:val="single" w:color="auto"/>
          <w:color w:val="0000FF"/>
        </w:rPr>
        <w:t>financial model made available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Borrower to the Administrative Agent prior to the Closing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a supplement thereto).</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Promissory Note</w:t>
      </w:r>
      <w:r>
        <w:rPr>
          <w:rFonts w:ascii="Times New Roman" w:cs="Times New Roman" w:eastAsia="Times New Roman" w:hAnsi="Times New Roman"/>
          <w:sz w:val="20"/>
          <w:szCs w:val="20"/>
          <w:color w:val="auto"/>
        </w:rPr>
        <w:t xml:space="preserve">” means a promissory note of the Borrower payable to any Lender or its registered assigns, in substantially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evidencing the aggregate outstanding principal amount of Loans of the Borrower to such Lender resulting from the Loans made by such Lender.</w:t>
      </w:r>
    </w:p>
    <w:p>
      <w:pPr>
        <w:spacing w:after="0" w:line="174"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51"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Company Costs</w:t>
      </w:r>
      <w:r>
        <w:rPr>
          <w:rFonts w:ascii="Times New Roman" w:cs="Times New Roman" w:eastAsia="Times New Roman" w:hAnsi="Times New Roman"/>
          <w:sz w:val="20"/>
          <w:szCs w:val="20"/>
          <w:color w:val="auto"/>
        </w:rPr>
        <w:t>” means Charges associated with, or in anticipation of, or preparation for, compliance with the requirements of the Sarbanes-Oxley Act of 2002 (and, in each case, similar Requirements of Law under other jurisdictions)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49" w:lineRule="auto"/>
        <w:rPr>
          <w:sz w:val="20"/>
          <w:szCs w:val="20"/>
          <w:color w:val="auto"/>
        </w:rPr>
      </w:pPr>
      <w:r>
        <w:rPr>
          <w:rFonts w:ascii="Times New Roman" w:cs="Times New Roman" w:eastAsia="Times New Roman" w:hAnsi="Times New Roman"/>
          <w:sz w:val="20"/>
          <w:szCs w:val="20"/>
          <w:color w:val="auto"/>
        </w:rPr>
        <w:t>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of any Person means any Capital Stock of such Person that is not Disqualified Capital Stock.</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Quality of Earnings Report</w:t>
      </w:r>
      <w:r>
        <w:rPr>
          <w:rFonts w:ascii="Times New Roman" w:cs="Times New Roman" w:eastAsia="Times New Roman" w:hAnsi="Times New Roman"/>
          <w:sz w:val="20"/>
          <w:szCs w:val="20"/>
          <w:color w:val="auto"/>
        </w:rPr>
        <w:t>” has the meaning assigned to such term in the definition of “Consolidated Adjusted EBITDA”.</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at any time of determination, all right, title and interest (fee, leasehold or otherwise) of any Person in and to real property (including, but not limited to, land, improvements and fixtures thereon).</w:t>
      </w:r>
    </w:p>
    <w:p>
      <w:pPr>
        <w:spacing w:after="0" w:line="159"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w:t>
      </w:r>
      <w:r>
        <w:rPr>
          <w:rFonts w:ascii="Times New Roman" w:cs="Times New Roman" w:eastAsia="Times New Roman" w:hAnsi="Times New Roman"/>
          <w:sz w:val="20"/>
          <w:szCs w:val="20"/>
          <w:color w:val="auto"/>
        </w:rPr>
        <w:t xml:space="preserve">” means any receivables, factoring and/or securitization facility, arrangement or program that is, other than in the case of any factoring arrangement, non-recourse to the Borrower and/or any Restricted Subsidiary that is not a Receivables Subsidiary (except for customary (in the good faith determination of the Borrower) representations, warranties, covenants, performance undertakings, indemnities, guarantees and liens) pursuant to which the Borrower and/or any of its Restricted Subsidiaries sells, contributes, transfers and/or grants a security interest in (i) receivables, payables or securitization assets (including royalty and other revenue streams or other rights to payment and the proceeds thereof) and/or similar and/or related assets and (ii) contract rights, lockbox accounts, deposit accounts, securities accounts and records with respect to the assets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(each of the assets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Receivables Facility Asset</w:t>
      </w:r>
      <w:r>
        <w:rPr>
          <w:rFonts w:ascii="Times New Roman" w:cs="Times New Roman" w:eastAsia="Times New Roman" w:hAnsi="Times New Roman"/>
          <w:sz w:val="20"/>
          <w:szCs w:val="20"/>
          <w:color w:val="auto"/>
        </w:rPr>
        <w:t>”) to either (A) a person that is not a Restricted Subsidiary or (B) a Receivables Subsidiary that, in turn, pledges, sells or otherwise transfers its Receivables Facility Assets to a Person that is not a Restricted Subsidiary (including any subsidiary of the Borrower).</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Asset</w:t>
      </w:r>
      <w:r>
        <w:rPr>
          <w:rFonts w:ascii="Times New Roman" w:cs="Times New Roman" w:eastAsia="Times New Roman" w:hAnsi="Times New Roman"/>
          <w:sz w:val="20"/>
          <w:szCs w:val="20"/>
          <w:color w:val="auto"/>
        </w:rPr>
        <w:t>” has the meaning assigned to such term in the definition of “Receivables Facility”.</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any subsidiary of the Borrower formed for the purpose of implementing, or that solely engages in, activities relating to, any permitted securitization, receivables facility, receivables financing, any Receivables Facility and/or any other receivables arrangement and/or any other activity reasonably related thereto.</w:t>
      </w:r>
    </w:p>
    <w:p>
      <w:pPr>
        <w:spacing w:after="0" w:line="174"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Revolver Replacement Facility, as applicable, being incurred pursuant thereto and in accordance with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Refunding Capital Stock</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Bank</w:t>
      </w:r>
      <w:r>
        <w:rPr>
          <w:rFonts w:ascii="Times New Roman" w:cs="Times New Roman" w:eastAsia="Times New Roman" w:hAnsi="Times New Roman"/>
          <w:sz w:val="20"/>
          <w:szCs w:val="20"/>
          <w:color w:val="auto"/>
        </w:rPr>
        <w:t>” means any insured depository institution that is regulated by foreign, federal or state banking regulators, including, without limitation, the United States Office of the Comptroller of the Currency, the Federal Deposit Insurance Corporation or the Board.</w:t>
      </w:r>
    </w:p>
    <w:p>
      <w:pPr>
        <w:spacing w:after="0" w:line="174"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as from time to time in effect and all official rulings and interpretations thereunder or thereof.</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w:t>
      </w:r>
    </w:p>
    <w:p>
      <w:pPr>
        <w:spacing w:after="0" w:line="15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Business Assets</w:t>
      </w:r>
      <w:r>
        <w:rPr>
          <w:rFonts w:ascii="Times New Roman" w:cs="Times New Roman" w:eastAsia="Times New Roman" w:hAnsi="Times New Roman"/>
          <w:sz w:val="20"/>
          <w:szCs w:val="20"/>
          <w:color w:val="auto"/>
        </w:rPr>
        <w:t xml:space="preserve">” means assets (other than cash or Cash Equivalents) used or useful in a Similar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8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Funds</w:t>
      </w:r>
      <w:r>
        <w:rPr>
          <w:rFonts w:ascii="Times New Roman" w:cs="Times New Roman" w:eastAsia="Times New Roman" w:hAnsi="Times New Roman"/>
          <w:sz w:val="20"/>
          <w:szCs w:val="20"/>
          <w:color w:val="auto"/>
        </w:rPr>
        <w:t>” means with respect to any Lender that is an Approved Fund, any other Approved Fund that is managed by the same investment advisor as such Lender or by an Affiliate of such investment advisor.</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managers, officers, shareholders, trustees, employees, partners, agents, advisors and other representatives of such Person and such Person’s Affiliates.</w:t>
      </w:r>
    </w:p>
    <w:p>
      <w:pPr>
        <w:spacing w:after="0" w:line="15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Revolving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Debt</w:t>
      </w:r>
      <w:r>
        <w:rPr>
          <w:rFonts w:ascii="Times New Roman" w:cs="Times New Roman" w:eastAsia="Times New Roman" w:hAnsi="Times New Roman"/>
          <w:sz w:val="20"/>
          <w:szCs w:val="20"/>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any subsequent refinancing of such Replacement Debt).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with respect to any Pension Plan or Multiemployer Plan, any of the events described in Section 4043(c) of ERISA or the regulations issued thereunder, other than those events as to which the 30-day notice period is waived under PBGC Reg. Section 4043.</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having Loans or unused Commitments representing more than 50% of the sum of the total Loans and such unused Commitments at such time.</w:t>
      </w:r>
    </w:p>
    <w:p>
      <w:pPr>
        <w:spacing w:after="0" w:line="15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w:t>
      </w:r>
    </w:p>
    <w:p>
      <w:pPr>
        <w:spacing w:after="0" w:line="174"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194"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with respect to any Person, the chief executive officer, the president, the chief financial officer, the treasurer, any assistant treasurer of such Person and any other individual or similar official thereof, any executive vice president, any senior vice president, any vice president or the chief operating officer or other officer responsible for the administration of the obligations of such Person in respect of this Agreement, any member of the board of directors (in the case of any Person that is not incorporated in the US), and, as to any document delivered on the Closing Date </w:t>
      </w:r>
      <w:r>
        <w:rPr>
          <w:rFonts w:ascii="Times New Roman" w:cs="Times New Roman" w:eastAsia="Times New Roman" w:hAnsi="Times New Roman"/>
          <w:sz w:val="20"/>
          <w:szCs w:val="20"/>
          <w:color w:val="0000FF"/>
        </w:rPr>
        <w:t>or the Amendment No. 2 Effective Date</w:t>
      </w:r>
      <w:r>
        <w:rPr>
          <w:rFonts w:ascii="Times New Roman" w:cs="Times New Roman" w:eastAsia="Times New Roman" w:hAnsi="Times New Roman"/>
          <w:sz w:val="20"/>
          <w:szCs w:val="20"/>
          <w:color w:val="auto"/>
        </w:rPr>
        <w:t xml:space="preserve">, shall include any secretary or assistant secretary or any other individual or similar official thereof with substantially equivalent responsibilities of a Loan Party and, solely for purposes of notices given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any other officer of the applicable Loan Party so designated in writing by the Borrower to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-754380</wp:posOffset>
            </wp:positionV>
            <wp:extent cx="2076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w:t>
      </w:r>
      <w:r>
        <w:rPr>
          <w:rFonts w:ascii="Times New Roman" w:cs="Times New Roman" w:eastAsia="Times New Roman" w:hAnsi="Times New Roman"/>
          <w:sz w:val="20"/>
          <w:szCs w:val="20"/>
          <w:color w:val="auto"/>
        </w:rPr>
        <w:t xml:space="preserve">” means any Indebtedness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“Indebtedness” (other than such Indebtedness among Holdings, the Borrower or any of their respective subsidiaries) of any Loan Party that (a)(i) is contractually subordinated in right of payment to the Obligations, (ii) constitutes Junior Lien Debt or (iii) is unsecured and (b) has an individual outstanding principal amount in excess of the Threshold Amount.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 any dividend or other distribution on account of any shares of any class of the Capital Stock of the Borrower, except a dividend payable solely in shares of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74" w:lineRule="auto"/>
        <w:rPr>
          <w:sz w:val="20"/>
          <w:szCs w:val="20"/>
          <w:color w:val="auto"/>
        </w:rPr>
      </w:pPr>
      <w:r>
        <w:rPr>
          <w:rFonts w:ascii="Times New Roman" w:cs="Times New Roman" w:eastAsia="Times New Roman" w:hAnsi="Times New Roman"/>
          <w:sz w:val="19"/>
          <w:szCs w:val="19"/>
          <w:color w:val="auto"/>
        </w:rPr>
        <w:t>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spacing w:after="0" w:line="15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as to any Person, any subsidiary of such Person that is not an Unrestricted Subsidiary. Unless otherwise specified, “Restricted Subsidiary” means any Restricted Subsidiary of the Borrower.</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Revolving Loan denominated in an Alternate Currency, each of the following: (i) each date of any Borrowing of such Revolving Loan, (ii) each date of any continuation of such Revolving Loan pursuant to the terms of this Agreement, (iii) the last day of each Fiscal Quarter and (iv) the date of any voluntary reduction of a Revolving Credit Commitment pursuant to </w:t>
      </w:r>
      <w:r>
        <w:rPr>
          <w:rFonts w:ascii="Times New Roman" w:cs="Times New Roman" w:eastAsia="Times New Roman" w:hAnsi="Times New Roman"/>
          <w:sz w:val="20"/>
          <w:szCs w:val="20"/>
          <w:u w:val="single" w:color="auto"/>
          <w:color w:val="auto"/>
        </w:rPr>
        <w:t>Section 2.09(c)</w:t>
      </w:r>
      <w:r>
        <w:rPr>
          <w:rFonts w:ascii="Times New Roman" w:cs="Times New Roman" w:eastAsia="Times New Roman" w:hAnsi="Times New Roman"/>
          <w:sz w:val="20"/>
          <w:szCs w:val="20"/>
          <w:color w:val="auto"/>
        </w:rPr>
        <w:t>; and (b) with respect to any Letter of Credit denominated in an Alternate Currency, each of the following: (i) each date of issuance of such a Letter of Credit, (ii) each date of an amendment of such a Letter of Credit that increases the face amount thereof and (iii) the last day of each Fiscal Quarter.</w:t>
      </w:r>
    </w:p>
    <w:p>
      <w:pPr>
        <w:spacing w:after="0" w:line="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Replacement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means any Initial Revolving Credit Commitment and any Additional Revolving Credit Commitment.</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Lender at any time, the aggregate Outstanding Amount at such time of such Lender’s Initial Revolving Credit Exposure and Additional Revolving Credit Exposure.</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means the Initial Revolving Facility, any Incremental Revolving Facility, any facility governing Extended Revolving Credit Commitments or Extended Revolving Loans and any Revolver Replacement Facility.</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any Initial Revolving Lender and any Additional Revolving Lender. Unless the context otherwise requires, the term “Revolving Lender” shall include the Swingline Lender.</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any Initial Revolving Loan and any Additional Revolving Loan.</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Run-Rate Synergies</w:t>
      </w:r>
      <w:r>
        <w:rPr>
          <w:rFonts w:ascii="Times New Roman" w:cs="Times New Roman" w:eastAsia="Times New Roman" w:hAnsi="Times New Roman"/>
          <w:sz w:val="20"/>
          <w:szCs w:val="20"/>
          <w:color w:val="auto"/>
        </w:rPr>
        <w:t>” has the meaning assigned to such term in the definition of “Consolidated Adjusted EBITDA”.</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S&amp;P Global, Inc.</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arrangement providing for the lease by the Borrower and/or any Restricted Subsidiary of any property, which property has been or is to be sold or transferred by the Borrower or such Restricted Subsidiary in contemplation of such lease arrangement.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economic or financial sanctions or trade embargoes imposed, administered or enforced from time to time by</w:t>
      </w:r>
    </w:p>
    <w:p>
      <w:pPr>
        <w:spacing w:after="0" w:line="33" w:lineRule="exact"/>
        <w:rPr>
          <w:sz w:val="20"/>
          <w:szCs w:val="20"/>
          <w:color w:val="auto"/>
        </w:rPr>
      </w:pPr>
    </w:p>
    <w:p>
      <w:pPr>
        <w:jc w:val="both"/>
        <w:ind w:firstLine="8"/>
        <w:spacing w:after="0" w:line="242" w:lineRule="auto"/>
        <w:tabs>
          <w:tab w:leader="none" w:pos="29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to the extent such regimes are applicable to the business of the Borrower and its Restricted Subsidiaries, the United Nations Security Council, the European Union, any European Union member state or Her Majesty’s Treasury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ind w:right="44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or territory that is itself the target of comprehensive Sanctions (as of the date of this Agreement, Cuba, Iran, North Korea, Syria, and the Crimea region of Ukraine).</w:t>
      </w:r>
    </w:p>
    <w:p>
      <w:pPr>
        <w:spacing w:after="0" w:line="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any Person that is the target of Sanctions, including (a) any Person listed in any Sanctions-related list of designated Persons maintained by (i) OFAC or the U.S. Department of State or (ii) to the extent the laws of such regimes are applicable to the Borrower and its Restricted Subsidiaries, the United Nations Security Council, the European Union, any European Union member state or Her Majesty’s Treasury of the United Kingdom; (b) any Person organized or resident in a Sanctioned Country; or (c) the government of a Sanctioned Country.</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Payment Date</w:t>
      </w:r>
      <w:r>
        <w:rPr>
          <w:rFonts w:ascii="Times New Roman" w:cs="Times New Roman" w:eastAsia="Times New Roman" w:hAnsi="Times New Roman"/>
          <w:sz w:val="20"/>
          <w:szCs w:val="20"/>
          <w:color w:val="auto"/>
        </w:rPr>
        <w:t>” means the last day of each March, June, September and December (commencing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or all of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functions.</w:t>
      </w:r>
    </w:p>
    <w:p>
      <w:pPr>
        <w:spacing w:after="0" w:line="194"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Hedging Obligations</w:t>
      </w:r>
      <w:r>
        <w:rPr>
          <w:rFonts w:ascii="Times New Roman" w:cs="Times New Roman" w:eastAsia="Times New Roman" w:hAnsi="Times New Roman"/>
          <w:sz w:val="20"/>
          <w:szCs w:val="20"/>
          <w:color w:val="auto"/>
        </w:rPr>
        <w:t xml:space="preserve">” means all Hedging Obligations (other than any Excluded Swap Obligation) under each Hedge Agreement that is in effect on the Closing Date or entered into at any time on or after the Closing Date between any Loan Party and (a) a counterparty that is (or is an Affiliate of) the Administrative Agent, a Lender or an Arranger as of the Closing Date or at the time such Hedge Agreement is entered into and/or (b) any other Person designated by the Borrower to the Administrative Agent, in each case, for which such Loan Party agrees to provide security and in each case that has been designated to the Administrative Agent in writing by the Borrower as being a Secured Hedging Obligation for purposes of the Loan Documents (provided that the Borrower may designate all Hedge Agreements under a specified ISDA master agreement as being Secured Hedging Obligations without the need for separate notices for each Hedge Agreement), it being understood that each counterparty thereto shall be deemed (A) to appoint the Administrative Agent as its agent under the applicable Loan Documents and (B) to agree to be bound by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any applicable Intercreditor Agreement as if it were a Lender.</w:t>
      </w:r>
    </w:p>
    <w:p>
      <w:pPr>
        <w:spacing w:after="0" w:line="192"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Net Leverage Ratio</w:t>
      </w:r>
      <w:r>
        <w:rPr>
          <w:rFonts w:ascii="Times New Roman" w:cs="Times New Roman" w:eastAsia="Times New Roman" w:hAnsi="Times New Roman"/>
          <w:sz w:val="20"/>
          <w:szCs w:val="20"/>
          <w:color w:val="auto"/>
        </w:rPr>
        <w:t>” means the ratio, as of any date of determination, of (a) Consolidated Secured Debt as of the last day of the most recently ended Test Period to (b) Consolidated Adjusted EBITDA for the most recently ended Test Period, in each case, of the Borrower and its Restricted Subsidiaries on a consolidated basis.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together with (a) all Banking Services Obligations and (b) all Secured Hedging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w:t>
      </w:r>
    </w:p>
    <w:p>
      <w:pPr>
        <w:spacing w:after="0" w:line="194"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Lenders, the Issuing Banks and the Swingline Lender, (b) the Administrative Agent, (c) each counterparty to a Hedge Agreement with a Loan Party the obligations under which constitute Secured Hedging Obligations, (d) each provider of Banking Services to any Loan Party the obligations under which constitute Banking Services Obligations, and (e) any beneficiary of any indemnification obligation undertaken by any Loan Party under any Loan Document.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and the rules and regulations of the SEC promulgated thereunder.</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means a fungible financial instrument that holds some monetary value, such as representing (a) an ownership interest in a publicly-traded company or rights to such ownership, or (b) a creditor relationship with a Governmental Authority 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xml:space="preserve">” means the Pledge and Security Agreement,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among the Loan Parties, as grantors, and the Administrative Agent for the benefit of the Secured Parties.</w:t>
      </w:r>
    </w:p>
    <w:p>
      <w:pPr>
        <w:spacing w:after="0" w:line="159"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xml:space="preserve">” means any Person the majority of the revenues of which are derived from a business that would be permitted by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if the references to “Restricted Subsidiaries” in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were read to refer to such Person.</w:t>
      </w:r>
    </w:p>
    <w:p>
      <w:pPr>
        <w:spacing w:after="0" w:line="159" w:lineRule="exact"/>
        <w:rPr>
          <w:sz w:val="20"/>
          <w:szCs w:val="20"/>
          <w:color w:val="auto"/>
        </w:rPr>
      </w:pPr>
    </w:p>
    <w:p>
      <w:pPr>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with respect to Term SOFR (i) with an Interest Period of one, three or six months, 0.10%, and (ii) otherwise, such adjustment as mutually agreed by the Borrower, the Administrative Agent and each relevant Lender.</w:t>
      </w:r>
    </w:p>
    <w:p>
      <w:pPr>
        <w:spacing w:after="0" w:line="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Commitment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Commitment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Guarantor Release Provision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Subsidiary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Spectrum</w:t>
      </w:r>
      <w:r>
        <w:rPr>
          <w:rFonts w:ascii="Times New Roman" w:cs="Times New Roman" w:eastAsia="Times New Roman" w:hAnsi="Times New Roman"/>
          <w:sz w:val="20"/>
          <w:szCs w:val="20"/>
          <w:color w:val="auto"/>
        </w:rPr>
        <w:t>” means, collectively, Spectrum Equity Management, L.P. together with its controlled or managed Affiliates and funds managed or advised by any of them or their respective controlled or managed Affiliates, including for the avoidance of doubt, SE VII DHC AIV, L.P., Spectrum VII Investment Managers’ Fund, L.P., and Spectrum VII Co-Investment Fund, L.P.</w:t>
      </w:r>
    </w:p>
    <w:p>
      <w:pPr>
        <w:spacing w:after="0" w:line="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means each of Advent, Spectrum and 22C Capital.</w:t>
      </w:r>
    </w:p>
    <w:p>
      <w:pPr>
        <w:spacing w:after="0" w:line="216"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obtain such spot rate from another financial institution designated by the Administrative Agent if the Administrative Agent does not have as of the date of determination a spot buying rate for any such currency.</w:t>
      </w:r>
    </w:p>
    <w:p>
      <w:pPr>
        <w:spacing w:after="0" w:line="184"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Amount</w:t>
      </w:r>
      <w:r>
        <w:rPr>
          <w:rFonts w:ascii="Times New Roman" w:cs="Times New Roman" w:eastAsia="Times New Roman" w:hAnsi="Times New Roman"/>
          <w:sz w:val="20"/>
          <w:szCs w:val="20"/>
          <w:color w:val="auto"/>
        </w:rPr>
        <w:t>” means, with respect to any Letter of Credit, at any time, the maximum amount available to be drawn thereunder, in each case determined (a) as if any future automatic increase in the maximum available amount provided for in any such Letter of Credit had in fact occurred at such time and (b) without regard to whether any conditions to drawing could then be met but after giving effect to all previous drawings made thereunder.</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Person</w:t>
      </w:r>
      <w:r>
        <w:rPr>
          <w:rFonts w:ascii="Times New Roman" w:cs="Times New Roman" w:eastAsia="Times New Roman" w:hAnsi="Times New Roman"/>
          <w:sz w:val="20"/>
          <w:szCs w:val="20"/>
          <w:color w:val="auto"/>
        </w:rPr>
        <w:t>” has the meaning assigned to such term in the definition of “Consolidated Net Income”.</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Transaction</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permitted by this Agreement;</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(i) all or substantially all of the assets or (ii) the Capital Stock of any subsidiary (or any business unit, line of business or division of the Borrower and/or any Restricted Subsidiary) not prohibited by this Agreement;</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designation of a Restricted Subsidiary as an Unrestricted Subsidiary or an Unrestricted Subsidiary as a Restricted Subsidiary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incurrence, retirement, redemption, repayment and/or prepayment of Indebtedness (other than any Indebtedness incurred or repaid under any revolving credit facility in the ordinary course of business for working capital purposes);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contribution in respect of Qualified Capital Stock or any issuance of Qualified Capital Stock (other than any amount constituting a Cure Amount);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any Business Optimization Initiative;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Borrower, any discontinued operation; and/or</w:t>
      </w:r>
    </w:p>
    <w:p>
      <w:pPr>
        <w:spacing w:after="0" w:line="215"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that by the terms of the Loan Documents requires pro forma compliance with a test or covenant hereunder or requires such test or covenant to be calculated on a pro forma basis.</w:t>
      </w:r>
    </w:p>
    <w:p>
      <w:pPr>
        <w:spacing w:after="0" w:line="159"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determining the percentage of ownership interests of any Person controlled by another Person, no ownership interests in the nature of a “qualifying share” of the former Person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color w:val="auto"/>
        </w:rPr>
        <w:t>deemed to be outstanding. Unless otherwise specified, “subsidiary” shall mean any subsidiary of the Borrower.</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(a) on the Closing Date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each subsidiary of the Borrower (other than any such subsidiary that is an Excluded Subsidiary on the Closing Date) and (b) thereafter, each subsidiary of the Borrower that becomes a Guarantor of the Secured Obligations pursuant to the terms of this Agreement (including any such subsidiary designated as a Discretionary Guarantor pursuant to </w:t>
      </w:r>
      <w:r>
        <w:rPr>
          <w:rFonts w:ascii="Times New Roman" w:cs="Times New Roman" w:eastAsia="Times New Roman" w:hAnsi="Times New Roman"/>
          <w:sz w:val="20"/>
          <w:szCs w:val="20"/>
          <w:u w:val="single" w:color="auto"/>
          <w:color w:val="auto"/>
        </w:rPr>
        <w:t>Section 5.12(c)</w:t>
      </w:r>
      <w:r>
        <w:rPr>
          <w:rFonts w:ascii="Times New Roman" w:cs="Times New Roman" w:eastAsia="Times New Roman" w:hAnsi="Times New Roman"/>
          <w:sz w:val="20"/>
          <w:szCs w:val="20"/>
          <w:color w:val="auto"/>
        </w:rPr>
        <w:t>), in each case, until such time as the relevant subsidiary is released from its obligations under the Loan Guaranty in accordance with the terms and provisions hereof.</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Holdings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6.09(b)</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Loan Guarantor, any obligation to pay or perform under any agreement, contract or transaction that constitutes a “swap” within the meaning of Section 1a(47) of the Commodity Exchange Act.</w:t>
      </w:r>
    </w:p>
    <w:p>
      <w:pPr>
        <w:spacing w:after="0" w:line="51"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Revolving Lender at any time shall equal to its Applicable Revolving Credit Percentage of the aggregate Swingline Exposure at such time.</w:t>
      </w:r>
    </w:p>
    <w:p>
      <w:pPr>
        <w:spacing w:after="0" w:line="174"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America, in its capacity as lender of Swingline Loans hereunder, or any successor lender of Swingline Loans hereunder.</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any Initial Term Loan Commitment and any Additional Term Loan Commitment.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the Term Loans provided to or for the benefit of the Borrower pursuant to the terms of this Agreement.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any Initial Term Lender and any Additional Term Lender.</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the Initial Term Loans and, if applicable, any Additional Term Loans.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153"/>
        <w:spacing w:after="0" w:line="254" w:lineRule="auto"/>
        <w:tabs>
          <w:tab w:leader="none" w:pos="15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spacing w:after="0" w:line="269" w:lineRule="auto"/>
        <w:rPr>
          <w:sz w:val="20"/>
          <w:szCs w:val="20"/>
          <w:color w:val="auto"/>
        </w:rPr>
      </w:pPr>
      <w:r>
        <w:rPr>
          <w:rFonts w:ascii="Times New Roman" w:cs="Times New Roman" w:eastAsia="Times New Roman" w:hAnsi="Times New Roman"/>
          <w:sz w:val="20"/>
          <w:szCs w:val="20"/>
          <w:color w:val="auto"/>
        </w:rPr>
        <w:t>Screen Rate on the first U.S. Government Securities Business Day immediately prior thereto, in each case, plus the SOFR Adjustment for such Interest Period; and</w:t>
      </w:r>
    </w:p>
    <w:p>
      <w:pPr>
        <w:spacing w:after="0" w:line="159" w:lineRule="exact"/>
        <w:rPr>
          <w:sz w:val="20"/>
          <w:szCs w:val="20"/>
          <w:color w:val="auto"/>
        </w:rPr>
      </w:pPr>
    </w:p>
    <w:p>
      <w:pPr>
        <w:jc w:val="both"/>
        <w:ind w:firstLine="1153"/>
        <w:spacing w:after="0" w:line="249" w:lineRule="auto"/>
        <w:tabs>
          <w:tab w:leader="none" w:pos="15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an ABR Loan on any date, the rate per annum equal to the Term SOFR Screen Rate </w:t>
      </w:r>
      <w:r>
        <w:rPr>
          <w:rFonts w:ascii="Times New Roman" w:cs="Times New Roman" w:eastAsia="Times New Roman" w:hAnsi="Times New Roman"/>
          <w:sz w:val="20"/>
          <w:szCs w:val="20"/>
          <w:u w:val="single" w:color="auto"/>
          <w:color w:val="0000FF"/>
        </w:rPr>
        <w:t>two U.S. Government Securities Business Days prior to such date</w:t>
      </w:r>
      <w:r>
        <w:rPr>
          <w:rFonts w:ascii="Times New Roman" w:cs="Times New Roman" w:eastAsia="Times New Roman" w:hAnsi="Times New Roman"/>
          <w:sz w:val="20"/>
          <w:szCs w:val="20"/>
          <w:color w:val="auto"/>
        </w:rPr>
        <w:t xml:space="preserve"> with a term of one month commencing that day; </w:t>
      </w:r>
      <w:r>
        <w:rPr>
          <w:rFonts w:ascii="Times New Roman" w:cs="Times New Roman" w:eastAsia="Times New Roman" w:hAnsi="Times New Roman"/>
          <w:sz w:val="20"/>
          <w:szCs w:val="20"/>
          <w:u w:val="single" w:color="auto"/>
          <w:color w:val="0000FF"/>
        </w:rPr>
        <w:t>provided that if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rate is not published prior to 11:00am on such determination date then Term SOFR means the Term SOFR Screen Rate on the first U.S. Government Securities Business Day immediately prior thereto, in each case, plus the SOFR Adjustment for such term,</w:t>
      </w:r>
    </w:p>
    <w:p>
      <w:pPr>
        <w:spacing w:after="0" w:line="39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provisions (a) or (b) of this definition would otherwise be less than 0.00%, Term SOFR shall be deemed 0.00% for purposes of this Agreement.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has the meaning assigned to such term in the lead-in to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as of any date, the period of four consecutive Fiscal Quarters then most recently ended for which financial statements under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as applicable, have been delivered (or are required to have been delivered); it being understood and agreed that prior to the first delivery (or required delivery) of financial statements under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“Test Period” means the period of four consecutive Fiscal Quarters most recently ended for which financial statements of the Borrower are available.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$25,000,000.</w:t>
      </w:r>
    </w:p>
    <w:p>
      <w:pPr>
        <w:spacing w:after="0" w:line="21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means the ratio, as of any date of determination, of (a) Consolidated Total Debt outstanding as of the last day of the most recently ended Test Period to (b) Consolidated Adjusted EBITDA for the most recently ended Test Period, in each case, of the Borrower and its Restricted Subsidiaries on a consolidated basis.</w:t>
      </w:r>
    </w:p>
    <w:p>
      <w:pPr>
        <w:spacing w:after="0" w:line="174"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Commitment</w:t>
      </w:r>
      <w:r>
        <w:rPr>
          <w:rFonts w:ascii="Times New Roman" w:cs="Times New Roman" w:eastAsia="Times New Roman" w:hAnsi="Times New Roman"/>
          <w:sz w:val="20"/>
          <w:szCs w:val="20"/>
          <w:color w:val="auto"/>
        </w:rPr>
        <w:t>” means, at any time, the aggregate amount of the Revolving Credit Commitments, as in effect at such time.</w:t>
      </w:r>
    </w:p>
    <w:p>
      <w:pPr>
        <w:spacing w:after="0" w:line="159"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 (e) all domestic rights corresponding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fees, premiums, expenses and other transaction costs (including original issue discount or upfront fees) payable or otherwise borne by the Borrower, any Parent Company and/or its subsidiaries in connection with the Transactions and the transactions contemplated thereby.</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execution, delivery and performance by the Loan Parties of the Loan Documents to which they are a party and the Borrowing of Loans hereunder on the Closing Date, (b) the Closing Date Refinancing, (c) the consummation of the IPO and (d) the payment of the Transaction Costs.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Capital Stock</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Regulations</w:t>
      </w:r>
      <w:r>
        <w:rPr>
          <w:rFonts w:ascii="Times New Roman" w:cs="Times New Roman" w:eastAsia="Times New Roman" w:hAnsi="Times New Roman"/>
          <w:sz w:val="20"/>
          <w:szCs w:val="20"/>
          <w:color w:val="auto"/>
        </w:rPr>
        <w:t>” means the US federal income tax regulations promulgated under the Code.</w:t>
      </w:r>
    </w:p>
    <w:p>
      <w:pPr>
        <w:spacing w:after="0" w:line="216"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Term SOFR or the Alternate Base Rate.</w:t>
      </w:r>
    </w:p>
    <w:p>
      <w:pPr>
        <w:spacing w:after="0" w:line="159"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59"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Amount</w:t>
      </w:r>
      <w:r>
        <w:rPr>
          <w:rFonts w:ascii="Times New Roman" w:cs="Times New Roman" w:eastAsia="Times New Roman" w:hAnsi="Times New Roman"/>
          <w:sz w:val="20"/>
          <w:szCs w:val="20"/>
          <w:color w:val="auto"/>
        </w:rPr>
        <w:t xml:space="preserve">” means, as to any Person on any date of determination, the amount of (a) unrestricted Cash and Cash Equivalents of such Person and (b) Cash and Cash Equivalents of such Person that are restricted in favor of the Credit Facilities and/or other permitted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secured Indebtedness (which may also include Cash and Cash Equivalents securing other Indebtedness that is secured by a Lien on Collateral along with the Credit Facilities and and/or other permitted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secured indebtedness), in each case, (x) whether or not held in a pledged account and (y) calculated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Unrestricted Cash Amount shall not exceed $100,000,000.</w:t>
      </w:r>
    </w:p>
    <w:p>
      <w:pPr>
        <w:spacing w:after="0" w:line="184"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Borrower that is listed on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xml:space="preserve"> hereto or designated by the Borrower as an Unrestricted Subsidiary after the Closing Date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and (b) each subsidiary of any Person described in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66"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59"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at any date, the number of years obtained by </w:t>
      </w:r>
      <w:r>
        <w:rPr>
          <w:rFonts w:ascii="Times New Roman" w:cs="Times New Roman" w:eastAsia="Times New Roman" w:hAnsi="Times New Roman"/>
          <w:sz w:val="20"/>
          <w:szCs w:val="20"/>
          <w:u w:val="single" w:color="auto"/>
          <w:color w:val="auto"/>
        </w:rPr>
        <w:t>dividing</w:t>
      </w:r>
      <w:r>
        <w:rPr>
          <w:rFonts w:ascii="Times New Roman" w:cs="Times New Roman" w:eastAsia="Times New Roman" w:hAnsi="Times New Roman"/>
          <w:sz w:val="20"/>
          <w:szCs w:val="20"/>
          <w:color w:val="auto"/>
        </w:rPr>
        <w:t xml:space="preserve">: (a) the sum of the products obtained by </w:t>
      </w:r>
      <w:r>
        <w:rPr>
          <w:rFonts w:ascii="Times New Roman" w:cs="Times New Roman" w:eastAsia="Times New Roman" w:hAnsi="Times New Roman"/>
          <w:sz w:val="20"/>
          <w:szCs w:val="20"/>
          <w:u w:val="single" w:color="auto"/>
          <w:color w:val="auto"/>
        </w:rPr>
        <w:t>multiplying</w:t>
      </w:r>
      <w:r>
        <w:rPr>
          <w:rFonts w:ascii="Times New Roman" w:cs="Times New Roman" w:eastAsia="Times New Roman" w:hAnsi="Times New Roman"/>
          <w:sz w:val="20"/>
          <w:szCs w:val="20"/>
          <w:color w:val="auto"/>
        </w:rPr>
        <w:t xml:space="preserve">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effects of any prepayment made in respect of such Indebtedness shall be disregarded in making such calculation.</w:t>
      </w:r>
    </w:p>
    <w:p>
      <w:pPr>
        <w:spacing w:after="0" w:line="18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the liability to any Multiemployer Plan as the result of a “complete” or “partial” withdrawal by Holdings, the Borrower or any Restricted Subsidiary or any ERISA Affiliate from such Multiemployer Plan, as such terms are defined in Part I of Subtitle E of Title IV of ERISA.</w:t>
      </w:r>
    </w:p>
    <w:p>
      <w:pPr>
        <w:spacing w:after="0" w:line="174"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SOFR Loan”)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SOFR Term Loan”). Borrowings also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SOFR Borrowing”)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SOFR Term Loan Borrowing”).</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Section 1.03. Terms Generally . With reference to this Agreement and each other Loan Document, unless otherwise specified herein or in such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-192405</wp:posOffset>
            </wp:positionV>
            <wp:extent cx="9671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39" w:lineRule="exact"/>
        <w:rPr>
          <w:sz w:val="20"/>
          <w:szCs w:val="20"/>
          <w:color w:val="auto"/>
        </w:rPr>
      </w:pPr>
    </w:p>
    <w:p>
      <w:pPr>
        <w:ind w:left="1160" w:hanging="403"/>
        <w:spacing w:after="0"/>
        <w:tabs>
          <w:tab w:leader="none" w:pos="11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ind w:left="1160" w:hanging="403"/>
        <w:spacing w:after="0"/>
        <w:tabs>
          <w:tab w:leader="none" w:pos="11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“include,” “includes” and “including” shall be deemed to be followed by the phrase “without limitation.”</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and effect as the word “shall.”</w:t>
      </w:r>
    </w:p>
    <w:p>
      <w:pPr>
        <w:spacing w:after="0" w:line="215"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and “hereunder,” and words of similar import, when used in any Loan Document, shall be construed to refer to such Loan Document in its entirety and not to any particular provision hereof.</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spacing w:after="0" w:line="179"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Requirement of Law in any Loan Document shall include all statutory and regulatory provisions consolidating, amending, replacing, supplementing or interpreting such Requirement of Law.</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or in any Loan Document to any Person shall be construed to include such Person’s successors and permitted assigns.</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herein or in any Loan Document to Articles, Sections, clauses, paragraphs, Exhibits and Schedules shall be construed to refer to Articles, Sections, clauses and paragraphs of, and Exhibits and Schedules to, such Loan Document.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in any Loan Document from a specified date to a later specified date, the word “from” means “from and including”, the words “to” and “until” mean “to but excluding” and the word “through” means “to and including”.</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at any time with </w:t>
      </w:r>
      <w:r>
        <w:rPr>
          <w:rFonts w:ascii="Times New Roman" w:cs="Times New Roman" w:eastAsia="Times New Roman" w:hAnsi="Times New Roman"/>
          <w:sz w:val="20"/>
          <w:szCs w:val="20"/>
          <w:u w:val="single" w:color="auto"/>
          <w:color w:val="auto"/>
        </w:rPr>
        <w:t>Sections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in the event that any Affiliate transaction, Indebtedness, Lien, Restricted Payment, Restricted Debt Payment, Burdensome Agreement, Investment or Disposition, as applicable, meets the criteria of more than one of the categories of transactions or items permitted pursuant to any clause of such </w:t>
      </w:r>
      <w:r>
        <w:rPr>
          <w:rFonts w:ascii="Times New Roman" w:cs="Times New Roman" w:eastAsia="Times New Roman" w:hAnsi="Times New Roman"/>
          <w:sz w:val="20"/>
          <w:szCs w:val="20"/>
          <w:u w:val="single" w:color="auto"/>
          <w:color w:val="auto"/>
        </w:rPr>
        <w:t>Sections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that the provisions of this </w:t>
      </w:r>
      <w:r>
        <w:rPr>
          <w:rFonts w:ascii="Times New Roman" w:cs="Times New Roman" w:eastAsia="Times New Roman" w:hAnsi="Times New Roman"/>
          <w:sz w:val="20"/>
          <w:szCs w:val="20"/>
          <w:u w:val="single" w:color="auto"/>
          <w:color w:val="auto"/>
        </w:rPr>
        <w:t>Section 1.03(l)</w:t>
      </w:r>
      <w:r>
        <w:rPr>
          <w:rFonts w:ascii="Times New Roman" w:cs="Times New Roman" w:eastAsia="Times New Roman" w:hAnsi="Times New Roman"/>
          <w:sz w:val="20"/>
          <w:szCs w:val="20"/>
          <w:color w:val="auto"/>
        </w:rPr>
        <w:t xml:space="preserve"> shall apply to any amount incurred in reliance on any provision of the definition of “Incremental Cap”),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initial incurrence of any portion of any Indebtedness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that the provisions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apply to any amount incurred in reliance on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of the definition of “Incremental Cap”) (such portion of such Indebtedness, the “</w:t>
      </w:r>
      <w:r>
        <w:rPr>
          <w:rFonts w:ascii="Times New Roman" w:cs="Times New Roman" w:eastAsia="Times New Roman" w:hAnsi="Times New Roman"/>
          <w:sz w:val="20"/>
          <w:szCs w:val="20"/>
          <w:u w:val="single" w:color="auto"/>
          <w:color w:val="auto"/>
        </w:rPr>
        <w:t>Subject Indebtedness</w:t>
      </w:r>
      <w:r>
        <w:rPr>
          <w:rFonts w:ascii="Times New Roman" w:cs="Times New Roman" w:eastAsia="Times New Roman" w:hAnsi="Times New Roman"/>
          <w:sz w:val="20"/>
          <w:szCs w:val="20"/>
          <w:color w:val="auto"/>
        </w:rPr>
        <w:t xml:space="preserve">”), if any such Subject Indebtedness could, based on such financial statements, have been incurred in reliance on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such Subject Indebtedness shall automatically be reclassified as having been incurred under the applicable provisions of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(subject to any other applicable provision of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or the Incremental Incurrence-Based Component, as applicable,) and any associated Lien will be deemed to have been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upon any such reclassification;</w:t>
      </w:r>
    </w:p>
    <w:p>
      <w:pPr>
        <w:spacing w:after="0" w:line="184" w:lineRule="exact"/>
        <w:rPr>
          <w:sz w:val="20"/>
          <w:szCs w:val="20"/>
          <w:color w:val="auto"/>
        </w:rPr>
      </w:pPr>
    </w:p>
    <w:p>
      <w:pPr>
        <w:jc w:val="both"/>
        <w:ind w:left="760" w:firstLine="745"/>
        <w:spacing w:after="0" w:line="249"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Investment in reliance on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 xml:space="preserve">), if all or any portion of such Investment could, based on such financial statements, have been made in reliance on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 xml:space="preserve">, such Investment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 6.06(bb)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Restricted Payment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6.04(a)(xi)</w:t>
      </w:r>
      <w:r>
        <w:rPr>
          <w:rFonts w:ascii="Times New Roman" w:cs="Times New Roman" w:eastAsia="Times New Roman" w:hAnsi="Times New Roman"/>
          <w:sz w:val="20"/>
          <w:szCs w:val="20"/>
          <w:color w:val="auto"/>
        </w:rPr>
        <w:t xml:space="preserve">), if all or any portion of such Restricted Payment could, based on such financial statements, have been made in reliance on </w:t>
      </w:r>
      <w:r>
        <w:rPr>
          <w:rFonts w:ascii="Times New Roman" w:cs="Times New Roman" w:eastAsia="Times New Roman" w:hAnsi="Times New Roman"/>
          <w:sz w:val="20"/>
          <w:szCs w:val="20"/>
          <w:u w:val="single" w:color="auto"/>
          <w:color w:val="auto"/>
        </w:rPr>
        <w:t>Section 6.04(a)(xi</w:t>
      </w:r>
      <w:r>
        <w:rPr>
          <w:rFonts w:ascii="Times New Roman" w:cs="Times New Roman" w:eastAsia="Times New Roman" w:hAnsi="Times New Roman"/>
          <w:sz w:val="20"/>
          <w:szCs w:val="20"/>
          <w:color w:val="auto"/>
        </w:rPr>
        <w:t xml:space="preserve">), such Restricted Payment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6.04(a)(xi</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date on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delivered on the date of or, following the making of any Restricted Debt Payment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6.04(b)(vii)</w:t>
      </w:r>
      <w:r>
        <w:rPr>
          <w:rFonts w:ascii="Times New Roman" w:cs="Times New Roman" w:eastAsia="Times New Roman" w:hAnsi="Times New Roman"/>
          <w:sz w:val="20"/>
          <w:szCs w:val="20"/>
          <w:color w:val="auto"/>
        </w:rPr>
        <w:t xml:space="preserve">), if all or any portion of such Restricted Debt Payment could, based on such financial statements, have been made in reliance on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such Restricted Debt Payment (or the relevant portion thereof) shall automatically be reclassified as having been made in reliance on </w:t>
      </w:r>
      <w:r>
        <w:rPr>
          <w:rFonts w:ascii="Times New Roman" w:cs="Times New Roman" w:eastAsia="Times New Roman" w:hAnsi="Times New Roman"/>
          <w:sz w:val="20"/>
          <w:szCs w:val="20"/>
          <w:u w:val="single" w:color="auto"/>
          <w:color w:val="auto"/>
        </w:rPr>
        <w:t>Section 6.04(b)(vii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it is understood and agreed that, with respect to the fourth Fiscal Quarter of any Fiscal Year, prior to the date on which financial statements of the type described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for such Fiscal Year are delivered the Borrower may, in its sole discretion, rely on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that are internally available to trigger the reclassification of any transaction based on the financial results as of the end of the fourth Fiscal Quarter of such Fiscal Year.</w:t>
      </w:r>
    </w:p>
    <w:p>
      <w:pPr>
        <w:spacing w:after="0" w:line="180" w:lineRule="exact"/>
        <w:rPr>
          <w:sz w:val="20"/>
          <w:szCs w:val="20"/>
          <w:color w:val="auto"/>
        </w:rPr>
      </w:pPr>
    </w:p>
    <w:p>
      <w:pPr>
        <w:jc w:val="both"/>
        <w:ind w:firstLine="757"/>
        <w:spacing w:after="0" w:line="243" w:lineRule="auto"/>
        <w:tabs>
          <w:tab w:leader="none" w:pos="11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respectively, and may instead be permitted in part under any combination thereof, but the Borrower will only be required to include the amount and type of such transaction (or portion thereof) in one such category (or combination thereof). To the extent the applicability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with respect to any transaction is subject to a materiality threshold, such transaction shall only be required to comply with the provisions of such Sections to the extent of the amount of such transaction that is in excess of such materiality threshold.</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amount herein expressed as a percentage of Consolidated Adjusted EBITDA, “Consolidated Adjusted EBITDA”, unless the context otherwise requires, shall be deemed to refer to Consolidated Adjusted EBITDA of the Borrower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20"/>
          <w:szCs w:val="20"/>
          <w:color w:val="auto"/>
        </w:rPr>
        <w:t>Section 1.04.  Accounting Terms;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4325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1"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First Lien Net Leverage Ratio, the Secured Net Leverage Ratio, the Total Net Leverage Ratio, Consolidated Adjusted EBITDA or Consolidated Total Assets shall be construed and interpreted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Borrower so requests,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8"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but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all financial ratios and tests (including the First Lien Net Leverage Ratio, the Secured Net Leverage Ratio, the Total Net Leverage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(i) any Subject Transaction has occurred or (ii)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and/or Cash Equivalents), as of the last day of such Test Period) (it being understood, for the avoidance of doubt, that solely for purposes of (A) calculating actual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(B) calculating the Total Net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9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or in the definition of “Capital Lease,”, only those leases (assuming for purposes hereof that such leases were then in existence) that would constitute Capital Leases in conformity with GAAP as in effect prior to giving effect to the adoption of ASU No. 2016-02 “Leases (Topic 842)” and ASU No. 2018-11 “Leases (Topic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842)” shall be considered Capital Leases hereunder or under any other Loan Document, and all calculations and deliverables under this Agreement or any other Loan Document shall be made, prepared or available, as applicable, in accordance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financial statements required to be provided hereunder may, at the option of the Borrower, be prepared in accordance with GAAP without giving effect to the foregoing treatment of Capital Leases.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Section 1.05. Effectuation of Transactions. Each of the representations and warranties contained in the Loan Documents (and all corresponding definitions) is made after giving effect to the Transactions,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15347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1.06. Timing of Payment or Performance.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-471170</wp:posOffset>
            </wp:positionV>
            <wp:extent cx="19018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16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Section 1.07. Times of Day . Unless otherwise specified herein, all references herein to times of day shall be references to New York City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-192405</wp:posOffset>
            </wp:positionV>
            <wp:extent cx="806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06450" cy="8890"/>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1.08.  Currency Equivalents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7125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9" w:lineRule="auto"/>
        <w:tabs>
          <w:tab w:leader="none" w:pos="11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any determination under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the calculation of compliance with any financial ratio for purposes of taking any action hereunder) or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with respect to any Affiliate transaction, the amount of any Indebtedness, Lien, Restricted Payment, Restricted Debt Payment, Investment, Disposition or other transaction, event or circumstance, or any determination under any other provision of this Agreement, (any of the foregoing, a “</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 unutilized thereunder and (z)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(ii)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prior to the first such delivery, the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Indebtedness that is subject to a Debt FX Hedge shall be determined in accordance with the definition of “Consolidated Total Debt”. Notwithstanding the foregoing or anything to the contrary herein, to the extent that the Borrower would not be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if any Indebtedness denominated in a currency other than Dollars were to be translated into Dollars on the basis of the applicable currency exchange rate used in preparing the financial statements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for the relevant Test Period, but would be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the Total Net Leverage Ratio as of the last day of such Test Period shall be calculated on the basis of such average relevant currency exchange rates;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Indebtedness that is subject to a Debt FX Hedge shall be determined in accordance with the definition of “Consolidated Total Debt”.</w:t>
      </w:r>
    </w:p>
    <w:p>
      <w:pPr>
        <w:spacing w:after="0" w:line="187" w:lineRule="exact"/>
        <w:rPr>
          <w:sz w:val="20"/>
          <w:szCs w:val="20"/>
          <w:color w:val="auto"/>
        </w:rPr>
      </w:pPr>
    </w:p>
    <w:p>
      <w:pPr>
        <w:jc w:val="both"/>
        <w:ind w:firstLine="757"/>
        <w:spacing w:after="0" w:line="254" w:lineRule="auto"/>
        <w:tabs>
          <w:tab w:leader="none" w:pos="114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1.09. Cashless Rollovers .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Revolver Replacement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-904240</wp:posOffset>
            </wp:positionV>
            <wp:extent cx="1079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79500" cy="8890"/>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1.10.  Alternate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1372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6" w:lineRule="auto"/>
        <w:tabs>
          <w:tab w:leader="none" w:pos="11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request that Revolving Loans be made and/or Letters of Credit be issued in an Alternate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relevant requested currency is a lawful currency (other than Dollars) that is readily available and freely transferable and convertible into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Swingline Loans may only be made in Dollars. In the case of any such request with respect to the making of Revolving Loans, such request shall be subject to the approval of the Administrative Agent and the Revolving Lenders and in the case of any such request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issuance of Letters of Credit, such request shall be subject to the approval of the Administrative Agent and each applicable Issuing Bank.</w:t>
      </w:r>
    </w:p>
    <w:p>
      <w:pPr>
        <w:spacing w:after="0" w:line="216" w:lineRule="exact"/>
        <w:rPr>
          <w:sz w:val="20"/>
          <w:szCs w:val="20"/>
          <w:color w:val="auto"/>
        </w:rPr>
      </w:pPr>
    </w:p>
    <w:p>
      <w:pPr>
        <w:jc w:val="both"/>
        <w:ind w:firstLine="757"/>
        <w:spacing w:after="0" w:line="243" w:lineRule="auto"/>
        <w:tabs>
          <w:tab w:leader="none" w:pos="114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10 Business Days prior to the date of any Credit Extension to be made in the applicable Alternate Currency (or such other time or date as may be agreed by the Administrative Agent). In the case of any such request pertaining to Revolving Loans, the Administrative Agent shall promptly notify each Revolving Lender thereof and in the case of any such request pertaining to Letters of Credit, the Administrative Agent shall promptly notify each applicable Issuing Bank thereof. Each such Revolving Lender (in the case of any such request pertaining to Revolving Loans) and/or each applicable Issuing Bank (in the case of a request pertaining to Letters of Credit) shall notify the Administrative Agent, not later than 11:00 a.m., five Business Days after receipt of such request whether it consents, in its sole discretion, to the making of Revolving Loans or the issuance of Letters of Credit, as the case may be, in such requested currency.</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any Revolving Lender or the relevant Issuing Bank, as the case may be, to respond to such request within the time period specified in the preceding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be deemed to be a refusal by such Revolving Lender or Issuing Bank, as the case may be, to permit Revolving Loans to be made or Letters of Credit to be issued, as applicable, in such requested currency. If the Administrative Agent and all the Revolving Lenders that would be obligated to make Credit Extensions denominated in such requested currency consent to making Revolving Loans in the requested currency, the Administrative Agent shall so notify the Borrower, and such currency shall thereupon be deemed for all purposes to be an Alternate Currency hereunder for purposes of any Borrowing of Revolving Loans and if the Administrative Agent and each applicable Issuing Bank consent to the issuance of Letters of Credit in the requested currency, the Administrative Agent shall so notify the Borrower and such currency shall thereupon be deemed for all purposes to be an Alternate Currency hereunder for purposes of any Letter of Credit issuance. If the Administrative Agent fails to obtain the requisite consent to any request for an additional currency under this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the Administrative Agent shall promptly so notify the Borrower.</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being understood that in connection with the establishment of any Alternate Currency, the Administrative Agent and the Borrower shall be authorized, without the consent of any Lender or Issuing Bank, to amend this Agreement and the other Loan Documents to the extent necessary or advisable to implement such Alternate Currency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implementation of any benchmark and successor rate with respect to such Alternate Currency shall be reasonably acceptable to the Revolving Lenders and in the case of any such request with respect to the issuance of Letters of Credit, each applicable Issuing Bank.</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1.11. Rates .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-1631950</wp:posOffset>
            </wp:positionV>
            <wp:extent cx="3867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6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0"/>
          <w:szCs w:val="20"/>
          <w:color w:val="auto"/>
        </w:rPr>
        <w:t>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1.12.  Certain Calculations and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6243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24330"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to the extent that the terms of this Agreement require (i) compliance with any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any First Lien Net Leverage Ratio test, any Secured Net Leverage Ratio test or any Total Net Leverage Ratio test) and/or any cap expressed as a percentage of Consolidated Adjusted EBITDA or Consolidated Total Assets, (ii) the absence of a Default or Event of Default (or any type of Default or Event of Default), (iii) the making or accuracy of any representation and/or warranty or (iv) compliance with availability under any basket or cap (including any basket or cap expressed as a percentage of Consolidated Adjusted EBITDA or Consolidated Total Assets), in each case,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contemplated, assumed or incurred in connection therewith), at the time of (or on the basis of the financial statements for the most recently ended Test Period at the time of) either (x) the execution of the definitive agreement with respect to such acquisition or Investment, (y) in connection with an acquisition to which the United Kingdom City Code or Takeover and Mergers (or any comparable Requirement of Law) applies, the date on which a “Rule 2.7 announcement” of a firm intention to make an offer in respect of the target of an acquisition (or equivalent notice under comparable Requirements of Law) or (z) the consummation of such acquisition or Investment, (2) in the case of any Restricted Payment (including with respect to any Indebtedness contemplated or incurred in connection therewith), at the time of (or on the basis of the financial statements for the most recently ended Test Period at the time of) either (x) the declaration of such Restricted Payment or (y) the making of such Restricted Payment and (3) in the case of any Restricted Debt Payment (including with respect to any Indebtedness contemplated or incurred in connection therewith), at the time of (or on the basis of the financial statements for the most recently ended Test Period at the time of) either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(II) to the extent definitive documents in respect thereof have been executed, the Restricted Payment has been declared or delivery of notice with respect to a Restricted Debt Payment has been delivered (which definitive documents, declaration or notice has not terminated or expired without the consummation thereof), any other Subject Transaction that the Borrower has elected to treat in accordance with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permissibility of any action, change, transaction or event that requires a calculation of any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any First Lien Net Leverage Ratio test, any Secured Net Leverage Ratio test, any Total Net Leverage Ratio test and/or the amount of Consolidated Adjusted EBITDA or Consolidated Total Assets), such financial ratio or test shall be calculated (subject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at the time such action is taken, such change is made, such transaction is consummated or such event occurs, as the case may be, and no Default or Event of Default shall be deemed to have occurred solely as a result of a change in such financial ratio or test or amount occurring after such calculation, or after the time such action is taken, such change is made, such transaction is consummated or such event occurs, as the case may be.</w:t>
      </w:r>
    </w:p>
    <w:p>
      <w:pPr>
        <w:spacing w:after="0" w:line="185"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 incurred or transaction entered into (or consummated) in reliance on a provision of this Agreement that does not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42" w:lineRule="auto"/>
        <w:rPr>
          <w:sz w:val="20"/>
          <w:szCs w:val="20"/>
          <w:color w:val="auto"/>
        </w:rPr>
      </w:pPr>
      <w:r>
        <w:rPr>
          <w:rFonts w:ascii="Times New Roman" w:cs="Times New Roman" w:eastAsia="Times New Roman" w:hAnsi="Times New Roman"/>
          <w:sz w:val="20"/>
          <w:szCs w:val="20"/>
          <w:color w:val="auto"/>
        </w:rPr>
        <w:t>compliance with a financial ratio or test (including any First Lien Net Leverage Ratio test, any Secured Net Leverage Ratio test and/or any Total Net Leverage Ratio test) (any such amount, including any such amount drawn or deemed to have been drawn under any revolving credit facility and, for the avoidance of doubt, any amount that is expressed as a percentage of Consolidated Adjusted EBITDA or Consolidated Total Assets, a “</w:t>
      </w:r>
      <w:r>
        <w:rPr>
          <w:rFonts w:ascii="Times New Roman" w:cs="Times New Roman" w:eastAsia="Times New Roman" w:hAnsi="Times New Roman"/>
          <w:sz w:val="20"/>
          <w:szCs w:val="20"/>
          <w:u w:val="single" w:color="auto"/>
          <w:color w:val="auto"/>
        </w:rPr>
        <w:t>Fixed Amount</w:t>
      </w:r>
      <w:r>
        <w:rPr>
          <w:rFonts w:ascii="Times New Roman" w:cs="Times New Roman" w:eastAsia="Times New Roman" w:hAnsi="Times New Roman"/>
          <w:sz w:val="20"/>
          <w:szCs w:val="20"/>
          <w:color w:val="auto"/>
        </w:rPr>
        <w:t xml:space="preserve">”) substantially concurrently with any amount incurred or transaction entered into (or consummated) in reliance on a provision of this Agreement that requires compliance with a financial ratio or test (including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any First Lien Net Leverage Ratio test, any Secured Net Leverage Ratio test and/or any Total Net Leverage Ratio test) (any such amount, an “</w:t>
      </w:r>
      <w:r>
        <w:rPr>
          <w:rFonts w:ascii="Times New Roman" w:cs="Times New Roman" w:eastAsia="Times New Roman" w:hAnsi="Times New Roman"/>
          <w:sz w:val="20"/>
          <w:szCs w:val="20"/>
          <w:u w:val="single" w:color="auto"/>
          <w:color w:val="auto"/>
        </w:rPr>
        <w:t>Incurrence-Based Amount</w:t>
      </w:r>
      <w:r>
        <w:rPr>
          <w:rFonts w:ascii="Times New Roman" w:cs="Times New Roman" w:eastAsia="Times New Roman" w:hAnsi="Times New Roman"/>
          <w:sz w:val="20"/>
          <w:szCs w:val="20"/>
          <w:color w:val="auto"/>
        </w:rPr>
        <w:t xml:space="preserve">”), it is understood and agreed that (i) any Fixed Amount shall be disregarded in the calculation of the financial ratio or test applicable to the relevant Incurrence-Based Amount and (ii) except as provided in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pro forma effect shall be given to the entire transaction. The Borrower may elect that any amount incurred or transaction entered into (or consummated) in reliance on one or more of any Incurrence-Based Amount or any Fixed Amount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the Borrower elects otherwise and except as set forth in the definition of “Incremental Cap”, each such amount or transaction shall be deemed incurred, entered into or consummated first under any Incurrence-Based Amount to the maximum extent permitted thereunder.</w:t>
      </w:r>
    </w:p>
    <w:p>
      <w:pPr>
        <w:spacing w:after="0" w:line="187" w:lineRule="exact"/>
        <w:rPr>
          <w:sz w:val="20"/>
          <w:szCs w:val="20"/>
          <w:color w:val="auto"/>
        </w:rPr>
      </w:pPr>
    </w:p>
    <w:p>
      <w:pPr>
        <w:jc w:val="both"/>
        <w:ind w:firstLine="757"/>
        <w:spacing w:after="0" w:line="254"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creation, incurrence, assumption, or the permission or sufferance to exist of a Lien 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pro forma calculation that is required to be made in connection with any acquisition or similar Investment in respect of which financial statements for the applicable target are not available for the same Test Period for which financial statements of the Borrower are available, the Borrower shall make the relevant calculation on the basis of the relevant available financial statements (even if for differing periods) or such other commercially reasonable basis as the Borrower may elect.</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implementation or assumption of any revolving commitment and/or any delayed draw commitment (in each case, other than any such commitment implemented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in reliance on any Incurrence-Based Amount, the Borrower may, in its sole discretion elect to, by written notice to the Administrative Agent (a “</w:t>
      </w:r>
      <w:r>
        <w:rPr>
          <w:rFonts w:ascii="Times New Roman" w:cs="Times New Roman" w:eastAsia="Times New Roman" w:hAnsi="Times New Roman"/>
          <w:sz w:val="20"/>
          <w:szCs w:val="20"/>
          <w:u w:val="single" w:color="auto"/>
          <w:color w:val="auto"/>
        </w:rPr>
        <w:t>Specified Commitment Notice</w:t>
      </w:r>
      <w:r>
        <w:rPr>
          <w:rFonts w:ascii="Times New Roman" w:cs="Times New Roman" w:eastAsia="Times New Roman" w:hAnsi="Times New Roman"/>
          <w:sz w:val="20"/>
          <w:szCs w:val="20"/>
          <w:color w:val="auto"/>
        </w:rPr>
        <w:t>”), either (a) treat all or any portion of such revolving commitment and/or delayed draw commitment as having been fully drawn on the date of implementation or assumption (such commitment (or portion thereof), a “</w:t>
      </w:r>
      <w:r>
        <w:rPr>
          <w:rFonts w:ascii="Times New Roman" w:cs="Times New Roman" w:eastAsia="Times New Roman" w:hAnsi="Times New Roman"/>
          <w:sz w:val="20"/>
          <w:szCs w:val="20"/>
          <w:u w:val="single" w:color="auto"/>
          <w:color w:val="auto"/>
        </w:rPr>
        <w:t>Specified Commitment</w:t>
      </w:r>
      <w:r>
        <w:rPr>
          <w:rFonts w:ascii="Times New Roman" w:cs="Times New Roman" w:eastAsia="Times New Roman" w:hAnsi="Times New Roman"/>
          <w:sz w:val="20"/>
          <w:szCs w:val="20"/>
          <w:color w:val="auto"/>
        </w:rPr>
        <w:t xml:space="preserve">”), in which case (i) the Borrower shall not be required to comply with any financial ratio or test in connection with any drawing thereunder after the date of incurrence or assumption and (ii) other than for purposes of (A) the Applicable Rate, (B) the Commitment Fee Rate and/or (C) actual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the amount of such Specified Commitment shall be deemed to have been an actual incurrence of Indebtedness thereunder on the date of implementation or assumption for purposes of calculating any Incurrence-Based Amount or (b) test the permissibility of all or any portion of any drawing under such revolving commitment and/or delayed draw commitment on the date of such drawing (if any), in which case, such revolving commitment and/or delayed draw commitment (or portion thereof) shall only be treated as drawn for purposes of any Incurrence-Based Amount to the extent of any actual drawing thereunder that is outstanding at the applicable time of determination. It is understood and agreed that the Borrower may, at any time in its sole discretion, (x) deliver a Specified Commitment Notice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to any revolving commitment and/or delayed draw commitment and/or (y) withdraw any Specified Commitment Notice with respect to all or any portion of any revolving commitment and/or delayed draw commitment and instead elect to treat such revolving commitment and/or delayed draw commitment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immediately preceding sentence.</w:t>
      </w:r>
    </w:p>
    <w:p>
      <w:pPr>
        <w:spacing w:after="0" w:line="174" w:lineRule="exact"/>
        <w:rPr>
          <w:sz w:val="20"/>
          <w:szCs w:val="20"/>
          <w:color w:val="auto"/>
        </w:rPr>
      </w:pPr>
    </w:p>
    <w:p>
      <w:pPr>
        <w:ind w:firstLine="757"/>
        <w:spacing w:after="0" w:line="269"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of the Weighted Average Life to Maturity of any Indebtedness shall be made by the Borrower in good faith at the time of the incurrence of such Indebtedness.</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that the Borrower and/or any Restricted Subsidiary may incur Indebtedness permitted under any provision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to refinance Indebtedness originally incurred under the same provision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while the Indebtedness being refinanced remains outstanding so long as the proceeds of the applicable refinancing Indebtedness are promptly deposited with the trustee or other applicable representative of the holders of the Indebtedness being refinanced, which proceeds will be applied to satisfy and discharge the Indebtedness being refinanced in accordance with the documentation governing such Indebtedness.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Replacement of Term SOFR or Successor Rate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9"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with respect to Dollars, that: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Unavailability Date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then, on a date and time determined by the Administrative Agent (any such date, the “</w:t>
      </w:r>
      <w:r>
        <w:rPr>
          <w:rFonts w:ascii="Times New Roman" w:cs="Times New Roman" w:eastAsia="Times New Roman" w:hAnsi="Times New Roman"/>
          <w:sz w:val="19"/>
          <w:szCs w:val="19"/>
          <w:u w:val="single" w:color="auto"/>
          <w:color w:val="auto"/>
        </w:rPr>
        <w:t>Term SOFR Replacement Date</w:t>
      </w:r>
      <w:r>
        <w:rPr>
          <w:rFonts w:ascii="Times New Roman" w:cs="Times New Roman" w:eastAsia="Times New Roman" w:hAnsi="Times New Roman"/>
          <w:sz w:val="19"/>
          <w:szCs w:val="19"/>
          <w:color w:val="auto"/>
        </w:rPr>
        <w:t>”), which date shall be at the end of an Interest Period or on the relevant interest payment date, as applicable, for interest calculated and, solely with respect to clause</w:t>
      </w:r>
    </w:p>
    <w:p>
      <w:pPr>
        <w:jc w:val="both"/>
        <w:ind w:firstLine="8"/>
        <w:spacing w:after="0" w:line="241" w:lineRule="auto"/>
        <w:tabs>
          <w:tab w:leader="none" w:pos="29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no later than the Scheduled Unavailability Date, Term SOFR will be replaced hereunder and under any Loan Document with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Successor Rate is Daily Simple SOFR plus the SOFR Adjustment, all interest payments will be payable on a monthly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ind w:right="20" w:firstLine="757"/>
        <w:spacing w:after="0" w:line="264" w:lineRule="auto"/>
        <w:tabs>
          <w:tab w:leader="none" w:pos="1145"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9"/>
          <w:szCs w:val="19"/>
          <w:u w:val="single" w:color="auto"/>
          <w:color w:val="auto"/>
        </w:rPr>
        <w:t>Section 1.13(a)(i)</w:t>
      </w:r>
      <w:r>
        <w:rPr>
          <w:rFonts w:ascii="Times New Roman" w:cs="Times New Roman" w:eastAsia="Times New Roman" w:hAnsi="Times New Roman"/>
          <w:sz w:val="19"/>
          <w:szCs w:val="19"/>
          <w:color w:val="auto"/>
        </w:rPr>
        <w:t xml:space="preserve"> or</w:t>
      </w:r>
    </w:p>
    <w:p>
      <w:pPr>
        <w:jc w:val="both"/>
        <w:ind w:firstLine="8"/>
        <w:spacing w:after="0"/>
        <w:tabs>
          <w:tab w:leader="none" w:pos="292" w:val="left"/>
        </w:tabs>
        <w:numPr>
          <w:ilvl w:val="0"/>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8" w:lineRule="exact"/>
        <w:rPr>
          <w:rFonts w:ascii="Times New Roman" w:cs="Times New Roman" w:eastAsia="Times New Roman" w:hAnsi="Times New Roman"/>
          <w:sz w:val="20"/>
          <w:szCs w:val="20"/>
          <w:u w:val="single" w:color="auto"/>
          <w:color w:val="auto"/>
        </w:rPr>
      </w:pPr>
    </w:p>
    <w:p>
      <w:pPr>
        <w:ind w:right="20" w:firstLine="757"/>
        <w:spacing w:after="0" w:line="269" w:lineRule="auto"/>
        <w:tabs>
          <w:tab w:leader="none" w:pos="11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0.00%, the Successor Rate will be deemed to be 0.00% for the purposes of this Agreement and the other Loan Documents.</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implementation of a Successor Rate,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shall be excluded from any determination of Required Lenders.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1.14.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1.15.  Certain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700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6" w:lineRule="auto"/>
        <w:tabs>
          <w:tab w:leader="none" w:pos="1171"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For</w:t>
      </w:r>
      <w:r>
        <w:rPr>
          <w:rFonts w:ascii="Times New Roman" w:cs="Times New Roman" w:eastAsia="Times New Roman" w:hAnsi="Times New Roman"/>
          <w:sz w:val="20"/>
          <w:szCs w:val="20"/>
          <w:u w:val="single" w:color="auto"/>
          <w:color w:val="0000FF"/>
        </w:rPr>
        <w:t>Subject to paragraph (b) below, for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avoidance of doubt, in connection with any incurrence of Indebtedness under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2.22</w:t>
      </w:r>
      <w:r>
        <w:rPr>
          <w:rFonts w:ascii="Times New Roman" w:cs="Times New Roman" w:eastAsia="Times New Roman" w:hAnsi="Times New Roman"/>
          <w:sz w:val="20"/>
          <w:szCs w:val="20"/>
          <w:color w:val="000000"/>
        </w:rPr>
        <w:t xml:space="preserve">, “Required Lenders” and “Required Revolving Lenders” shall be calculated on a Pro Forma Basis in accordance with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1.04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Section 2.22</w:t>
      </w:r>
      <w:r>
        <w:rPr>
          <w:rFonts w:ascii="Times New Roman" w:cs="Times New Roman" w:eastAsia="Times New Roman" w:hAnsi="Times New Roman"/>
          <w:sz w:val="20"/>
          <w:szCs w:val="20"/>
          <w:color w:val="000000"/>
        </w:rPr>
        <w:t xml:space="preserve"> and the definition of “Incremental Cap”;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any waiver, amendment or modification obtained on such basis (i) will become operative substantially contemporaneously with the incurrence of such Indebtedness and (ii) shall not affect the rights or duties under this Agreement of any Lender holding any Loan and/or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269" w:lineRule="auto"/>
        <w:rPr>
          <w:sz w:val="20"/>
          <w:szCs w:val="20"/>
          <w:color w:val="auto"/>
        </w:rPr>
      </w:pPr>
      <w:r>
        <w:rPr>
          <w:rFonts w:ascii="Times New Roman" w:cs="Times New Roman" w:eastAsia="Times New Roman" w:hAnsi="Times New Roman"/>
          <w:sz w:val="20"/>
          <w:szCs w:val="20"/>
          <w:color w:val="auto"/>
        </w:rPr>
        <w:t xml:space="preserve">under any then-outstanding Class in a manner that does not affect the rights or duties of the Lenders in respect of the Indebtedness incurred in reliance on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 connection with the relevant amendment.</w:t>
      </w:r>
    </w:p>
    <w:p>
      <w:pPr>
        <w:spacing w:after="0" w:line="159" w:lineRule="exact"/>
        <w:rPr>
          <w:sz w:val="20"/>
          <w:szCs w:val="20"/>
          <w:color w:val="auto"/>
        </w:rPr>
      </w:pPr>
    </w:p>
    <w:p>
      <w:pPr>
        <w:jc w:val="both"/>
        <w:ind w:firstLine="757"/>
        <w:spacing w:after="0" w:line="246"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[reserved].</w:t>
      </w:r>
      <w:r>
        <w:rPr>
          <w:rFonts w:ascii="Times New Roman" w:cs="Times New Roman" w:eastAsia="Times New Roman" w:hAnsi="Times New Roman"/>
          <w:sz w:val="20"/>
          <w:szCs w:val="20"/>
          <w:u w:val="single" w:color="auto"/>
          <w:color w:val="0000FF"/>
          <w:strike w:val="1"/>
        </w:rPr>
        <w:t>Notwithstanding any other provision of this Section 1.15, no Person that is not a Lender and no Lender (in respect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of any Indebtedness not yet incurred) shall be included as a “Required Lender” and/or a “Required Revolving Lender” for the purposes of calculating the “Required Lenders” and/or “Required Revolving Lenders” (as applicable) in respect of any waiver, amendment or modification to this Agreement or any other Loan Document to permit the incurrence of such Indebtedness to be provided by that potential Lender and/or Lender (as applicable) under this Agreement.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determination under the terms of this Agreement that is vested in the Borrower, the Borrower shall have a right, in its sole discretion (but not any obligation), to deliver notice of such determination to the Administrative Agent, together with a reasonably detailed description thereof, which notice shall be conclusive evidence that such determination satisfied the applicable standard under this Agreement or the relevant other Loan Document unless, within five Business Days following receipt of notice of such determination (and the related description) from the Borrower, the Required Lenders deliver a written objection to such determination to the Borrower, which written objection states, with specificity, the basis upon which the Required Lenders object to such determination.</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or in any other Loan Document, if, after delivery of any Compliance Certificate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it is subsequently determined that the Total Net Leverage Ratio set forth in such Compliance Certificate is inaccurate for any reason and the result of such inaccuracy is that the Lenders received any amount of interest or any fee for any relevant period based on an Applicable Rate or Commitment Fee Rate that is greater than or less than the amount that would have applied if the Total Net Leverage Ratio set forth in such Compliance Certificate had been accurately reported, then, for all purposes under this Agreement, the Applicable Rate and the Commitment Fee Rate for each day during the relevant period shall be revised to be based upon the accurately determined Total Net Leverage Ratio and, in such event, any shortfall in the amount of any applicable interest payment shall be due and payable within five Business Days following the date on which the Borrower becomes aware of the relevant inaccuracy. In the event that (A) any inaccuracy in the calculation of the Total Net Leverage Ratio resulted in a shortfall in the amount of any required interest or principal payment and (B) such inaccuracy resulted from a good faith mistake on the part of the Borrower in the preparation of such calculation, no Default or Event of Default shall arise under this Agreement with respect thereto unless the relevant amount has not been paid within the period described in the preceding sentence.</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determination of the permissibility of any transaction by Holdings, the Borrower and/or any subsidiary under this Agreement, (i) the delivery by the Borrower of a third party valuation report from (A) a nationally recognized accounting, appraisal, investment banking or consulting firm or (B) another firm reasonably acceptable to the Administrative Agent, in each case, shall be conclusive with respect to the value of the assets covered thereby and (ii) any determination of whether an action is taken “in the ordinary course of business” or “in a manner consistent with past practice” (or, in either case, any similar expression) shall be made by the Borrower in good faith.</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for the avoidance of doubt that the carve-outs from the provisions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may include items or activities that are not restricted by the relevant provision and the inclusion of such items or activities shall not be construed to expand the scope of </w:t>
      </w:r>
      <w:r>
        <w:rPr>
          <w:rFonts w:ascii="Times New Roman" w:cs="Times New Roman" w:eastAsia="Times New Roman" w:hAnsi="Times New Roman"/>
          <w:sz w:val="20"/>
          <w:szCs w:val="20"/>
          <w:u w:val="single" w:color="auto"/>
          <w:color w:val="auto"/>
        </w:rPr>
        <w:t>Section 5.16</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as applicable.</w:t>
      </w:r>
    </w:p>
    <w:p>
      <w:pPr>
        <w:spacing w:after="0" w:line="17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Section 1.16. Conflicts. In the event of any conflict or inconsistency between any term or provision of this Agreement (excluding the Exhibits hereto) and any term or provision of any Exhibit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5549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4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20"/>
          <w:szCs w:val="20"/>
          <w:color w:val="auto"/>
        </w:rPr>
        <w:t>this Agreement, the term or provision of this Agreement shall govern, and the Borrower shall be entitled to make such revisions to the relevant term or provision of the applicable Exhibit to ensure that such term or provision is consistent with the corresponding term or provision of this Agreement.</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1.17. </w:t>
      </w:r>
      <w:r>
        <w:rPr>
          <w:rFonts w:ascii="Times New Roman" w:cs="Times New Roman" w:eastAsia="Times New Roman" w:hAnsi="Times New Roman"/>
          <w:sz w:val="20"/>
          <w:szCs w:val="20"/>
          <w:u w:val="single" w:color="auto"/>
          <w:color w:val="auto"/>
        </w:rPr>
        <w:t>Confidentiality; Privilege, Etc</w:t>
      </w:r>
      <w:r>
        <w:rPr>
          <w:rFonts w:ascii="Times New Roman" w:cs="Times New Roman" w:eastAsia="Times New Roman" w:hAnsi="Times New Roman"/>
          <w:sz w:val="20"/>
          <w:szCs w:val="20"/>
          <w:color w:val="auto"/>
        </w:rPr>
        <w:t>. Notwithstanding any obligation to provide information under any Loan Document or allow the Administrative Agent, the Lenders or any third party to access or inspect the books and records of Holdings or its subsidiaries or otherwise as set forth in this Agreement or any other Loan Document, none of Holdings or any of its subsidiaries will be required to disclose or permit the inspection or discussion of, any document, information or other matter (a) that constitutes a non-financial trade secret or non-financial proprietary information of any Person, (b) in respect of which disclosure to the Administrative Agent or any Lender (or any of their respective Representatives) is prohibited by applicable Requirements of Law, (c) that is subject to attorney-client or similar privilege or constitutes attorney work product and/or (d) in respect of which Holdings and/or any of its subsidiaries owes confidentiality obligations to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confidentiality obligations were not entered into in contemplation of the requirements of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such information has not been provided in reliance on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notice that information is being withheld on such basis must be provided to the Administrative Agent.</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0000FF"/>
        </w:rPr>
        <w:t>Section 1.18. Reallocation. Upon the Amendment No. 2 Effective Date, each Person that is a Lender immediately prior to the Amendment No. 2 Effective Date will automatically and without further act be deemed to have assigned to each 2025 Refinancing Lender, and each such 2025 Refinancing Lender will automatically and without further act be deemed to have assumed, a portion of such existing Lender’s participations in outstanding Loans such that, after giving effect to each such deemed assignment and assumption of participations, the percentage of the aggregate outstanding (i) Loans held by each Lender will equal the percentage of the aggregate Commitments of all Lenders represented by such Lender’s Term Commitment or Revolving Credit Commitment, as applicable (in each case, after giving effect to this Amendment No. 2) and if, on the Amendment No. 2 Effective Date, there are any Loans outstanding, such Loans shall on or prior to the Amendment No. 2 Effective Date either be prepaid from the cash held by the Borrower, proceeds of additional Loans made on the Amendment No. 2 Effective Date (after giving effect to Amendment No. 2) or a portion thereof shall be assigned to the applicable 2025 Refinancing Lenders (in each case, reflecting such increase in Commitments, such that such Loans are, after giving effect to such assignments, held ratably in accordance with each Lender’s Pro Rata Share, after giving effect to such increase), which prepayment or assignment shall be accompanied by accrued interest and fees (including, for the avoidance of doubt, all accrued but unpaid participation fees) on the relevant Loans being prepaid. The parties hereto acknowledge and agree that the minimum borrowing, pro rata borrowing and pro rata payment requirements contained in the Credit Agreement shall not apply to the transactions effected pursuant to the immediately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-2064385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0000FF"/>
        </w:rPr>
        <w:t>Section 1.19. Amendment No. 2 Basket Refresh. Effective as of the Amendment No. 2 Effective Date, (i) the usage of all baskets (other than the Available Amount basket and any component used in the calculation thereof) after the Closing Date and prior to the Amendment No. 2 Effective Date shall be disregarded, (ii) the amount utilized by the Borrower under all such baskets (other than the Available Amount basket and any component used in the calculation thereof) shall be deemed to be $0, and (iii) all such applicable usages (including any usage of the Available Amount basket) shall be deemed permitted under this Agreement for all purposes (including for the purpose of any covenants in Article 5, Article 6 and/or any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-759460</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left="5040"/>
        <w:spacing w:after="0"/>
        <w:rPr>
          <w:sz w:val="20"/>
          <w:szCs w:val="20"/>
          <w:color w:val="auto"/>
        </w:rPr>
      </w:pPr>
      <w:r>
        <w:rPr>
          <w:rFonts w:ascii="Times New Roman" w:cs="Times New Roman" w:eastAsia="Times New Roman" w:hAnsi="Times New Roman"/>
          <w:sz w:val="20"/>
          <w:szCs w:val="20"/>
          <w:color w:val="auto"/>
        </w:rPr>
        <w:t>ARTICLE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CREDITS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Commitments.</w:t>
      </w:r>
    </w:p>
    <w:p>
      <w:pPr>
        <w:spacing w:after="0" w:line="216" w:lineRule="exact"/>
        <w:rPr>
          <w:sz w:val="20"/>
          <w:szCs w:val="20"/>
          <w:color w:val="auto"/>
        </w:rPr>
      </w:pPr>
    </w:p>
    <w:p>
      <w:pPr>
        <w:jc w:val="both"/>
        <w:ind w:firstLine="757"/>
        <w:spacing w:after="0" w:line="256" w:lineRule="auto"/>
        <w:tabs>
          <w:tab w:leader="none" w:pos="1145"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(i) each Initial Term Lender severally, and not jointly, agrees to make term loans (the “</w:t>
      </w:r>
      <w:r>
        <w:rPr>
          <w:rFonts w:ascii="Times New Roman" w:cs="Times New Roman" w:eastAsia="Times New Roman" w:hAnsi="Times New Roman"/>
          <w:sz w:val="19"/>
          <w:szCs w:val="19"/>
          <w:u w:val="single" w:color="auto"/>
          <w:color w:val="auto"/>
        </w:rPr>
        <w:t>Initial Term Loans</w:t>
      </w:r>
      <w:r>
        <w:rPr>
          <w:rFonts w:ascii="Times New Roman" w:cs="Times New Roman" w:eastAsia="Times New Roman" w:hAnsi="Times New Roman"/>
          <w:sz w:val="19"/>
          <w:szCs w:val="19"/>
          <w:color w:val="auto"/>
        </w:rPr>
        <w:t xml:space="preserve">”) to the Borrower on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in Dollars in a principal amount not to exceed its Initial Term Loan Commitment and (ii) each Initial Revolving Lender severally, and not jointly, agrees to make revolving loans (the “</w:t>
      </w:r>
      <w:r>
        <w:rPr>
          <w:rFonts w:ascii="Times New Roman" w:cs="Times New Roman" w:eastAsia="Times New Roman" w:hAnsi="Times New Roman"/>
          <w:sz w:val="19"/>
          <w:szCs w:val="19"/>
          <w:u w:val="single" w:color="auto"/>
          <w:color w:val="auto"/>
        </w:rPr>
        <w:t>Initial Revolving Loans</w:t>
      </w:r>
      <w:r>
        <w:rPr>
          <w:rFonts w:ascii="Times New Roman" w:cs="Times New Roman" w:eastAsia="Times New Roman" w:hAnsi="Times New Roman"/>
          <w:sz w:val="19"/>
          <w:szCs w:val="19"/>
          <w:color w:val="auto"/>
        </w:rPr>
        <w:t xml:space="preserve">”) to the Borrower in Dollars or any Alternate Currency as may be requested by the Borrower, at any time and from time to time on and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and until the earlier of the Initial Revolving Credit Maturity Date and the termination of the Initial Revolving Credit Commitment of such Initial Revolving Lender in accordance with the terms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(x) Revolving Loans denominated in Dollars may consist of ABR Loans, Term SOFR Loans, or a combination thereof, and may be borrowed, paid, repaid and reborrowed and (y) Revolving Loans may be borrowed, paid, repaid and reborrowed and the benchmark of any Revolving Loan denominated in any Alternate Currency shall be determined pursuant to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 Amounts paid or prepaid in respect of the Initial Term Loans may not be reborrowed.</w:t>
      </w:r>
    </w:p>
    <w:p>
      <w:pPr>
        <w:spacing w:after="0" w:line="173" w:lineRule="exact"/>
        <w:rPr>
          <w:rFonts w:ascii="Times New Roman" w:cs="Times New Roman" w:eastAsia="Times New Roman" w:hAnsi="Times New Roman"/>
          <w:sz w:val="19"/>
          <w:szCs w:val="19"/>
          <w:color w:val="auto"/>
        </w:rPr>
      </w:pPr>
    </w:p>
    <w:p>
      <w:pPr>
        <w:jc w:val="both"/>
        <w:ind w:firstLine="757"/>
        <w:spacing w:after="0" w:line="246"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2.02.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388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4" w:lineRule="auto"/>
        <w:tabs>
          <w:tab w:leader="none" w:pos="114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Borrowing shall be comprised entirely of ABR Loans or Term SOFR Loans as the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benchmark of any Revolving Loan denominated in any Alternate Currency shall be determined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and each Swingline Loan shall be an ABR Loan. Each Lender at its option may make any Term SOFR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exercise of such option shall not affect the obligation of the Borrower to repay such Loan in accordance with the terms of this Agreement, (ii) such Term SOFR Loan shall be deemed to have been made and held by such Lender, and the obligation of the Borrower to repay such Term SOFR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domestic or foreign branch or Affiliate of such Lender shall be entitled to any greater indemnification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respect of any US federal withholding tax with respect to such Term SOFR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80" w:lineRule="exact"/>
        <w:rPr>
          <w:sz w:val="20"/>
          <w:szCs w:val="20"/>
          <w:color w:val="auto"/>
        </w:rPr>
      </w:pPr>
    </w:p>
    <w:p>
      <w:pPr>
        <w:jc w:val="both"/>
        <w:ind w:firstLine="757"/>
        <w:spacing w:after="0" w:line="243"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SOFR Borrowing, such Term SOFR Borrowing shall comprise an aggregate principal amount that is an integral multiple of $100,000 and not less than $1,000,000. Each ABR Borrowing when made shall be in a minimum principal amount of $500,000 and in an integral multiple of $100,000;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Loan Borrowing may be made in a lesser aggregate amount that is (x) equal to the entire aggregate unused Revolving Credit Commitment or (y) required to finance the reimbursement of an LC Disbursement as contemplated by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10 different Interest Periods in effect for Term SOFR Borrowings at any time outstanding (or such greater number of different Interest Periods as the Administrative Agent may agree from time to time).</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7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Section 2.03. Requests for Borrowings. Each Term Loan Borrowing, each Revolving Loan Borrowing, each conversion of Term Loans or Revolving Loans from one Type to the other, and each continuation of Term SOFR Loans shall be made upon irrevocable notice by the Borrower to the Administrative Agent, which may be given by a Borrowing Request or an Interest Election Request,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in respect of any Term Loan Borrowing and/or any Revolving Loan Borrowing (x) to be made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may be conditioned on the occurrence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(y) to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made in connection with any acquisition, investment or repayment or redemption of Indebtedness may be conditioned on the closing of such Permitted Acquisition, permitted Investment or permitted repayment or redemption of Indebtedness or (z) for any other purpose to which the Administrative Agent may consent (such consent not to be unreasonably withheld or delayed), may be conditioned on the occurrence of the relevant event). Each such notice must be in the form of a Borrowing Request or an Interest Election Request, as applicable, appropriately completed and signed by a Responsible Officer of the Borrower and must be received by the Administrative Agent (by hand delivery or other electronic transmission (including “.pdf” or “.tif”)) not later than (i) 12:00 p.m. three Business Days prior to the requested day of any Borrowing of, conversion to or continuation of Term SOFR Loans and (ii) 10:00 a.m. on the requested date of any Borrowing of or conversion to ABR Loans (other than Swingline Loans) (or, in each case, such later time as is reasonably acceptable to the Administrative Agent);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xml:space="preserve">, that if the Borrower wishes to request Term SOFR Loans having an Interest Period other than one, three or six months in duration or such shorter period as provided in the definition of “Interest Period”, (A) the applicable notice from the Borrower must be received by the Administrative Agent not later than 12:00 p.m. four Business Days prior to the requested date of the relevant Borrowing, conversion or continuation (or such later time as is reasonably acceptable to the Administrative Agent), whereupon the Administrative Agent shall give prompt notice to the appropriate Lenders of such request, (B) the relevant requested Interest Period shall be deemed to be available to each appropriate Lender unless such Lender has delivered written notice to the Administrative Agent indicating that such Interest Period is not available to such Lender within one Business Day following the date on which the notice described in </w:t>
      </w:r>
      <w:r>
        <w:rPr>
          <w:rFonts w:ascii="Times New Roman" w:cs="Times New Roman" w:eastAsia="Times New Roman" w:hAnsi="Times New Roman"/>
          <w:sz w:val="20"/>
          <w:szCs w:val="20"/>
          <w:u w:val="single" w:color="auto"/>
          <w:color w:val="000000"/>
        </w:rPr>
        <w:t>clause (A)</w:t>
      </w:r>
      <w:r>
        <w:rPr>
          <w:rFonts w:ascii="Times New Roman" w:cs="Times New Roman" w:eastAsia="Times New Roman" w:hAnsi="Times New Roman"/>
          <w:sz w:val="20"/>
          <w:szCs w:val="20"/>
          <w:color w:val="000000"/>
        </w:rPr>
        <w:t xml:space="preserve"> above is posted by the Administrative Agent and (C) not later than 12:00 p.m. three Business Days before the requested date of the relevant Borrowing, conversion or continuation, the Administrative Agent shall notify the Borrower whether or not the requested Interest Period is available to the appropriate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-3223895</wp:posOffset>
            </wp:positionV>
            <wp:extent cx="1367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right="80"/>
        <w:spacing w:after="0" w:line="245"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The Administrative Agent shall advise each Lender of the details and amount of any Loan to be made as part of the relevant requested Borrowing (x) in the case of any ABR Borrowing, on the same Business Day of receipt of a Borrowing Request in accordance with this Section or (y) in the case of any Term SOFR Borrowing, no later than one Business Day following receipt of a Borrowing Request in accordance with this Section.</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2.04.  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9423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5" w:lineRule="auto"/>
        <w:tabs>
          <w:tab w:leader="none" w:pos="1145"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the Swingline Lender agrees to make swingline loans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to the Borrower from time to time on and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and until the Latest Revolving Credit Maturity Date, in an aggregate principal amount at any time outstanding not to exceed $15,000,000;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 shall be in a minimum principal amount of not less than $100,000 or such lesser amount as may be agreed by the Swingline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any Swingline Loan may be in an aggregate amount that is (1) equal to the entire unused balance of the aggregate unused Revolving Credit Commitments or (2) required to finance the reimbursement of an LC Disbursement as contemplated by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Times New Roman" w:cs="Times New Roman" w:eastAsia="Times New Roman" w:hAnsi="Times New Roman"/>
          <w:sz w:val="19"/>
          <w:szCs w:val="19"/>
          <w:u w:val="single" w:color="auto"/>
          <w:color w:val="auto"/>
        </w:rPr>
        <w:t>Section 2.05(e)</w:t>
      </w:r>
      <w:r>
        <w:rPr>
          <w:rFonts w:ascii="Times New Roman" w:cs="Times New Roman" w:eastAsia="Times New Roman" w:hAnsi="Times New Roman"/>
          <w:sz w:val="19"/>
          <w:szCs w:val="19"/>
          <w:color w:val="auto"/>
        </w:rPr>
        <w:t>, by remittance to the applicable Issuing Bank).</w:t>
      </w:r>
    </w:p>
    <w:p>
      <w:pPr>
        <w:spacing w:after="0" w:line="176" w:lineRule="exact"/>
        <w:rPr>
          <w:rFonts w:ascii="Times New Roman" w:cs="Times New Roman" w:eastAsia="Times New Roman" w:hAnsi="Times New Roman"/>
          <w:sz w:val="19"/>
          <w:szCs w:val="19"/>
          <w:color w:val="auto"/>
        </w:rPr>
      </w:pPr>
    </w:p>
    <w:p>
      <w:pPr>
        <w:jc w:val="both"/>
        <w:ind w:firstLine="757"/>
        <w:spacing w:after="0" w:line="241" w:lineRule="auto"/>
        <w:tabs>
          <w:tab w:leader="none" w:pos="114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may by written notice given to the Administrative Agent not later than 12:00 p.m. on any Business Day require the Revolving Lenders to purchase a participation on the Business Day following receipt of such notice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Revolving </w:t>
      </w:r>
      <w:r>
        <w:rPr>
          <w:rFonts w:ascii="Times New Roman" w:cs="Times New Roman" w:eastAsia="Times New Roman" w:hAnsi="Times New Roman"/>
          <w:sz w:val="20"/>
          <w:szCs w:val="20"/>
          <w:color w:val="FF0000"/>
          <w:strike w:val="1"/>
        </w:rPr>
        <w:t>Lender's</w:t>
      </w:r>
      <w:r>
        <w:rPr>
          <w:rFonts w:ascii="Times New Roman" w:cs="Times New Roman" w:eastAsia="Times New Roman" w:hAnsi="Times New Roman"/>
          <w:sz w:val="20"/>
          <w:szCs w:val="20"/>
          <w:u w:val="single" w:color="auto"/>
          <w:color w:val="0000FF"/>
        </w:rPr>
        <w:t>Lender’s</w:t>
      </w:r>
      <w:r>
        <w:rPr>
          <w:rFonts w:ascii="Times New Roman" w:cs="Times New Roman" w:eastAsia="Times New Roman" w:hAnsi="Times New Roman"/>
          <w:sz w:val="20"/>
          <w:szCs w:val="20"/>
          <w:color w:val="auto"/>
        </w:rPr>
        <w:t xml:space="preserve"> Applicable Revolving Credit Percentage of such Swingline Loan or Swingline Loans. Each Revolving Lender hereby absolutely and unconditionally agrees, upon receipt of notice as provided above, to pay to the Administrative Agent, for the account of the Swingline Lender, such </w:t>
      </w:r>
      <w:r>
        <w:rPr>
          <w:rFonts w:ascii="Times New Roman" w:cs="Times New Roman" w:eastAsia="Times New Roman" w:hAnsi="Times New Roman"/>
          <w:sz w:val="20"/>
          <w:szCs w:val="20"/>
          <w:color w:val="FF0000"/>
          <w:strike w:val="1"/>
        </w:rPr>
        <w:t>Lender's</w:t>
      </w:r>
      <w:r>
        <w:rPr>
          <w:rFonts w:ascii="Times New Roman" w:cs="Times New Roman" w:eastAsia="Times New Roman" w:hAnsi="Times New Roman"/>
          <w:sz w:val="20"/>
          <w:szCs w:val="20"/>
          <w:u w:val="single" w:color="auto"/>
          <w:color w:val="0000FF"/>
        </w:rPr>
        <w:t>Lender’s</w:t>
      </w:r>
      <w:r>
        <w:rPr>
          <w:rFonts w:ascii="Times New Roman" w:cs="Times New Roman" w:eastAsia="Times New Roman" w:hAnsi="Times New Roman"/>
          <w:sz w:val="20"/>
          <w:szCs w:val="20"/>
          <w:color w:val="auto"/>
        </w:rPr>
        <w:t xml:space="preserve"> Applicable Revolving Credit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effecting a wire transfer of immediately available funds, in the same manner as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with respect to Revolving Loans made by such Revolving Lender (and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Revolving Lenders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and the Administrative Agent shall promptly remit to the Swingline Lender the amounts so received by it from the Revolving Lenders.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Administrative Agent shall notify the Borrower of any participation in any Swingline Loan acquired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and thereafter any payment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 received by the Administrative Agent shall be promptly remitted by the Administrative Agent to each Revolving Lender that has made its payment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and to the Swingline Lender, 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and to the extent such payment is required to be funded to the Borrower for any reason, such payment shall be repaid to the Swingline Lender or the Administrative Agent, as the case may be, and thereafter to the Borrower. The purchase of participations in a Swingline Loan pursuant to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shall not relieve the Borrower of any default in the payment thereof.</w:t>
      </w:r>
    </w:p>
    <w:p>
      <w:pPr>
        <w:spacing w:after="0" w:line="186" w:lineRule="exact"/>
        <w:rPr>
          <w:sz w:val="20"/>
          <w:szCs w:val="20"/>
          <w:color w:val="auto"/>
        </w:rPr>
      </w:pPr>
    </w:p>
    <w:p>
      <w:pPr>
        <w:jc w:val="both"/>
        <w:ind w:firstLine="757"/>
        <w:spacing w:after="0" w:line="243" w:lineRule="auto"/>
        <w:tabs>
          <w:tab w:leader="none" w:pos="114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 owing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be conclusive absent manifest error.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2.05.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9245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1" w:lineRule="auto"/>
        <w:tabs>
          <w:tab w:leader="none" w:pos="1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 from time to time on any Business Day during the period from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to the fifth Business Day prior to the Latest Revolving Credit Maturity Date, upon the request of the Borrower, to issue Letters of Credit, issued on sight basis only on behalf of the Borrower and/or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will be the applicant) and to amend or renew any Letter of Credit previously issued by it, in accordance with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(B) to honor any draft under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Issuing Bank shall be required to issue any Letter of Credit if (x) the Stated Amount of such Letter of Credit, taken together with the aggregate Stated Amount of all other then-outstanding Letters of Credit then issued by such Issuing Bank would exceed such Issuing Bank’s Letter of Credit Commitment or (y) the issuance of such Letter of Credit would violate any policies or procedures of such Issuing Bank applicable to letters of credit generally and consistently applied by such Issuing Bank to similarly situated borrowers, and (ii) each Revolving Lender severally agrees to participate in each Letter of Credit as provided in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xml:space="preserve">. It is understood and agreed that no Issuing Bank shall be required (but shall be permitted) to issue any Letter of Credit that (x) is not denominated in Dollars, (y) has a face amount that is less than $100,000 and (z) if (1) any order, judgment or decree of any Governmental Authority with jurisdiction over such Issuing Bank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(2) the issuance of such Letter of Credit would violate one or more policies to such Issuing Bank now or hereafter applicable to similarly situated borrowers under comparable credit facilities and letters of credit generally. </w:t>
      </w:r>
      <w:r>
        <w:rPr>
          <w:rFonts w:ascii="Times New Roman" w:cs="Times New Roman" w:eastAsia="Times New Roman" w:hAnsi="Times New Roman"/>
          <w:sz w:val="20"/>
          <w:szCs w:val="20"/>
          <w:u w:val="single" w:color="auto"/>
          <w:color w:val="0000FF"/>
        </w:rPr>
        <w:t>For the avoidance of doubt, any Letters of Credit which remain outstanding on the Amendment No. 2 Effective Date are deemed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remain outstanding on and from the Amendment No. 2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360" w:firstLine="745"/>
        <w:spacing w:after="0" w:line="253" w:lineRule="auto"/>
        <w:tabs>
          <w:tab w:leader="none" w:pos="79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Issuance, Amendment, Renewal, Extension; Certain Conditions</w:t>
      </w:r>
      <w:r>
        <w:rPr>
          <w:rFonts w:ascii="Times New Roman" w:cs="Times New Roman" w:eastAsia="Times New Roman" w:hAnsi="Times New Roman"/>
          <w:sz w:val="19"/>
          <w:szCs w:val="19"/>
          <w:color w:val="auto"/>
        </w:rPr>
        <w:t xml:space="preserve">.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in an Alternate Currency, five Business Days in advance of the requested date of issuance), a Letter of Credit Request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 regulations, including the USA PATRIOT Act, and reasonably requested by the applicable Issuing Bank at least three Business Days prior to the requested date of issuance). To request an amendment, extension or renewal of an outstanding Letter of Credit, (other than any automatic extension of a Letter of Credit permitted under </w:t>
      </w:r>
      <w:r>
        <w:rPr>
          <w:rFonts w:ascii="Times New Roman" w:cs="Times New Roman" w:eastAsia="Times New Roman" w:hAnsi="Times New Roman"/>
          <w:sz w:val="19"/>
          <w:szCs w:val="19"/>
          <w:u w:val="single" w:color="auto"/>
          <w:color w:val="auto"/>
        </w:rPr>
        <w:t>Section 2.05(c)</w:t>
      </w:r>
      <w:r>
        <w:rPr>
          <w:rFonts w:ascii="Times New Roman" w:cs="Times New Roman" w:eastAsia="Times New Roman" w:hAnsi="Times New Roman"/>
          <w:sz w:val="19"/>
          <w:szCs w:val="19"/>
          <w:color w:val="auto"/>
        </w:rPr>
        <w:t xml:space="preserve">) the Borrower shall submit a Letter of Credit Request to the applicable Issuing Bank or Issuing Banks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 or warranty, covenant or event of default not set forth in this Agreement (and to the extent any representation or warranty, covenant or event of default in any letter of credit application or any such other document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representation or warranty, covenant or event of default in any letter of credit application or any such other document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below, upon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that extends beyond the Maturity Date applicable to the Revolving Credit Commitments of any Class, the aggregate amount of the LC Exposure attributable to Letters of Credit expiring after such Maturity Date (1) does not exceed the aggregate amount of the Revolving Credit Commitments then in effect that are scheduled to remain in effect after such Maturity Date or (2) is subject to Letter of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1" w:name="page112"/>
    <w:bookmarkEnd w:id="111"/>
    <w:p>
      <w:pPr>
        <w:jc w:val="both"/>
        <w:ind w:firstLine="757"/>
        <w:spacing w:after="0" w:line="246" w:lineRule="auto"/>
        <w:tabs>
          <w:tab w:leader="none" w:pos="115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No Letter of Credit shall expire later than the earlier of (A) the date that is one year after the date of the issuance of such Letter of Credit (or such later date to which the applicable Issuing Bank may agree) and (B) the date that is five Business Days prior to the Latest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may provide for the automatic extension thereof for any number of additional periods of up to one year in duration (which additional periods shall not extend beyond the date referred to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unless such Letter of Credit is subject to Letter of Credit Support).</w:t>
      </w:r>
    </w:p>
    <w:p>
      <w:pPr>
        <w:spacing w:after="0" w:line="18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By the issuance of any Letter of Credit (or an amendment to any Letter of Credit increasing the amount thereof) (or by the execution and delivery of </w:t>
      </w:r>
      <w:r>
        <w:rPr>
          <w:rFonts w:ascii="Times New Roman" w:cs="Times New Roman" w:eastAsia="Times New Roman" w:hAnsi="Times New Roman"/>
          <w:sz w:val="20"/>
          <w:szCs w:val="20"/>
          <w:color w:val="FF0000"/>
          <w:strike w:val="1"/>
        </w:rPr>
        <w:t>this Agreement</w:t>
      </w:r>
      <w:r>
        <w:rPr>
          <w:rFonts w:ascii="Times New Roman" w:cs="Times New Roman" w:eastAsia="Times New Roman" w:hAnsi="Times New Roman"/>
          <w:sz w:val="20"/>
          <w:szCs w:val="20"/>
          <w:u w:val="single" w:color="auto"/>
          <w:color w:val="0000FF"/>
        </w:rPr>
        <w:t>Amendment No. 2</w:t>
      </w:r>
      <w:r>
        <w:rPr>
          <w:rFonts w:ascii="Times New Roman" w:cs="Times New Roman" w:eastAsia="Times New Roman" w:hAnsi="Times New Roman"/>
          <w:sz w:val="20"/>
          <w:szCs w:val="20"/>
          <w:color w:val="auto"/>
        </w:rPr>
        <w:t xml:space="preserve"> in the case of any Existing Letter of Credit)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respect of any Letter of Credit issued in an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9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Issuing Bank makes any LC Disbursement in respect of a Letter of Credit, the Borrower shall reimburse such LC Disbursement by paying to the Administrative Agent an amount equal to such LC Disbursement not later than 1:00 p.m. two Business Days immediately following the date on which the Borrower receives notice of such LC Disbursement under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that such payment be financed (A) in the case of a Letter of Credit denominated in Dollars, with an ABR Revolving Loan Borrowing denominated in Dollars in an equivalent amount and (B) in the case of a Letter of Credit denominated in an Alternate Currency, a Revolving Loan denominated in any Alternate Currency in an equivalent amount by reference to a benchmark as determined pursuant to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(any such Revolving Loan Borrowing,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Reimbursement Loan</w:t>
      </w:r>
      <w:r>
        <w:rPr>
          <w:rFonts w:ascii="Times New Roman" w:cs="Times New Roman" w:eastAsia="Times New Roman" w:hAnsi="Times New Roman"/>
          <w:sz w:val="20"/>
          <w:szCs w:val="20"/>
          <w:color w:val="auto"/>
        </w:rPr>
        <w:t xml:space="preserve">”), and, to the extent so financed, the obligation of the Borrower to make such payment shall be discharged and replaced by the resulting Borrowing (it being understood and agreed that the Borrower may also request a Swingline Loan to reimburse such LC Disbursement in accordance with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subject, in the case of any such Swingline Loan, to the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If the Borrower fails to make such payment when due, the Administrative Agent shall notify each Revolving Lender of the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with respect to Loans made by such Revolving Lender (and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185" w:lineRule="exact"/>
        <w:rPr>
          <w:sz w:val="20"/>
          <w:szCs w:val="20"/>
          <w:color w:val="auto"/>
        </w:rPr>
      </w:pPr>
    </w:p>
    <w:p>
      <w:pPr>
        <w:jc w:val="both"/>
        <w:ind w:left="760" w:firstLine="745"/>
        <w:spacing w:after="0" w:line="254" w:lineRule="auto"/>
        <w:tabs>
          <w:tab w:leader="none" w:pos="190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Times New Roman" w:cs="Times New Roman" w:eastAsia="Times New Roman" w:hAnsi="Times New Roman"/>
          <w:sz w:val="19"/>
          <w:szCs w:val="19"/>
          <w:u w:val="single" w:color="auto"/>
          <w:color w:val="auto"/>
        </w:rPr>
        <w:t>Section 2.05(d)</w:t>
      </w:r>
      <w:r>
        <w:rPr>
          <w:rFonts w:ascii="Times New Roman" w:cs="Times New Roman" w:eastAsia="Times New Roman" w:hAnsi="Times New Roman"/>
          <w:sz w:val="19"/>
          <w:szCs w:val="19"/>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w:t>
      </w:r>
      <w:r>
        <w:rPr>
          <w:rFonts w:ascii="Times New Roman" w:cs="Times New Roman" w:eastAsia="Times New Roman" w:hAnsi="Times New Roman"/>
          <w:sz w:val="19"/>
          <w:szCs w:val="19"/>
          <w:u w:val="single" w:color="auto"/>
          <w:color w:val="auto"/>
        </w:rPr>
        <w:t>clause</w:t>
      </w:r>
    </w:p>
    <w:p>
      <w:pPr>
        <w:spacing w:after="0" w:line="6" w:lineRule="exact"/>
        <w:rPr>
          <w:rFonts w:ascii="Times New Roman" w:cs="Times New Roman" w:eastAsia="Times New Roman" w:hAnsi="Times New Roman"/>
          <w:sz w:val="19"/>
          <w:szCs w:val="19"/>
          <w:color w:val="auto"/>
        </w:rPr>
      </w:pPr>
    </w:p>
    <w:p>
      <w:pPr>
        <w:ind w:left="1040" w:hanging="283"/>
        <w:spacing w:after="0"/>
        <w:tabs>
          <w:tab w:leader="none" w:pos="1040"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conclusive absent manifest error.</w:t>
      </w:r>
    </w:p>
    <w:p>
      <w:pPr>
        <w:spacing w:after="0" w:line="194" w:lineRule="exact"/>
        <w:rPr>
          <w:sz w:val="20"/>
          <w:szCs w:val="20"/>
          <w:color w:val="auto"/>
        </w:rPr>
      </w:pPr>
    </w:p>
    <w:p>
      <w:pPr>
        <w:jc w:val="both"/>
        <w:ind w:firstLine="757"/>
        <w:spacing w:after="0"/>
        <w:tabs>
          <w:tab w:leader="none" w:pos="115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obligation of the Borrower to reimburse LC Disbursements as provided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any document presented which appears on its face to be in substantial compliance with the terms of any Letter of Credit, the applicable Issuing Bank may, in its sole discretion, either accept and make payment upon such document without responsibility for further investigation, regardless of any notice or information to the contrary, or refuse to accept and make payment upon such document if such document is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757"/>
        <w:spacing w:after="0" w:line="246" w:lineRule="auto"/>
        <w:tabs>
          <w:tab w:leader="none" w:pos="115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electronic means upon any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failure to give or delay in giving such notice shall relieve the Borrower of its obligation to reimburse such Issuing Bank and the Revolving Lenders with respect to any such LC Disbursement.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9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(x) in the case of any Letter of Credit denominated in Dollars, to Initial Revolving Loans that are ABR Loans and (y) in the case of any Letter of Credit denominated in any Alternate Currency, Initial Revolving Loans by reference to the benchmark for such Alternate Currency (or, to the extent of the participation in such LC Disbursement by any Revolving Lender of another Class, the rate per annum then applicable to the Revolving Loans of such other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then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87"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Resignation of an Issuing Bank; Designation of New Issuing Banks</w:t>
      </w:r>
      <w:r>
        <w:rPr>
          <w:rFonts w:ascii="Times New Roman" w:cs="Times New Roman" w:eastAsia="Times New Roman" w:hAnsi="Times New Roman"/>
          <w:sz w:val="20"/>
          <w:szCs w:val="20"/>
          <w:color w:val="auto"/>
        </w:rPr>
        <w:t xml:space="preserve">. Any Issuing Bank may be replaced with the consent of the Administrative Agent (not to be unreasonably withheld or delayed) and the Borrower at any time by written agreement among the Borrower, the Administrative Agent and the successor Issuing Bank. The Administrative Agent shall notify the Revolving Lenders of any such replacement of an Issuing Bank. At the time any such replacement becomes effective, unless otherwise agreed by the replaced Issuing Bank, the Borrower shall pay all unpaid fees accrued prior to such date for the account of the replaced Issuing Bank pursuant to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 and such Revolving Lender; provided, that for the avoidance of doubt, it is understood and agreed that the Letter of Credit Commitments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 xml:space="preserve">Issuing Banks shall not be reduced or otherwise be affected by the appointment of any additional Revolving Lender as an Issuing Bank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anything to the contrary contained herein, this Agreement may be amended to give effect to such appointment with the consent of the Borrower, the Administrative Agent (which consent shall not be unreasonably withheld or delayed) and such Issuing Bank being appointed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2.05(h)</w:t>
      </w:r>
      <w:r>
        <w:rPr>
          <w:rFonts w:ascii="Times New Roman" w:cs="Times New Roman" w:eastAsia="Times New Roman" w:hAnsi="Times New Roman"/>
          <w:sz w:val="20"/>
          <w:szCs w:val="20"/>
          <w:color w:val="auto"/>
        </w:rPr>
        <w:t>, which amendment may determine the face amount of Letters of Credit required to be issued by such Issuing Bank, and the consent of no other Lender shall be required therefor.</w:t>
      </w:r>
    </w:p>
    <w:p>
      <w:pPr>
        <w:spacing w:after="0" w:line="184" w:lineRule="exact"/>
        <w:rPr>
          <w:sz w:val="20"/>
          <w:szCs w:val="20"/>
          <w:color w:val="auto"/>
        </w:rPr>
      </w:pPr>
    </w:p>
    <w:p>
      <w:pPr>
        <w:jc w:val="both"/>
        <w:ind w:left="3" w:firstLine="745"/>
        <w:spacing w:after="0" w:line="241" w:lineRule="auto"/>
        <w:tabs>
          <w:tab w:leader="none" w:pos="1148"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each Issuing Bank may, upon 30 days’ prior written notice to the Borrower, each other Issuing Bank and the Lenders, resign as Issuing Bank, which resignation shall be effective as of the date referenced in such notice (but in no event less than 30 days (or such later date as the relevant Issuing Bank may agree) after the delivery of such written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effectiveness of such resignation shall be conditioned on and subject to the appointment of a replacement Issuing Bank reasonably satisfactory to the Borrower who agrees to assume the entire Letter of Credit Commitment of the resigning Issuing Bank, and no such resignation shall become effective unless and until such replacement Issuing Bank has accepted such appointment and agreed to provide such Letter of Credit Commitment on terms acceptable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19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exists and the Loans have been declared due and payable in accordance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hereof, then on the Business Day following the date on which the Borrower receives notice from the Administrative Agent (at the direction of the Required Revolving Lenders) demanding the deposit of Cash collateral pursuant to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the Borrower shall deposit (or shall cause to be deposited), in an interest-bearing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an amount in Cash equal to 100% of the LC Exposure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deposit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shall be held by the Administrative Agent as collateral for the payment and performance of the Secured Obligations in accordance with the provisions of this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The Administrative Agent shall have exclusive dominion and control, including the exclusive right of withdrawal, over such account, and the Borrower hereby grants the Administrative Agent, for the benefit of the Secured Parties, a first priority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15" w:name="page116"/>
    <w:bookmarkEnd w:id="115"/>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89" w:lineRule="exact"/>
        <w:rPr>
          <w:sz w:val="20"/>
          <w:szCs w:val="20"/>
          <w:color w:val="auto"/>
        </w:rPr>
      </w:pPr>
    </w:p>
    <w:p>
      <w:pPr>
        <w:jc w:val="both"/>
        <w:ind w:firstLine="757"/>
        <w:spacing w:after="0" w:line="243" w:lineRule="auto"/>
        <w:tabs>
          <w:tab w:leader="none" w:pos="115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(i) Not later than the third Business Day following the last day of each month and at each issuance of a Letter of Credit (or at such other intervals as the Administrative Agent and the applicable Issuing Bank shall agree), each Issuing Bank shall provide to the Administrative Agent a schedule of the Letters of Credit issued by it, and (ii) at each issuance of a Letter of Credit, the applicable Issuing Bank shall provide to the Administrative Agent a description of such Letter of Credit, in each case, in form and substance reasonably satisfactory to the Administrative Agent, showing the date of issuance of each (or such) Letter of Credit, the account party, the original face amount (if any), the expiration date, and the reference number of any Letter of Credit outstanding at any time during such month (or of such Letter of Credit, as applicable), and showing the aggregate amount (if any) payable by the Borrower to such Issuing Bank during such month (or with respect to such Letter of Credit, as applicable).</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2.06. Conforming Changes.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-759460</wp:posOffset>
            </wp:positionV>
            <wp:extent cx="11811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2.07.  Funding of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738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(x) each Term SOFR Loan to be made by it hereunder available to the Administrative Agent not later than 12:00 p.m., and (y) each ABR Loan to be made by it hereunder available to the Administrative Agent not later than 1:00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The Administrative Agent will make such Loans available to the Borrower by promptly crediting the amounts so received on the same Business Day, in like funds, to the account designated in the relevant Borrowing Request or as otherwise directed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(or Revolving Loans by reference to such other applicable benchmark in the case of any Letter of Credit denominated in any Alternate Currency) made to finance the reimbursement of any LC Disbursement as provided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 xml:space="preserve"> shall be remitted by the Administrative Agent to the applicable Issuing Bank.</w:t>
      </w:r>
    </w:p>
    <w:p>
      <w:pPr>
        <w:spacing w:after="0" w:line="19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has received notice from any Lender that such Lender will not make available to the Administrative Agent such Lender’s share of any Borrowing prior to the proposed date of such Borrowing (or, in the case of any Borrowing of ABR Loans, prior to 12:00 p.m. on the date of such Borrowing), the Administrative Agent may assume that such Lender has made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(or, with respect to any amount denominated in any Alternate Currency, the rate of interest per annum at which overnight deposits in the applicable Alternate Currency, on an amount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Times New Roman" w:cs="Times New Roman" w:eastAsia="Times New Roman" w:hAnsi="Times New Roman"/>
          <w:sz w:val="19"/>
          <w:szCs w:val="19"/>
          <w:u w:val="single" w:color="auto"/>
          <w:color w:val="auto"/>
        </w:rPr>
        <w:t>Section 2.07(b)</w:t>
      </w:r>
      <w:r>
        <w:rPr>
          <w:rFonts w:ascii="Times New Roman" w:cs="Times New Roman" w:eastAsia="Times New Roman" w:hAnsi="Times New Roman"/>
          <w:sz w:val="19"/>
          <w:szCs w:val="19"/>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2.08.  Type; Interest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852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4"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shall initially be of the Type specified in the applicable Borrowing Request and, in the case of any Term SOFR Borrowing, shall have an initial Interest Period as specified in such Borrowing Request. Thereafter, the Borrower may elect to convert any Borrowing denominated in Dollars to a Borrowing of a different Type or to continue such Borrowing and, in the case of a Term SOFR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a Term SOFR Borrowing.</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deliver an Interest Election Request, appropriately completed and signed by a Responsible Officer of the Borrower, to the Administrative Agent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If any such Interest Election Request requests a Term SOFR Borrowing but does not specify an Interest Period, then the Borrower shall be deemed to have selected an Interest Period of one month’s duration.</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applicable Lender of the details thereof and of such Lender’s portion of each resulting Borrowing.</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(or cause to be delivered) a timely Interest Election Request with respect to a Term SOFR Borrowing denominated in Dollars prior to the end of the Interest Period applicable thereto, then, unless such Borrowing is repaid as provided herein, such Borrowing shall be converted at the end of such Interest Period to an ABR Borrowing.</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only a Borrowing denominated in Dollars may be made in the form of, or converted into, an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ind w:left="760"/>
        <w:spacing w:after="0"/>
        <w:rPr>
          <w:sz w:val="20"/>
          <w:szCs w:val="20"/>
          <w:color w:val="auto"/>
        </w:rPr>
      </w:pPr>
      <w:r>
        <w:rPr>
          <w:rFonts w:ascii="Times New Roman" w:cs="Times New Roman" w:eastAsia="Times New Roman" w:hAnsi="Times New Roman"/>
          <w:sz w:val="20"/>
          <w:szCs w:val="20"/>
          <w:color w:val="auto"/>
        </w:rPr>
        <w:t>Section 2.09.  Termination and Reduction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346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previously terminated, (i) the </w:t>
      </w:r>
      <w:r>
        <w:rPr>
          <w:rFonts w:ascii="Times New Roman" w:cs="Times New Roman" w:eastAsia="Times New Roman" w:hAnsi="Times New Roman"/>
          <w:sz w:val="20"/>
          <w:szCs w:val="20"/>
          <w:color w:val="FF0000"/>
          <w:strike w:val="1"/>
        </w:rPr>
        <w:t>Initial</w:t>
      </w:r>
      <w:r>
        <w:rPr>
          <w:rFonts w:ascii="Times New Roman" w:cs="Times New Roman" w:eastAsia="Times New Roman" w:hAnsi="Times New Roman"/>
          <w:sz w:val="20"/>
          <w:szCs w:val="20"/>
          <w:u w:val="single" w:color="auto"/>
          <w:color w:val="0000FF"/>
        </w:rPr>
        <w:t>2025</w:t>
      </w:r>
      <w:r>
        <w:rPr>
          <w:rFonts w:ascii="Times New Roman" w:cs="Times New Roman" w:eastAsia="Times New Roman" w:hAnsi="Times New Roman"/>
          <w:sz w:val="20"/>
          <w:szCs w:val="20"/>
          <w:color w:val="auto"/>
        </w:rPr>
        <w:t xml:space="preserve"> Term </w:t>
      </w:r>
      <w:r>
        <w:rPr>
          <w:rFonts w:ascii="Times New Roman" w:cs="Times New Roman" w:eastAsia="Times New Roman" w:hAnsi="Times New Roman"/>
          <w:sz w:val="20"/>
          <w:szCs w:val="20"/>
          <w:color w:val="FF0000"/>
          <w:strike w:val="1"/>
        </w:rPr>
        <w:t>Loan</w:t>
      </w:r>
      <w:r>
        <w:rPr>
          <w:rFonts w:ascii="Times New Roman" w:cs="Times New Roman" w:eastAsia="Times New Roman" w:hAnsi="Times New Roman"/>
          <w:sz w:val="20"/>
          <w:szCs w:val="20"/>
          <w:color w:val="auto"/>
        </w:rPr>
        <w:t xml:space="preserve"> Commitments </w:t>
      </w:r>
      <w:r>
        <w:rPr>
          <w:rFonts w:ascii="Times New Roman" w:cs="Times New Roman" w:eastAsia="Times New Roman" w:hAnsi="Times New Roman"/>
          <w:sz w:val="20"/>
          <w:szCs w:val="20"/>
          <w:color w:val="FF0000"/>
          <w:strike w:val="1"/>
        </w:rPr>
        <w:t>on the Closing</w:t>
      </w:r>
      <w:r>
        <w:rPr>
          <w:rFonts w:ascii="Times New Roman" w:cs="Times New Roman" w:eastAsia="Times New Roman" w:hAnsi="Times New Roman"/>
          <w:sz w:val="20"/>
          <w:szCs w:val="20"/>
          <w:u w:val="single" w:color="auto"/>
          <w:color w:val="0000FF"/>
        </w:rPr>
        <w:t>of each Lender (after giving effect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funding thereof and Cashless Rollover (as defined in Amendment No. 2) on the Amendment No. 2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automatically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terminate </w:t>
      </w:r>
      <w:r>
        <w:rPr>
          <w:rFonts w:ascii="Times New Roman" w:cs="Times New Roman" w:eastAsia="Times New Roman" w:hAnsi="Times New Roman"/>
          <w:sz w:val="20"/>
          <w:szCs w:val="20"/>
          <w:color w:val="FF0000"/>
          <w:strike w:val="1"/>
        </w:rPr>
        <w:t>upon the making of the Initial Term Loans</w:t>
      </w:r>
      <w:r>
        <w:rPr>
          <w:rFonts w:ascii="Times New Roman" w:cs="Times New Roman" w:eastAsia="Times New Roman" w:hAnsi="Times New Roman"/>
          <w:sz w:val="20"/>
          <w:szCs w:val="20"/>
          <w:color w:val="000000"/>
        </w:rPr>
        <w:t xml:space="preserve">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000000"/>
        </w:rPr>
        <w:t xml:space="preserve">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 as applicable. </w:t>
      </w:r>
      <w:r>
        <w:rPr>
          <w:rFonts w:ascii="Times New Roman" w:cs="Times New Roman" w:eastAsia="Times New Roman" w:hAnsi="Times New Roman"/>
          <w:sz w:val="20"/>
          <w:szCs w:val="20"/>
          <w:color w:val="0000FF"/>
        </w:rPr>
        <w:t>For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avoidance of doubt, it is acknowledged and agreed by the Lenders and the Administrative Agent that the Closing Date Term Commitments of each Lender as of the Closing Date terminated automatically on the Closing Date (after giving effect to the funding of the Closing Date Term Commitments on such date).</w:t>
      </w:r>
    </w:p>
    <w:p>
      <w:pPr>
        <w:spacing w:after="0" w:line="187"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delivery of the notice required by </w:t>
      </w:r>
      <w:r>
        <w:rPr>
          <w:rFonts w:ascii="Times New Roman" w:cs="Times New Roman" w:eastAsia="Times New Roman" w:hAnsi="Times New Roman"/>
          <w:sz w:val="20"/>
          <w:szCs w:val="20"/>
          <w:u w:val="single" w:color="auto"/>
          <w:color w:val="auto"/>
        </w:rPr>
        <w:t>Section 2.09(c)</w:t>
      </w:r>
      <w:r>
        <w:rPr>
          <w:rFonts w:ascii="Times New Roman" w:cs="Times New Roman" w:eastAsia="Times New Roman" w:hAnsi="Times New Roman"/>
          <w:sz w:val="20"/>
          <w:szCs w:val="20"/>
          <w:color w:val="auto"/>
        </w:rPr>
        <w:t xml:space="preserve">, the Borrower may at any time terminate or from time to time reduce the Revolving Credit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Swingline Loans and/or the provision of Letter of Credit Support with respect to any outstanding Letter of Credit,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the establishment of any Class of Additional Revolving Credit Commitments, any such termination or reduction of the Revolving Credit Commitments of any Class shall be subject to the provisions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as applicable.</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any Revolving Credit Commitment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such notice, the Administrative Agent shall advise the Revolving Lenders of each applicable Class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it is conditioned upon the effectiveness of other transactions or other events, in which case such notice may be revoked by the Borrower (by written notice to the Administrative Agent on or prior to the specified effective date) if such condition is not satisfied. Any termination or reduction of any Revolving Credit Commitment pursuant to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shall be permanent. Upon any reduction of any Revolving Credit Commitment, the Revolving Credit Commitment of each Revolving Lender of the relevant Class shall be reduced by such Revolving Lender’s Applicable Percentage of the amount of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6687185</wp:posOffset>
            </wp:positionH>
            <wp:positionV relativeFrom="paragraph">
              <wp:posOffset>-3506470</wp:posOffset>
            </wp:positionV>
            <wp:extent cx="4419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2.10.  Repayment of Loans; Evidence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0859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85975" cy="8255"/>
                    </a:xfrm>
                    <a:prstGeom prst="rect">
                      <a:avLst/>
                    </a:prstGeom>
                    <a:noFill/>
                  </pic:spPr>
                </pic:pic>
              </a:graphicData>
            </a:graphic>
          </wp:anchor>
        </w:drawing>
      </w:r>
    </w:p>
    <w:p>
      <w:pPr>
        <w:spacing w:after="0" w:line="196" w:lineRule="exact"/>
        <w:rPr>
          <w:sz w:val="20"/>
          <w:szCs w:val="20"/>
          <w:color w:val="auto"/>
        </w:rPr>
      </w:pPr>
    </w:p>
    <w:p>
      <w:pPr>
        <w:jc w:val="both"/>
        <w:ind w:right="20" w:firstLine="757"/>
        <w:spacing w:after="0" w:line="260" w:lineRule="auto"/>
        <w:tabs>
          <w:tab w:leader="none" w:pos="1145"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Borrower hereby unconditionally promises to repay the outstanding principal amount of the Initial Term Loans to the Administrative Agent for the account of each Term Lender (A) on the last day of each March, June, September and December (commencing </w:t>
      </w:r>
      <w:r>
        <w:rPr>
          <w:rFonts w:ascii="Times New Roman" w:cs="Times New Roman" w:eastAsia="Times New Roman" w:hAnsi="Times New Roman"/>
          <w:sz w:val="19"/>
          <w:szCs w:val="19"/>
          <w:color w:val="FF0000"/>
          <w:strike w:val="1"/>
        </w:rPr>
        <w:t>December</w:t>
      </w:r>
      <w:r>
        <w:rPr>
          <w:rFonts w:ascii="Times New Roman" w:cs="Times New Roman" w:eastAsia="Times New Roman" w:hAnsi="Times New Roman"/>
          <w:sz w:val="19"/>
          <w:szCs w:val="19"/>
          <w:u w:val="single" w:color="auto"/>
          <w:color w:val="0000FF"/>
        </w:rPr>
        <w:t>March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31,</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2021</w:t>
      </w:r>
      <w:r>
        <w:rPr>
          <w:rFonts w:ascii="Times New Roman" w:cs="Times New Roman" w:eastAsia="Times New Roman" w:hAnsi="Times New Roman"/>
          <w:sz w:val="19"/>
          <w:szCs w:val="19"/>
          <w:u w:val="single" w:color="auto"/>
          <w:color w:val="0000FF"/>
        </w:rPr>
        <w:t>2025</w:t>
      </w:r>
      <w:r>
        <w:rPr>
          <w:rFonts w:ascii="Times New Roman" w:cs="Times New Roman" w:eastAsia="Times New Roman" w:hAnsi="Times New Roman"/>
          <w:sz w:val="19"/>
          <w:szCs w:val="19"/>
          <w:color w:val="000000"/>
        </w:rPr>
        <w:t>) prior to the Initial Term Loan Maturity Date (each such date being referred to as a “</w:t>
      </w:r>
      <w:r>
        <w:rPr>
          <w:rFonts w:ascii="Times New Roman" w:cs="Times New Roman" w:eastAsia="Times New Roman" w:hAnsi="Times New Roman"/>
          <w:sz w:val="19"/>
          <w:szCs w:val="19"/>
          <w:u w:val="single" w:color="auto"/>
          <w:color w:val="000000"/>
        </w:rPr>
        <w:t>Loan Installment Date</w:t>
      </w:r>
      <w:r>
        <w:rPr>
          <w:rFonts w:ascii="Times New Roman" w:cs="Times New Roman" w:eastAsia="Times New Roman" w:hAnsi="Times New Roman"/>
          <w:sz w:val="19"/>
          <w:szCs w:val="19"/>
          <w:color w:val="000000"/>
        </w:rPr>
        <w:t>”),</w:t>
      </w:r>
    </w:p>
    <w:p>
      <w:pPr>
        <w:ind w:left="280" w:hanging="272"/>
        <w:spacing w:after="0"/>
        <w:tabs>
          <w:tab w:leader="none" w:pos="280" w:val="left"/>
        </w:tabs>
        <w:numPr>
          <w:ilvl w:val="0"/>
          <w:numId w:val="10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from December 31, 2021 through and including September 30, 2023, in an amount equal to 0.625%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44" w:lineRule="auto"/>
        <w:rPr>
          <w:sz w:val="20"/>
          <w:szCs w:val="20"/>
          <w:color w:val="auto"/>
        </w:rPr>
      </w:pPr>
      <w:r>
        <w:rPr>
          <w:rFonts w:ascii="Times New Roman" w:cs="Times New Roman" w:eastAsia="Times New Roman" w:hAnsi="Times New Roman"/>
          <w:sz w:val="20"/>
          <w:szCs w:val="20"/>
          <w:color w:val="FF0000"/>
          <w:strike w:val="1"/>
        </w:rPr>
        <w:t xml:space="preserve">the original principal amount of the Initial Term Loans outstanding on the Closing Date and (y) commencing on December 31, 2023 and thereafter, </w:t>
      </w:r>
      <w:r>
        <w:rPr>
          <w:rFonts w:ascii="Times New Roman" w:cs="Times New Roman" w:eastAsia="Times New Roman" w:hAnsi="Times New Roman"/>
          <w:sz w:val="20"/>
          <w:szCs w:val="20"/>
          <w:color w:val="000000"/>
          <w:strike w:val="1"/>
        </w:rPr>
        <w:t>in an amount equal to 1.25% of the original principal amount of the Initial Term Loans outstanding on the</w:t>
      </w:r>
      <w:r>
        <w:rPr>
          <w:rFonts w:ascii="Times New Roman" w:cs="Times New Roman" w:eastAsia="Times New Roman" w:hAnsi="Times New Roman"/>
          <w:sz w:val="20"/>
          <w:szCs w:val="20"/>
          <w:color w:val="FF0000"/>
          <w:strike w:val="1"/>
        </w:rPr>
        <w:t xml:space="preserve"> Closing</w:t>
      </w:r>
      <w:r>
        <w:rPr>
          <w:rFonts w:ascii="Times New Roman" w:cs="Times New Roman" w:eastAsia="Times New Roman" w:hAnsi="Times New Roman"/>
          <w:sz w:val="20"/>
          <w:szCs w:val="20"/>
          <w:u w:val="single" w:color="auto"/>
          <w:color w:val="0000FF"/>
          <w:strike w:val="1"/>
        </w:rPr>
        <w:t>Amendment No.</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2 Effective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Date (</w:t>
      </w:r>
      <w:r>
        <w:rPr>
          <w:rFonts w:ascii="Times New Roman" w:cs="Times New Roman" w:eastAsia="Times New Roman" w:hAnsi="Times New Roman"/>
          <w:sz w:val="20"/>
          <w:szCs w:val="20"/>
          <w:color w:val="FF0000"/>
          <w:strike w:val="1"/>
        </w:rPr>
        <w:t>in each case 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FF0000"/>
          <w:strike w:val="1"/>
        </w:rPr>
        <w:t>clauses (x)</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FF0000"/>
          <w:strike w:val="1"/>
        </w:rPr>
        <w:t>(y)</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above,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as such payments may be reduced from time to time as a result of the application</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of prepayments in accordance with </w:t>
      </w:r>
      <w:r>
        <w:rPr>
          <w:rFonts w:ascii="Times New Roman" w:cs="Times New Roman" w:eastAsia="Times New Roman" w:hAnsi="Times New Roman"/>
          <w:sz w:val="20"/>
          <w:szCs w:val="20"/>
          <w:u w:val="single" w:color="auto"/>
          <w:color w:val="000000"/>
          <w:strike w:val="1"/>
        </w:rPr>
        <w:t>Section 2.11</w:t>
      </w:r>
      <w:r>
        <w:rPr>
          <w:rFonts w:ascii="Times New Roman" w:cs="Times New Roman" w:eastAsia="Times New Roman" w:hAnsi="Times New Roman"/>
          <w:sz w:val="20"/>
          <w:szCs w:val="20"/>
          <w:color w:val="000000"/>
          <w:strike w:val="1"/>
        </w:rPr>
        <w:t xml:space="preserve"> and repurchases and assignments in accordance with </w:t>
      </w:r>
      <w:r>
        <w:rPr>
          <w:rFonts w:ascii="Times New Roman" w:cs="Times New Roman" w:eastAsia="Times New Roman" w:hAnsi="Times New Roman"/>
          <w:sz w:val="20"/>
          <w:szCs w:val="20"/>
          <w:u w:val="single" w:color="auto"/>
          <w:color w:val="000000"/>
          <w:strike w:val="1"/>
        </w:rPr>
        <w:t>Section 9.05(g)</w:t>
      </w:r>
      <w:r>
        <w:rPr>
          <w:rFonts w:ascii="Times New Roman" w:cs="Times New Roman" w:eastAsia="Times New Roman" w:hAnsi="Times New Roman"/>
          <w:sz w:val="20"/>
          <w:szCs w:val="20"/>
          <w:color w:val="000000"/>
          <w:strike w:val="1"/>
        </w:rPr>
        <w:t xml:space="preserve"> or increased in connection with the incurrence of Incremental Term Loans), and (B) on the Initial Term Loan Maturity Date, in an amount equal to the remainder of the principal amount of such Initial Term Loans outstanding on such date, together, in each case, with accrued and unpaid interest on the principal amount to be paid to but excluding the date of such payment.</w:t>
      </w:r>
    </w:p>
    <w:p>
      <w:pPr>
        <w:spacing w:after="0" w:line="186" w:lineRule="exact"/>
        <w:rPr>
          <w:sz w:val="20"/>
          <w:szCs w:val="20"/>
          <w:color w:val="auto"/>
        </w:rPr>
      </w:pPr>
    </w:p>
    <w:p>
      <w:pPr>
        <w:jc w:val="both"/>
        <w:ind w:left="760" w:firstLine="745"/>
        <w:spacing w:after="0" w:line="246" w:lineRule="auto"/>
        <w:tabs>
          <w:tab w:leader="none" w:pos="1904"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repurchases in accordance with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or increased as a result of any increase in the amount of such Additional Term Loans of such Class pursuant to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hereby unconditionally promises to pay in Dollars or the relevant Alternate Currency (A) to the Administrative Agent for the account of each Initial Revolving Lender, the then-unpaid principal amount of the Initial Revolving Loans of such Lender on the Initial Revolving Credit Maturity Date, (B) 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Maturity Date applicable to the Revolving Credit Commitments of any Class, the Borrower shall (A) cancel and return outstanding Letters of Credit (or alternatively, with respect to any outstanding Letter of Credit, provide Letter of Credit Support with respect thereto), in each case to the extent necessary so that, after giving effect thereto, the aggregate amount of the Revolving Credit Exposure attributable to the Revolving Credit Commitments of any other Class does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then in effect and (C) make payment in full of all accrued and unpaid fees and all reimbursable expenses and other Obligations with respect to the Revolving Facility of the applicable Class then due, together with accrued and unpaid interest (if any) thereon.</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757"/>
        <w:spacing w:after="0" w:line="244" w:lineRule="auto"/>
        <w:tabs>
          <w:tab w:leader="none" w:pos="114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w:t>
      </w:r>
      <w:r>
        <w:rPr>
          <w:rFonts w:ascii="Times New Roman" w:cs="Times New Roman" w:eastAsia="Times New Roman" w:hAnsi="Times New Roman"/>
          <w:sz w:val="20"/>
          <w:szCs w:val="20"/>
          <w:u w:val="single" w:color="auto"/>
          <w:color w:val="auto"/>
        </w:rPr>
        <w:t>paragraphs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failure of any Lender or the Administrative Agent to maintain such accounts or any manifest error therein shall not in any manner affect the obligation of the Borrower to repay the Loans in accordance with the terms of this Agreement, (ii) in the event of any inconsistency between the accounts maintained by the Administrative Agent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and any Lender’s records, the accounts of the Administrative Agent shall govern and (iii) in the event of any inconsistency between the Register and any other accounts maintained by the Administrative Agent, the Register shall govern absent manifest error.</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20"/>
          <w:szCs w:val="20"/>
          <w:u w:val="single" w:color="auto"/>
          <w:color w:val="auto"/>
        </w:rPr>
        <w:t>Section 9.05(b)(iii)</w:t>
      </w:r>
      <w:r>
        <w:rPr>
          <w:rFonts w:ascii="Times New Roman" w:cs="Times New Roman" w:eastAsia="Times New Roman" w:hAnsi="Times New Roman"/>
          <w:sz w:val="20"/>
          <w:szCs w:val="20"/>
          <w:color w:val="auto"/>
        </w:rPr>
        <w:t xml:space="preserve"> and upon the occurrence of the Termination Date (or as promptly thereafter as practicable). If any Lender loses the original copy of its Promissory Note, it shall execute an affidavit of loss containing an indemnification provision that is reasonably satisfactory to the Borrower. The obligation of each Lender to execute and deliver an affidavit of loss containing an indemnification provision that is reasonably satisfactory to the Borrower shall survive the Termination Date.</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color w:val="auto"/>
        </w:rPr>
        <w:t>Prepayment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-10795</wp:posOffset>
            </wp:positionV>
            <wp:extent cx="11734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196" w:lineRule="exact"/>
        <w:rPr>
          <w:sz w:val="20"/>
          <w:szCs w:val="20"/>
          <w:color w:val="auto"/>
        </w:rPr>
      </w:pPr>
    </w:p>
    <w:p>
      <w:pPr>
        <w:ind w:left="1160" w:hanging="403"/>
        <w:spacing w:after="0"/>
        <w:tabs>
          <w:tab w:leader="none" w:pos="11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if applicable,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paid to the Lenders in accordance with their respective Applicable Percentages of the relevant Class.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prior notice in accordance with </w:t>
      </w:r>
      <w:r>
        <w:rPr>
          <w:rFonts w:ascii="Times New Roman" w:cs="Times New Roman" w:eastAsia="Times New Roman" w:hAnsi="Times New Roman"/>
          <w:sz w:val="20"/>
          <w:szCs w:val="20"/>
          <w:u w:val="single" w:color="auto"/>
          <w:color w:val="auto"/>
        </w:rPr>
        <w:t>paragraph (a)(iii)</w:t>
      </w:r>
      <w:r>
        <w:rPr>
          <w:rFonts w:ascii="Times New Roman" w:cs="Times New Roman" w:eastAsia="Times New Roman" w:hAnsi="Times New Roman"/>
          <w:sz w:val="20"/>
          <w:szCs w:val="20"/>
          <w:color w:val="auto"/>
        </w:rPr>
        <w:t xml:space="preserve"> of this Section, the Borrower shall have the right at any time and from time to time to prepay any Borrowing of Revolving Loans of any Class and/or any Borrowing of Swingline Loans, in whole or in part without premium or penalty (but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after the establishment of any Class of Additional Revolving Loans, any such prepayment of any Borrowing of Revolving Loans of any Class shall be subject to the provisions set forth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as applicable and (B) no Borrowing of Revolving Loans may be prepaid unless all Swingline Loans then outstanding, if any, are prepaid concurrently therewith. Each such prepayment shall be paid to the Revolving Lenders in accordance with their respective Applicable Percentages of the relevant Class.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(and the Swingline Lender, if applicable) pursuant to delivery to the Administrative Agent (and the Swingline Lender, if applicable) of a Notice of Loan Prepayment in writing of any prepayment under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 in the case of any prepayment of a Term SOFR Borrowing, not later than 12:00 p.m. three Business Days before the date of prepayment, (ii) in the case of any prepayment of an ABR Borrowing, not later than 11:00 a.m., on the date of prepayment or (iii) in the case of any prepayment of any Swingline Loan, not later than 1:00 p.m. on the date of prepayment (or, in each case, such later time as to which the Administrative Agent may reasonably agree). Each such notice shall be irrevocable (except as set forth in the proviso to this sentence) and shall specify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3"/>
        <w:spacing w:after="0" w:line="241" w:lineRule="auto"/>
        <w:rPr>
          <w:sz w:val="20"/>
          <w:szCs w:val="20"/>
          <w:color w:val="auto"/>
        </w:rPr>
      </w:pPr>
      <w:r>
        <w:rPr>
          <w:rFonts w:ascii="Times New Roman" w:cs="Times New Roman" w:eastAsia="Times New Roman" w:hAnsi="Times New Roman"/>
          <w:sz w:val="20"/>
          <w:szCs w:val="20"/>
          <w:color w:val="auto"/>
        </w:rPr>
        <w:t xml:space="preserve">prepayment date and the principal amount of each Borrowing or portion or each relevant Class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of prepayment delivered by the Borrower may be conditioned upon the effectiveness of other transactions or other events,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2.02(c)</w:t>
      </w:r>
      <w:r>
        <w:rPr>
          <w:rFonts w:ascii="Times New Roman" w:cs="Times New Roman" w:eastAsia="Times New Roman" w:hAnsi="Times New Roman"/>
          <w:sz w:val="20"/>
          <w:szCs w:val="20"/>
          <w:color w:val="auto"/>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197" w:lineRule="exact"/>
        <w:rPr>
          <w:sz w:val="20"/>
          <w:szCs w:val="20"/>
          <w:color w:val="auto"/>
        </w:rPr>
      </w:pPr>
    </w:p>
    <w:p>
      <w:pPr>
        <w:ind w:left="403" w:hanging="403"/>
        <w:spacing w:after="0"/>
        <w:tabs>
          <w:tab w:leader="none" w:pos="40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fifth Business Day following the receipt of Net Proceeds in respect of any Prepayment Asset Sale or Net Insurance/Condemnation Proceeds, in each case, in excess of the greater of $10,000,000 and 10% of Consolidated Adjusted EBITDA as of the last day of the most recently ended Test Period (the “</w:t>
      </w:r>
      <w:r>
        <w:rPr>
          <w:rFonts w:ascii="Times New Roman" w:cs="Times New Roman" w:eastAsia="Times New Roman" w:hAnsi="Times New Roman"/>
          <w:sz w:val="20"/>
          <w:szCs w:val="20"/>
          <w:u w:val="single" w:color="auto"/>
          <w:color w:val="auto"/>
        </w:rPr>
        <w:t>De Minimis Proceeds Threshold</w:t>
      </w:r>
      <w:r>
        <w:rPr>
          <w:rFonts w:ascii="Times New Roman" w:cs="Times New Roman" w:eastAsia="Times New Roman" w:hAnsi="Times New Roman"/>
          <w:sz w:val="20"/>
          <w:szCs w:val="20"/>
          <w:color w:val="auto"/>
        </w:rPr>
        <w:t>”) in any Fiscal Year, the Borrower shall apply (or cause to be applied) 100% of such Net Proceeds of such Prepayment Asset Sale or Net Insurance/Condemnation Proceeds received with respect thereto in excess of the De Minimis Proceeds Threshold (collectively, the “</w:t>
      </w:r>
      <w:r>
        <w:rPr>
          <w:rFonts w:ascii="Times New Roman" w:cs="Times New Roman" w:eastAsia="Times New Roman" w:hAnsi="Times New Roman"/>
          <w:sz w:val="20"/>
          <w:szCs w:val="20"/>
          <w:u w:val="single" w:color="auto"/>
          <w:color w:val="auto"/>
        </w:rPr>
        <w:t>Subject Proceeds</w:t>
      </w:r>
      <w:r>
        <w:rPr>
          <w:rFonts w:ascii="Times New Roman" w:cs="Times New Roman" w:eastAsia="Times New Roman" w:hAnsi="Times New Roman"/>
          <w:sz w:val="20"/>
          <w:szCs w:val="20"/>
          <w:color w:val="auto"/>
        </w:rPr>
        <w:t>”) to prepay the outstanding principal amount of, and accrued interest on, the Initial Term Loans and Additional Term Loans then subject to ratable prepayment requirements (the “</w:t>
      </w:r>
      <w:r>
        <w:rPr>
          <w:rFonts w:ascii="Times New Roman" w:cs="Times New Roman" w:eastAsia="Times New Roman" w:hAnsi="Times New Roman"/>
          <w:sz w:val="20"/>
          <w:szCs w:val="20"/>
          <w:u w:val="single" w:color="auto"/>
          <w:color w:val="auto"/>
        </w:rPr>
        <w:t>Subject Loans</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89"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888"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that only the amount in excess of the De Minimis Proceeds Threshold shall be required to be applied to make a prepayment in accordance with this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43" w:firstLine="754"/>
        <w:spacing w:after="0" w:line="242" w:lineRule="auto"/>
        <w:tabs>
          <w:tab w:leader="none" w:pos="1888"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date on which any such prepayment is required to be made, the Borrower notifies the Administrative Agent of its intention to reinvest the applicable Subject Proceeds in the business of the Borrower and/or any Restricted Subsidiary (other than an investment in Cash or Cash Equivalents), then the Borrower shall not be required to make a mandatory prepayment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in respect of the applicable Subject Proceeds to the extent (1) the applicable Subject Proceeds are so reinvested within 18 months following receipt thereof, or (2) the Borrower or any Restricted Subsidiary has committed to so reinvest the applicable Subject Proceeds during such 18 month period and the applicable Subject Proceeds are so reinvested within six months after the expiration of such 18 month period or (3) the Borrower or any Restricted Subsidiary has committed to so reinvest the applicable Subject Proceeds during such 18 month period and such commitment is terminated and a new commitment is made within the six months after the expiration of such 18 month period and the application Proceeds are so reinvested within three months after the expiration of such 24 month period; it being understood that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21" w:name="page122"/>
    <w:bookmarkEnd w:id="121"/>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applicable Subject Proceeds have not been so reinvested prior to the expiration of the applicable period, the Borrower shall promptly prepay the Subject Loans with the amount of applicable Subject Proceeds not so reinvested as set forth above (without regard to the immediately preceding proviso); and</w:t>
      </w:r>
    </w:p>
    <w:p>
      <w:pPr>
        <w:spacing w:after="0" w:line="174" w:lineRule="exact"/>
        <w:rPr>
          <w:sz w:val="20"/>
          <w:szCs w:val="20"/>
          <w:color w:val="auto"/>
        </w:rPr>
      </w:pPr>
    </w:p>
    <w:p>
      <w:pPr>
        <w:jc w:val="both"/>
        <w:ind w:left="380" w:firstLine="754"/>
        <w:spacing w:after="0" w:line="241"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that any such prepayment would be required hereunder, the Borrower or any of its Restricted Subsidiaries is required to repay or repurchase any other First Lien Debt pursuant to the terms of the documentation governing such Indebtedness (such Indebtedness required to be so prepaid or offered to be so repurchased, “</w:t>
      </w: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Applicable Indebtedness</w:t>
      </w:r>
      <w:r>
        <w:rPr>
          <w:rFonts w:ascii="Times New Roman" w:cs="Times New Roman" w:eastAsia="Times New Roman" w:hAnsi="Times New Roman"/>
          <w:sz w:val="20"/>
          <w:szCs w:val="20"/>
          <w:color w:val="auto"/>
        </w:rPr>
        <w:t xml:space="preserve">”)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that is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shall be reduced accordingly and (2) to the extent the holders of the Other Applicable Indebtedness decline to have such Indebtedness prepaid or repurchased, the declined amount shall promptly (and in any event within 10 Business Days after the date of such rejection) be applied to prepay the Subject Loans in accordance with the terms hereof and any other relevant Other Applicable Indebtedness with a corresponding requirement on a pro rata basis (determined in a manner consistent with that set forth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it being understood and agreed that if any Term Lender or holder of such Other Applicable Indebtedness declines any prepayment contemplated by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above, the Borrower shall not be required to subsequently offer the amount of the relevant declined prepayment to any Term Lender or any holder of Other Applicable Indebtedness.</w:t>
      </w:r>
    </w:p>
    <w:p>
      <w:pPr>
        <w:spacing w:after="0" w:line="187"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except to the extent the relevant Indebtedness constitutes (A) Refinancing Indebtedness (including Replacement Debt) incurred to refinance all or a portion of any Class of Term Loans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(B) Incremental Loans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refinance all or a portion of any Class of Term Loans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(C) Replacement Term Loans incurred to refinance all or any portion of any Class of Term Loans in accordance with the requirements of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 xml:space="preserve"> and/or (D) Incremental Equivalent Debt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refinance all or a portion of the Loans in accordance with the requirements of the definition thereof, in each case to the extent required by the terms thereof to prepay or offer to prepay such Indebtedness), the Borrower shall, promptly upon (and in any event not later than two Business Days thereafter) the receipt of such Net Proceeds by the Borrower or its applicable Restricted Subsidiary, apply (or cause to be applied) an amount equal to 100% of such Net Proceeds to prepay the outstanding principal amount of the relevant Class or Classes of Term Loans in accordance with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2" w:name="page123"/>
    <w:bookmarkEnd w:id="122"/>
    <w:p>
      <w:pPr>
        <w:ind w:left="780" w:hanging="395"/>
        <w:spacing w:after="0"/>
        <w:tabs>
          <w:tab w:leader="none" w:pos="7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to the contrary:</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55" w:lineRule="auto"/>
        <w:tabs>
          <w:tab w:leader="none" w:pos="1524"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be required to prepay (or cause to be prepaid) any amount that would otherwise be required to be paid pursuant to </w:t>
      </w:r>
      <w:r>
        <w:rPr>
          <w:rFonts w:ascii="Times New Roman" w:cs="Times New Roman" w:eastAsia="Times New Roman" w:hAnsi="Times New Roman"/>
          <w:sz w:val="19"/>
          <w:szCs w:val="19"/>
          <w:u w:val="single" w:color="auto"/>
          <w:color w:val="auto"/>
        </w:rPr>
        <w:t>Section 2.11(b)(ii)</w:t>
      </w:r>
      <w:r>
        <w:rPr>
          <w:rFonts w:ascii="Times New Roman" w:cs="Times New Roman" w:eastAsia="Times New Roman" w:hAnsi="Times New Roman"/>
          <w:sz w:val="19"/>
          <w:szCs w:val="19"/>
          <w:color w:val="auto"/>
        </w:rPr>
        <w:t xml:space="preserve"> above to the extent that the relevant Prepayment Asset Sale is consummated by any Foreign Subsidiary or any Domestic Subsidiary of any Foreign Subsidiary (any such Person, a “</w:t>
      </w:r>
      <w:r>
        <w:rPr>
          <w:rFonts w:ascii="Times New Roman" w:cs="Times New Roman" w:eastAsia="Times New Roman" w:hAnsi="Times New Roman"/>
          <w:sz w:val="19"/>
          <w:szCs w:val="19"/>
          <w:u w:val="single" w:color="auto"/>
          <w:color w:val="auto"/>
        </w:rPr>
        <w:t>Specified Subsidiary</w:t>
      </w:r>
      <w:r>
        <w:rPr>
          <w:rFonts w:ascii="Times New Roman" w:cs="Times New Roman" w:eastAsia="Times New Roman" w:hAnsi="Times New Roman"/>
          <w:sz w:val="19"/>
          <w:szCs w:val="19"/>
          <w:color w:val="auto"/>
        </w:rPr>
        <w:t>”) or the relevant Net Insurance/Condemnation Proceeds are received by any Specified Subsidiary, as the case may be, for so long as the repatriation and/or other transfer to the Borrower of any such amount at the time such prepayment would otherwise be required to be made would be, in the good faith determination of the Borrower, prohibited, restricted or delayed under any Requirement of Law (including for the avoidance of doubt, any Requirement of Law relating to financial assistance, corporate benefit, thin capitalization, capital maintenance and similar legal principles, restrictions on “upstreaming” and/or “cross-streaming” of Cash intra-group and Requirements of Law relating to the fiduciary and/or statutory duties of the directors (or equivalent Persons) of the Borrower and/or any of its Restricted Subsidiaries) or would conflict with the fiduciary and/or statutory duties of such Specified Subsidiary’s directors (or equivalent Persons), or result in, or could reasonably be expected to result in, a material risk of personal or criminal liability for any officer, director, employee, manager, member of management or consultant of such Specified Subsidiary;</w:t>
      </w:r>
    </w:p>
    <w:p>
      <w:pPr>
        <w:spacing w:after="0" w:line="181" w:lineRule="exact"/>
        <w:rPr>
          <w:rFonts w:ascii="Times New Roman" w:cs="Times New Roman" w:eastAsia="Times New Roman" w:hAnsi="Times New Roman"/>
          <w:sz w:val="19"/>
          <w:szCs w:val="19"/>
          <w:color w:val="auto"/>
        </w:rPr>
      </w:pPr>
    </w:p>
    <w:p>
      <w:pPr>
        <w:jc w:val="both"/>
        <w:ind w:left="380" w:firstLine="754"/>
        <w:spacing w:after="0" w:line="245" w:lineRule="auto"/>
        <w:tabs>
          <w:tab w:leader="none" w:pos="152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be required to prepay (or cause to be prepaid) any amount that would otherwise be required to be paid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to the extent that the relevant Subject Proceeds are received by any joint venture, in each case, for so long as the distribution and/or other transfer to the Borrower of such Subject Proceeds would, in the good faith determination of the Borrower, be prohibited at the time such prepayment would otherwise be required to be made under the Organizational Documents (or any relevant shareholders’ or similar agreement) governing such joint venture;</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be required to prepay any amount that would otherwise be required to be paid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to the extent that the relevant Subject Proceeds are received by any Foreign Subsidiary that is not a Loan Party, in each case, for so long as the Borrower determines in good faith that the distribution to the Borrower of such Subject Proceeds would be prohibited at the time such prepayment would otherwise be required to be made under an agreement permitted pursuant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by which such Foreign Subsidiary is bound governing any Indebtedness; and</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determines in good faith that the repatriation (or other intercompany distribution or transfer) to the Borrower, directly or indirectly, from a Specified Subsidiary as a distribution or dividend (or other intercompany transfer) of any amount required to mandatorily prepay the Term Loans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above would reasonably be expected to result in a material and adverse Tax liability (including any withholding Tax) being incurred by Holdings, the Borrower, any Parent Company and/or any Restricted Subsidiary (such amount, a “</w:t>
      </w:r>
      <w:r>
        <w:rPr>
          <w:rFonts w:ascii="Times New Roman" w:cs="Times New Roman" w:eastAsia="Times New Roman" w:hAnsi="Times New Roman"/>
          <w:sz w:val="20"/>
          <w:szCs w:val="20"/>
          <w:u w:val="single" w:color="auto"/>
          <w:color w:val="auto"/>
        </w:rPr>
        <w:t>Restricted Amount</w:t>
      </w:r>
      <w:r>
        <w:rPr>
          <w:rFonts w:ascii="Times New Roman" w:cs="Times New Roman" w:eastAsia="Times New Roman" w:hAnsi="Times New Roman"/>
          <w:sz w:val="20"/>
          <w:szCs w:val="20"/>
          <w:color w:val="auto"/>
        </w:rPr>
        <w:t xml:space="preserve">”), the amount that the Borrower shall be required to mandatorily prepay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above, as applicable, shall be reduced by the Restricted Amount;</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Lender may elect, by notice to the Administrative Agent at or prior to the time and in the manner specified by the Administrative Agent, prior to any prepayment of Term Loans required to be made by the Borrower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2.11(b)</w:t>
      </w:r>
      <w:r>
        <w:rPr>
          <w:rFonts w:ascii="Times New Roman" w:cs="Times New Roman" w:eastAsia="Times New Roman" w:hAnsi="Times New Roman"/>
          <w:sz w:val="20"/>
          <w:szCs w:val="20"/>
          <w:color w:val="auto"/>
        </w:rPr>
        <w:t>, to decline all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3" w:name="page124"/>
    <w:bookmarkEnd w:id="123"/>
    <w:p>
      <w:pPr>
        <w:jc w:val="both"/>
        <w:spacing w:after="0" w:line="242" w:lineRule="auto"/>
        <w:rPr>
          <w:sz w:val="20"/>
          <w:szCs w:val="20"/>
          <w:color w:val="auto"/>
        </w:rPr>
      </w:pPr>
      <w:r>
        <w:rPr>
          <w:rFonts w:ascii="Times New Roman" w:cs="Times New Roman" w:eastAsia="Times New Roman" w:hAnsi="Times New Roman"/>
          <w:sz w:val="20"/>
          <w:szCs w:val="20"/>
          <w:color w:val="auto"/>
        </w:rPr>
        <w:t>a portion) of its Applicable Percentage of such prepayment (such declined amounts, the “</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no Lender may reject any prepayment made under </w:t>
      </w:r>
      <w:r>
        <w:rPr>
          <w:rFonts w:ascii="Times New Roman" w:cs="Times New Roman" w:eastAsia="Times New Roman" w:hAnsi="Times New Roman"/>
          <w:sz w:val="20"/>
          <w:szCs w:val="20"/>
          <w:u w:val="single" w:color="auto"/>
          <w:color w:val="auto"/>
        </w:rPr>
        <w:t>Section 2.11(b)(iii)</w:t>
      </w:r>
      <w:r>
        <w:rPr>
          <w:rFonts w:ascii="Times New Roman" w:cs="Times New Roman" w:eastAsia="Times New Roman" w:hAnsi="Times New Roman"/>
          <w:sz w:val="20"/>
          <w:szCs w:val="20"/>
          <w:color w:val="auto"/>
        </w:rPr>
        <w:t xml:space="preserve"> above to the extent that such prepayment is made with the Net Proceeds of (1) Refinancing Indebtedness (including Replacement Debt) incurred to refinance all or a portion of the Term Loans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(2) Incremental Loans incurred to refinance all or a portion of the Term Loans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(3) Replacement Term Loans incurred to refinance all or any portion of the Term Loans in accordance with the requirements of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 xml:space="preserve"> and/or (4)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92" w:lineRule="exact"/>
        <w:rPr>
          <w:sz w:val="20"/>
          <w:szCs w:val="20"/>
          <w:color w:val="auto"/>
        </w:rPr>
      </w:pPr>
    </w:p>
    <w:p>
      <w:pPr>
        <w:jc w:val="both"/>
        <w:ind w:firstLine="745"/>
        <w:spacing w:after="0"/>
        <w:tabs>
          <w:tab w:leader="none" w:pos="114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contemplated by this Agreement or provided in, or intended with respect to, any Refinancing Amendment, any Incremental Facility Amendment, any Extension Amendment or any Replacement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Refinancing Amendment, Incremental Facility Amendment or Extension Amendment may not provide that the applicable Class of Term Loans receive a greater than pro rata portion of any prepayment of Term Loans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than would otherwise be permitted by this Agreement), in each case effectuated or issued in a manner consistent with this Agreement, each prepayment of Term Loans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allocated to prepay any Class of Term Loans as directed by the Borrower or, in the absence of such direction, ratably to each Class of Term Loans then outstanding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Initial Term Loans in right of payment and with respect to security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prepayment of Term Loans with the Net Proceeds of any Incremental Term Facility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extend the Maturity Date of all or any portion of any Class of Term Loans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Incremental Equivalent Debt incurred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Cap” to extend the Maturity Date of all or any portion of any Class of Term Loans and/or any Replacement Term Loan shall be applied to the applicable Class of Term Loans being extended, refinanced or replaced, as applicable). With respect to each relevant Class of Term Loans, any accepted prepayment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applied against the remaining scheduled installments of principal due in respect of such Class of Term Loans as directed by the Borrower (or, in the absence of direction from the Borrower, to the remaining scheduled amortization payments in respect of the Term Loans of such Class in direct order of maturity), and each such prepayment shall be paid to the Term Lenders in accordance with their respective Applicable Percentage of the applicable Class. If no Lender exercises the right to decline a prepayment of the Term Loans pursuant to </w:t>
      </w:r>
      <w:r>
        <w:rPr>
          <w:rFonts w:ascii="Times New Roman" w:cs="Times New Roman" w:eastAsia="Times New Roman" w:hAnsi="Times New Roman"/>
          <w:sz w:val="20"/>
          <w:szCs w:val="20"/>
          <w:u w:val="single" w:color="auto"/>
          <w:color w:val="auto"/>
        </w:rPr>
        <w:t>Section 2.11(b)(v)</w:t>
      </w:r>
      <w:r>
        <w:rPr>
          <w:rFonts w:ascii="Times New Roman" w:cs="Times New Roman" w:eastAsia="Times New Roman" w:hAnsi="Times New Roman"/>
          <w:sz w:val="20"/>
          <w:szCs w:val="20"/>
          <w:color w:val="auto"/>
        </w:rPr>
        <w:t xml:space="preserve">, the amount of such mandatory prepayment shall be applied first to the then outstanding Term Loans of the relevant Class that are ABR Loans to the full extent thereof and then to the then outstanding Term Loans of such Class that are Term SOFR Loans in a manner that minimizes the amount of any payment required to be made by the Borrower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event that on any Revaluation Date (after giving effect to the determination of the Outstanding Amount of each Revolving Loan, Swingline Loan and/or LC Obligation) the aggregate Revolving Credit Exposure of any Class exceeds the Total Revolving Credit Commitment of such Class then in effect, the Borrower shall, within five Business Days of receipt of notice from the Administrative Agent, prepay the Revolving Loans or Swingline Loans and/or reduce LC Exposure (in each case, taking the Dollar Equivalent of any amount denominated in an Alternate Currency), in an aggregate amount sufficient to reduce such aggregate Revolving Credit Exposure as of the date of such payment to an amount not to exceed 100% of the Revolving Credit Commitment of such Class then in effect by taking any of the following actions as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4" w:name="page125"/>
    <w:bookmarkEnd w:id="124"/>
    <w:p>
      <w:pPr>
        <w:ind w:left="760"/>
        <w:spacing w:after="0" w:line="269" w:lineRule="auto"/>
        <w:rPr>
          <w:sz w:val="20"/>
          <w:szCs w:val="20"/>
          <w:color w:val="auto"/>
        </w:rPr>
      </w:pPr>
      <w:r>
        <w:rPr>
          <w:rFonts w:ascii="Times New Roman" w:cs="Times New Roman" w:eastAsia="Times New Roman" w:hAnsi="Times New Roman"/>
          <w:sz w:val="20"/>
          <w:szCs w:val="20"/>
          <w:color w:val="auto"/>
        </w:rPr>
        <w:t xml:space="preserve">determine at its sole discretion: (I) prepayment of Revolving Loans and/or Swingline Loans in accordance with </w:t>
      </w:r>
      <w:r>
        <w:rPr>
          <w:rFonts w:ascii="Times New Roman" w:cs="Times New Roman" w:eastAsia="Times New Roman" w:hAnsi="Times New Roman"/>
          <w:sz w:val="20"/>
          <w:szCs w:val="20"/>
          <w:u w:val="single" w:color="auto"/>
          <w:color w:val="auto"/>
        </w:rPr>
        <w:t>Section 2.11(a)(ii)</w:t>
      </w:r>
      <w:r>
        <w:rPr>
          <w:rFonts w:ascii="Times New Roman" w:cs="Times New Roman" w:eastAsia="Times New Roman" w:hAnsi="Times New Roman"/>
          <w:sz w:val="20"/>
          <w:szCs w:val="20"/>
          <w:color w:val="auto"/>
        </w:rPr>
        <w:t xml:space="preserve"> and/or (II) with respect to any excess LC Exposure, provide Letter of Credit Support with respect thereto.</w:t>
      </w:r>
    </w:p>
    <w:p>
      <w:pPr>
        <w:spacing w:after="0" w:line="159" w:lineRule="exact"/>
        <w:rPr>
          <w:sz w:val="20"/>
          <w:szCs w:val="20"/>
          <w:color w:val="auto"/>
        </w:rPr>
      </w:pPr>
    </w:p>
    <w:p>
      <w:pPr>
        <w:ind w:left="1500" w:right="20" w:firstLine="754"/>
        <w:spacing w:after="0" w:line="269" w:lineRule="auto"/>
        <w:tabs>
          <w:tab w:leader="none" w:pos="264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of any Revolving Loan Borrowing under this </w:t>
      </w:r>
      <w:r>
        <w:rPr>
          <w:rFonts w:ascii="Times New Roman" w:cs="Times New Roman" w:eastAsia="Times New Roman" w:hAnsi="Times New Roman"/>
          <w:sz w:val="20"/>
          <w:szCs w:val="20"/>
          <w:u w:val="single" w:color="auto"/>
          <w:color w:val="auto"/>
        </w:rPr>
        <w:t>Section 2.11(b)(vii)</w:t>
      </w:r>
      <w:r>
        <w:rPr>
          <w:rFonts w:ascii="Times New Roman" w:cs="Times New Roman" w:eastAsia="Times New Roman" w:hAnsi="Times New Roman"/>
          <w:sz w:val="20"/>
          <w:szCs w:val="20"/>
          <w:color w:val="auto"/>
        </w:rPr>
        <w:t xml:space="preserve"> shall be paid to the Revolving Lenders in accordance with their respective Applicable Percentages of the applicable Class.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Prepayments made under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(A) accompanied by accrued interest as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(which may, at the election of the Borrower, be netted in the calculation of the applicable prepayment amount (and in the event such election is made, the amount of the applicable prepayment of principal and the amount of such accrued interest shall be determined by the Borrower in good faith in consultation with the Administrative Agent)) and (B)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2.12.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3244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4485"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6" w:lineRule="auto"/>
        <w:tabs>
          <w:tab w:leader="none" w:pos="114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average daily amount of the unused Revolving Credit Commitment of such Class of such Revolving Lender during the period from and including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auto"/>
        </w:rPr>
        <w:t xml:space="preserve"> Date to the date on which such Lender’s Revolving Credit Commitment of such Class terminates. Accrued Commitment fees shall be payable in arrears on each Scheduled Payment Date for the quarterly period then most recently ended (or, in the case of the first such payment made after the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No. 2 effective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Date, for the period from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Closing</w:t>
      </w:r>
      <w:r>
        <w:rPr>
          <w:rFonts w:ascii="Times New Roman" w:cs="Times New Roman" w:eastAsia="Times New Roman" w:hAnsi="Times New Roman"/>
          <w:sz w:val="19"/>
          <w:szCs w:val="19"/>
          <w:u w:val="single" w:color="auto"/>
          <w:color w:val="0000FF"/>
        </w:rPr>
        <w:t>Amendment No. 2 Effective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Date to such date), and on the date on which the Revolving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Credit Commitments of the applicable Class terminate. For purposes of calculating the commitment fee payable pursuant to this </w:t>
      </w:r>
      <w:r>
        <w:rPr>
          <w:rFonts w:ascii="Times New Roman" w:cs="Times New Roman" w:eastAsia="Times New Roman" w:hAnsi="Times New Roman"/>
          <w:sz w:val="19"/>
          <w:szCs w:val="19"/>
          <w:u w:val="single" w:color="auto"/>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2.12(a)</w:t>
      </w:r>
      <w:r>
        <w:rPr>
          <w:rFonts w:ascii="Times New Roman" w:cs="Times New Roman" w:eastAsia="Times New Roman" w:hAnsi="Times New Roman"/>
          <w:sz w:val="19"/>
          <w:szCs w:val="19"/>
          <w:color w:val="000000"/>
        </w:rPr>
        <w:t>, the Revolving Credit Commitment of any Class shall be deemed to have been used to the extent of the outstanding principal amount of the Revolving Loans of such Class and the LC Exposure attributable to the Revolving Credit Commitment of such Class, but no portion of the Revolving Credit Commitment of any Class shall be deemed to have been used as a result of any outstanding Swingline Loan.</w:t>
      </w:r>
    </w:p>
    <w:p>
      <w:pPr>
        <w:spacing w:after="0" w:line="177" w:lineRule="exact"/>
        <w:rPr>
          <w:rFonts w:ascii="Times New Roman" w:cs="Times New Roman" w:eastAsia="Times New Roman" w:hAnsi="Times New Roman"/>
          <w:sz w:val="19"/>
          <w:szCs w:val="19"/>
          <w:color w:val="auto"/>
        </w:rPr>
      </w:pPr>
    </w:p>
    <w:p>
      <w:pPr>
        <w:jc w:val="both"/>
        <w:ind w:firstLine="757"/>
        <w:spacing w:after="0" w:line="241" w:lineRule="auto"/>
        <w:tabs>
          <w:tab w:leader="none" w:pos="114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of any Class, a participation fee with respect to its participation in any outstanding Letter of Credit that is not subject to Letter of Credit Support, which shall accrue at the Applicable Rate used to determine the interest rate applicable to Revolving Loans of such Class that are Term SOFR Loans on the daily portion of such Lender’s LC Exposure that is attributable to its Revolving Credit Commitment of such Class (excluding any portion thereof that is attributable to any unreimbursed LC Disbursement), during the period from and including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to the earlier of (A) the later of the date on which such Revolving Lender’s Revolving Credit Commitment of such Class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terminates and the date on which such Revolving Lender ceases to have any LC Exposure attributable to its Revolving Credit Commitment of such Class and (B) the Termination Date, and (ii) to each Issuing Bank, for its own account, a fronting fee, in respect of each Letter of Credit that is not subject to Letter of Credit Support issued by such Issuing Bank for the period from the date of issuance of such Letter of Credit to the earliest of (A) the expiration date of such Letter of Credit, (B) the date on which such Letter of Credit terminates, (C) the Termination Date, computed at a rate agreed by such Issuing Bank and the Borrower (but in any event not to exceed 0.125% per annum) of the daily available amount of such Letter of Credit, as well as such Issuing Bank’s standard fees with respect to the issuance, amendment, renewal or extension of any Letter of Credit or the processing of any drawing thereunder. Participation fees and fronting fees shall accrue to but excluding each Scheduled Payment Date and be payable in arrears for the quarterly period then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recently ended (or, in the case of the payment made on the first such date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for the period from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to such date) on each Scheduled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such fees shall be payable on the date on which the Revolving Credit Commitments of the applicable Class terminate, and any such fees accruing after the date on which the Revolving Credit Commitments of the applicable Class terminate and prior to the Termination Date shall be payable on demand. Any other fee payable to any Issuing Bank pursuant to this paragraph shall be payable within 30 days after receipt of a written demand (accompanied by reasonable back-up documentation) therefor.</w:t>
      </w:r>
    </w:p>
    <w:p>
      <w:pPr>
        <w:spacing w:after="0" w:line="184" w:lineRule="exact"/>
        <w:rPr>
          <w:sz w:val="20"/>
          <w:szCs w:val="20"/>
          <w:color w:val="auto"/>
        </w:rPr>
      </w:pPr>
    </w:p>
    <w:p>
      <w:pPr>
        <w:ind w:left="1160" w:hanging="403"/>
        <w:spacing w:after="0"/>
        <w:tabs>
          <w:tab w:leader="none" w:pos="1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the annual administration fee described in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 Letter.</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 due, in Dollars and in immediately available funds, to the Administrative Agent (or to the applicable Issuing Bank, in the case of fees payable to any Issuing Bank). Fees paid shall not be refundable under any circumstance except as otherwise provided in the Fee Letter. Fees payable hereunder shall accrue through and including the last day of the month immediately preceding the applicable fee payment date.</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2.13.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4705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96" w:lineRule="exact"/>
        <w:rPr>
          <w:sz w:val="20"/>
          <w:szCs w:val="20"/>
          <w:color w:val="auto"/>
        </w:rPr>
      </w:pPr>
    </w:p>
    <w:p>
      <w:pPr>
        <w:ind w:firstLine="757"/>
        <w:spacing w:after="0" w:line="269"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Loans, the Revolving Loans and the Swing Loans, in each case, comprising each ABR Borrowing shall bear interest at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Loans and the Revolving Loans, in each case, comprising each Term SOFR Borrowing shall bear interest at Term SOFR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but in all cases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if any principal of or interest on any Term Loan, Revolving Loan or Swingline Loan, any LC Disbursement or other amount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Swingline Loan or unreimbursed LC Disbursement,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Term Loan, Revolving Loan, Swingline Loan or LC Disbursement as provided in the preceding paragraphs of this Section or (ii) in the case of any fee and other amounts,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Revolving Loans that are ABR Loans as provided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accrue pursuant to this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on any overdue amount, reimbursement obligation in respect of any LC Disbursement or other amount that is payable to any Defaulting Lender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ind w:firstLine="757"/>
        <w:spacing w:after="0" w:line="258" w:lineRule="auto"/>
        <w:tabs>
          <w:tab w:leader="none" w:pos="1145"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Accrued interest on each Term Loan, Revolving Loan and Swingline Loan shall be payable in arrears on each Interest Payment Date for such Term Loan, Revolving Loan or Swingline Loan and (i) on the Maturity Date applicable to such Loan, (ii) in the case of a Revolving Loan of any Class, upon termination of the Revolving Credit Commitments of such Class and (iii) in the case of any Swingline Loan, upon termination of all of the Revolving Credit Commitments,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interest accrued pursuant to </w:t>
      </w:r>
      <w:r>
        <w:rPr>
          <w:rFonts w:ascii="Times New Roman" w:cs="Times New Roman" w:eastAsia="Times New Roman" w:hAnsi="Times New Roman"/>
          <w:sz w:val="19"/>
          <w:szCs w:val="19"/>
          <w:u w:val="single" w:color="auto"/>
          <w:color w:val="auto"/>
        </w:rPr>
        <w:t>paragraph</w:t>
      </w:r>
    </w:p>
    <w:p>
      <w:pPr>
        <w:jc w:val="both"/>
        <w:ind w:firstLine="8"/>
        <w:spacing w:after="0" w:line="241" w:lineRule="auto"/>
        <w:tabs>
          <w:tab w:leader="none" w:pos="312" w:val="left"/>
        </w:tabs>
        <w:numPr>
          <w:ilvl w:val="0"/>
          <w:numId w:val="1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payable on demand, (B) except as provided in </w:t>
      </w:r>
      <w:r>
        <w:rPr>
          <w:rFonts w:ascii="Times New Roman" w:cs="Times New Roman" w:eastAsia="Times New Roman" w:hAnsi="Times New Roman"/>
          <w:sz w:val="20"/>
          <w:szCs w:val="20"/>
          <w:u w:val="single" w:color="auto"/>
          <w:color w:val="auto"/>
        </w:rPr>
        <w:t>Section 2.11(b)(viii)</w:t>
      </w:r>
      <w:r>
        <w:rPr>
          <w:rFonts w:ascii="Times New Roman" w:cs="Times New Roman" w:eastAsia="Times New Roman" w:hAnsi="Times New Roman"/>
          <w:sz w:val="20"/>
          <w:szCs w:val="20"/>
          <w:color w:val="auto"/>
        </w:rPr>
        <w:t>, in the event of any repayment or prepayment of any Term Loan, Revolving Loan (other than an ABR Revolving Loan of any Class prior to the termination of the Revolving Credit Commitments of such Class) or Swingline Loan, accrued interest on the principal amount repaid or prepaid shall be payable on the date of such repayment or prepayment and (C) in the event of any conversion of any Term SOFR Loan prior to the end of the current Interest Period therefor, accrued interest on such Term Loan or Revolving Loan shall be payable on the effective date of such conversion.</w:t>
      </w:r>
    </w:p>
    <w:p>
      <w:pPr>
        <w:spacing w:after="0" w:line="186" w:lineRule="exact"/>
        <w:rPr>
          <w:rFonts w:ascii="Times New Roman" w:cs="Times New Roman" w:eastAsia="Times New Roman" w:hAnsi="Times New Roman"/>
          <w:sz w:val="20"/>
          <w:szCs w:val="20"/>
          <w:u w:val="single" w:color="auto"/>
          <w:color w:val="auto"/>
        </w:rPr>
      </w:pPr>
    </w:p>
    <w:p>
      <w:pPr>
        <w:jc w:val="both"/>
        <w:ind w:firstLine="757"/>
        <w:spacing w:after="0" w:line="244" w:lineRule="auto"/>
        <w:tabs>
          <w:tab w:leader="none" w:pos="114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interest hereunder shall be computed on the basis of a year of 360 days, except that interest computed by reference to the Alternate Base Rate </w:t>
      </w:r>
      <w:r>
        <w:rPr>
          <w:rFonts w:ascii="Times New Roman" w:cs="Times New Roman" w:eastAsia="Times New Roman" w:hAnsi="Times New Roman"/>
          <w:sz w:val="20"/>
          <w:szCs w:val="20"/>
          <w:color w:val="FF0000"/>
          <w:strike w:val="1"/>
        </w:rPr>
        <w:t>at times when the Alternate Base Rate is based on the Prime Rate</w:t>
      </w:r>
      <w:r>
        <w:rPr>
          <w:rFonts w:ascii="Times New Roman" w:cs="Times New Roman" w:eastAsia="Times New Roman" w:hAnsi="Times New Roman"/>
          <w:sz w:val="20"/>
          <w:szCs w:val="20"/>
          <w:color w:val="auto"/>
        </w:rPr>
        <w:t xml:space="preserv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bear interest for one day.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2.14.  Inability to Determine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5208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spacing w:after="0" w:line="19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If in connection with any request for a Term SOFR Loan or a conversion of ABR Loans to Term SOFR Loans or a continuation of any of such Loans, as applicable:</w:t>
      </w:r>
    </w:p>
    <w:p>
      <w:pPr>
        <w:spacing w:after="0" w:line="51" w:lineRule="exact"/>
        <w:rPr>
          <w:sz w:val="20"/>
          <w:szCs w:val="20"/>
          <w:color w:val="auto"/>
        </w:rPr>
      </w:pPr>
    </w:p>
    <w:p>
      <w:pPr>
        <w:jc w:val="both"/>
        <w:ind w:right="20" w:firstLine="757"/>
        <w:spacing w:after="0" w:line="249" w:lineRule="auto"/>
        <w:tabs>
          <w:tab w:leader="none" w:pos="114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the circumstances under </w:t>
      </w:r>
      <w:r>
        <w:rPr>
          <w:rFonts w:ascii="Times New Roman" w:cs="Times New Roman" w:eastAsia="Times New Roman" w:hAnsi="Times New Roman"/>
          <w:sz w:val="20"/>
          <w:szCs w:val="20"/>
          <w:u w:val="single" w:color="auto"/>
          <w:color w:val="auto"/>
        </w:rPr>
        <w:t>Section 1.13(a)</w:t>
      </w:r>
      <w:r>
        <w:rPr>
          <w:rFonts w:ascii="Times New Roman" w:cs="Times New Roman" w:eastAsia="Times New Roman" w:hAnsi="Times New Roman"/>
          <w:sz w:val="20"/>
          <w:szCs w:val="20"/>
          <w:color w:val="auto"/>
        </w:rPr>
        <w:t xml:space="preserve"> or the Scheduled Unavailability Date has occurred, or (B) adequate and reasonable means do not exist for determining Term SOFR for any requested Interest Period with respect to a proposed Term SOFR Loan or in connection with an existing or proposed ABR Loan; or</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7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 SOFR component of the ABR, the utilization of the Term SOFR component in determining the ABR shall be suspended, in each case until the Administrative Agent (or, in the case of a determination by the Required Lenders described in clause (b) above, until the Administrative Agent upon instruction of the Required Lenders) revokes such notice.</w:t>
      </w:r>
    </w:p>
    <w:p>
      <w:pPr>
        <w:spacing w:after="0" w:line="7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ABR Loans in the amount specified therein and (ii) any outstanding Term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shall be deemed to have been converted to ABR Loans immediately at the end of their respective applicable Interest Period.</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2.15.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8858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96" w:lineRule="exact"/>
        <w:rPr>
          <w:sz w:val="20"/>
          <w:szCs w:val="20"/>
          <w:color w:val="auto"/>
        </w:rPr>
      </w:pPr>
    </w:p>
    <w:p>
      <w:pPr>
        <w:ind w:left="1160" w:hanging="403"/>
        <w:spacing w:after="0"/>
        <w:tabs>
          <w:tab w:leader="none" w:pos="11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imposes, modifies or deems applicable any reserve, special deposit or similar requirement against assets of, deposits with or for the account of, or credit extended by, any Lender or Issuing Bank;</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subjects any Lender or Issuing Bank to any Taxes (other than (A) Indemnified Taxes and Other Taxes indemnifiable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and (B) Excluded Taxes) on or with respect to its loans, letters of credit, commitments, or other obligations, or its deposits, reserves, other liabilities or capital attributable thereto; or</w:t>
      </w:r>
    </w:p>
    <w:p>
      <w:pPr>
        <w:spacing w:after="0" w:line="174" w:lineRule="exact"/>
        <w:rPr>
          <w:rFonts w:ascii="Times New Roman" w:cs="Times New Roman" w:eastAsia="Times New Roman" w:hAnsi="Times New Roman"/>
          <w:sz w:val="20"/>
          <w:szCs w:val="20"/>
          <w:color w:val="auto"/>
        </w:rPr>
      </w:pPr>
    </w:p>
    <w:p>
      <w:pPr>
        <w:ind w:left="760" w:firstLine="745"/>
        <w:spacing w:after="0" w:line="295" w:lineRule="auto"/>
        <w:tabs>
          <w:tab w:leader="none" w:pos="1904"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imposes on any Lender or Issuing Bank or the relevant benchmark market any other condition, cost or expense (other than Taxes) affecting this Agreement or Term SOFR Loans made by any Lender or any Letter of Credit or participation therein;</w:t>
      </w:r>
    </w:p>
    <w:p>
      <w:pPr>
        <w:spacing w:after="0" w:line="13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and the result of any of the foregoing is to increase the cost to the relevant Lender of making or maintaining any Term SOFR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Term SOFR Loan or Letter of Credit in an amount deemed by such Lender or Issuing Bank to be material, then, within 30 days after the Borrower’s receipt of the certificate contemplated by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the Borrower will pay (or cause to be paid) to such Lender or Issuing Bank, as applicable, such additional amount or amounts as will compensate such Lender or Issuing Bank, as applicable, for such additional costs incurred or reduction suffered;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liable for such compensation if (x) the relevant Change in Law occurs on a date prior to the date such Lender becomes a party hereto, (y) such Lender invokes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(z) in the case of requests for reimbursement under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82" w:lineRule="exact"/>
        <w:rPr>
          <w:sz w:val="20"/>
          <w:szCs w:val="20"/>
          <w:color w:val="auto"/>
        </w:rPr>
      </w:pPr>
    </w:p>
    <w:p>
      <w:pPr>
        <w:jc w:val="both"/>
        <w:ind w:firstLine="757"/>
        <w:spacing w:after="0" w:line="243" w:lineRule="auto"/>
        <w:tabs>
          <w:tab w:leader="none" w:pos="11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Issuing Bank’s policies and the policies of such Lender’s or such Issuing Bank’s holding company with respect to liquidity or capital adequacy), then within 30 days of receipt by the Borrower of the certificate contemplated by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Borrower will pay (or cause to be paid) to such Lender or such Issuing Bank, as applicable, such additional amount or amounts as will compensate such Lender or such Issuing Bank or such Lender’s or such Issuing Bank’s holding company for any such reduction suffered.</w:t>
      </w:r>
    </w:p>
    <w:p>
      <w:pPr>
        <w:spacing w:after="0" w:line="185"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or Issuing Bank requesting compensation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required to deliver a certificate to the Borrower that (i) sets forth the amount or amounts necessary to compensate such Lender or Issuing Bank or the holding company thereof, as applicable,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(ii) sets forth, in reasonable detail, the manner in which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269" w:lineRule="auto"/>
        <w:rPr>
          <w:sz w:val="20"/>
          <w:szCs w:val="20"/>
          <w:color w:val="auto"/>
        </w:rPr>
      </w:pPr>
      <w:r>
        <w:rPr>
          <w:rFonts w:ascii="Times New Roman" w:cs="Times New Roman" w:eastAsia="Times New Roman" w:hAnsi="Times New Roman"/>
          <w:sz w:val="20"/>
          <w:szCs w:val="20"/>
          <w:color w:val="auto"/>
        </w:rPr>
        <w:t>or amounts were determined and (iii) certifies that such Lender or Issuing Bank is generally charging such amounts to similarly situated borrowers, which certificate shall be conclusive absent manifest error.</w:t>
      </w:r>
    </w:p>
    <w:p>
      <w:pPr>
        <w:spacing w:after="0" w:line="159" w:lineRule="exact"/>
        <w:rPr>
          <w:sz w:val="20"/>
          <w:szCs w:val="20"/>
          <w:color w:val="auto"/>
        </w:rPr>
      </w:pPr>
    </w:p>
    <w:p>
      <w:pPr>
        <w:jc w:val="both"/>
        <w:ind w:firstLine="757"/>
        <w:spacing w:after="0" w:line="244"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not be required to compensate any Lender or an Issuing Bank pursuant to this Section for any increased costs or reductions incurred more than six months prior to the date that such Lender or Issuing Bank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six month period referred to above shall be extended to include the period of retroactive effect thereof.</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2.16. Break Funding Payments .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in the event of (a) the conversion or prepayment of any principal of any Term SOFR Loan other than on the last day of an Interest Period applicable thereto (whether voluntary, mandatory, automatic, by reason of acceleration or otherwise), (b) the failure to borrow, convert, continue or prepay any Term SOFR Loan on the date or in the amount specified in any notice delivered pursuant hereto or (c) the assignment of any Term SOFR Loan of any Lender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then, in any such event, the Borrower shall compensate each Lender for the actual amount of any actual out-of-pocket loss, expense and/or liability (including any actual out-of-pocket loss, expense or liability incurred by reason of the liquidation or reemployment of deposits or other funds required by such Lender to fund or maintain Term SOFR loans, but excluding loss of anticipated profit) that such Lender has incurred or sustained as a result of such event. Any Lender requesting compensation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be required to deliver a certificate to the Borrower that (A) sets forth any amount or amounts that such Lender is entitled to receive pursuant to this Section,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-1771015</wp:posOffset>
            </wp:positionV>
            <wp:extent cx="1424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2.17.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3854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3" w:lineRule="auto"/>
        <w:tabs>
          <w:tab w:leader="none" w:pos="11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payment by or on account of any obligation of any Loan Party under any Loan Document shall be made without deduction or withholding for any Taxes, except as required by applicable Law. If any applicable Law (as determined in the good faith of the applicable withholding agent) requires the deduction or withholding of any Tax from any such payment, then (i) if such Tax is an Indemnified Tax and/or Other Tax, the amount payable by the applicable Loan Party shall be increased as necessary so that after such deduction or withholding has been made (including such deductions or withholdings applicable to additional sums payable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be entitled to make such withholding or deductions and (iii) the applicable withholding agent shall timely pay the full amount withheld or deducted to the relevant Governmental Authority in accordance with applicable Requirements of Law.</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In addition, the Loan Parties shall pay any Other Taxes to the relevant Governmental Authority in accordance with applicable Requirements of Law or at the option of the Administrative Agent timely reimburse it for the payment of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757"/>
        <w:spacing w:after="0" w:line="241" w:lineRule="auto"/>
        <w:tabs>
          <w:tab w:leader="none" w:pos="115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xml:space="preserve">.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other than any penalties determined by a final and non-appealable judgment of a court of competent jurisdiction (or documented in any settlement agreement) to have resulted from the gross negligence, bad faith or willful misconduct of the Administrative Agent or such Lender, and, in each case, any reasonable expenses arising therefrom or with respect thereto, whether or not such Taxes were correctly or legally imposed or asserted;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 </w:t>
      </w:r>
      <w:r>
        <w:rPr>
          <w:rFonts w:ascii="Times New Roman" w:cs="Times New Roman" w:eastAsia="Times New Roman" w:hAnsi="Times New Roman"/>
          <w:sz w:val="20"/>
          <w:szCs w:val="20"/>
          <w:u w:val="single" w:color="auto"/>
          <w:color w:val="auto"/>
        </w:rPr>
        <w:t>Section 2.17(g)</w:t>
      </w:r>
      <w:r>
        <w:rPr>
          <w:rFonts w:ascii="Times New Roman" w:cs="Times New Roman" w:eastAsia="Times New Roman" w:hAnsi="Times New Roman"/>
          <w:sz w:val="20"/>
          <w:szCs w:val="20"/>
          <w:color w:val="auto"/>
        </w:rPr>
        <w:t xml:space="preserve">)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no Borrower shall be required to indemnify the Administrative Agent or any Lender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w:t>
      </w:r>
    </w:p>
    <w:p>
      <w:pPr>
        <w:spacing w:after="0" w:line="19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any Taxes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any withholding Tax with respect to any payment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Times New Roman" w:cs="Times New Roman" w:eastAsia="Times New Roman" w:hAnsi="Times New Roman"/>
          <w:sz w:val="19"/>
          <w:szCs w:val="19"/>
          <w:u w:val="single" w:color="auto"/>
          <w:color w:val="auto"/>
        </w:rPr>
        <w:t>Section 2.17(f)</w:t>
      </w:r>
      <w:r>
        <w:rPr>
          <w:rFonts w:ascii="Times New Roman" w:cs="Times New Roman" w:eastAsia="Times New Roman" w:hAnsi="Times New Roman"/>
          <w:sz w:val="19"/>
          <w:szCs w:val="19"/>
          <w:color w:val="auto"/>
        </w:rPr>
        <w:t xml:space="preserve">.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paragraphs (f)(ii)(A)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shall not be required if in the Lender’s reasonable judgment such completion, execution or submission would subject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color w:val="auto"/>
        </w:rPr>
        <w:t>Lender to any material unreimbursed cost or expense or would materially prejudice the legal or commercial position of such Lender.</w:t>
      </w:r>
    </w:p>
    <w:p>
      <w:pPr>
        <w:sectPr>
          <w:pgSz w:w="11900" w:h="16838" w:orient="portrait"/>
          <w:cols w:equalWidth="0" w:num="1">
            <w:col w:w="10480"/>
          </w:cols>
          <w:pgMar w:left="1080" w:top="1413" w:right="339" w:bottom="1440" w:gutter="0" w:footer="0" w:header="0"/>
        </w:sectPr>
      </w:pPr>
    </w:p>
    <w:p>
      <w:pPr>
        <w:spacing w:after="0" w:line="227" w:lineRule="exact"/>
        <w:rPr>
          <w:sz w:val="20"/>
          <w:szCs w:val="20"/>
          <w:color w:val="auto"/>
        </w:rPr>
      </w:pPr>
    </w:p>
    <w:p>
      <w:pPr>
        <w:ind w:left="1140" w:hanging="395"/>
        <w:spacing w:after="0"/>
        <w:tabs>
          <w:tab w:leader="none" w:pos="11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US Person shall deliver to the Borrower and the Administrative Agent on or prior to the date on which it becomes a Lender under this Agreement (and from time to time thereafter upon the reasonable request of the Borrower or the Administrative Agent), two executed copies of IRS Form W-9 certifying that such Lender is exempt from US federal backup withholding;</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20"/>
          <w:szCs w:val="20"/>
          <w:color w:val="auto"/>
        </w:rPr>
      </w:pPr>
    </w:p>
    <w:p>
      <w:pPr>
        <w:jc w:val="both"/>
        <w:ind w:left="1500" w:firstLine="743"/>
        <w:spacing w:after="0" w:line="254" w:lineRule="auto"/>
        <w:tabs>
          <w:tab w:leader="none" w:pos="2644"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Lender claiming the benefits of an income tax treaty to which the US is a party, two executed copies of IRS Form W-8BEN or W-8BEN-E, as applicable, establishing any available exemption from, or reduction of, US federal withholding Tax;</w:t>
      </w:r>
    </w:p>
    <w:p>
      <w:pPr>
        <w:spacing w:after="0" w:line="174" w:lineRule="exact"/>
        <w:rPr>
          <w:rFonts w:ascii="Times New Roman" w:cs="Times New Roman" w:eastAsia="Times New Roman" w:hAnsi="Times New Roman"/>
          <w:sz w:val="20"/>
          <w:szCs w:val="20"/>
          <w:color w:val="auto"/>
        </w:rPr>
      </w:pPr>
    </w:p>
    <w:p>
      <w:pPr>
        <w:ind w:left="2640" w:hanging="397"/>
        <w:spacing w:after="0"/>
        <w:tabs>
          <w:tab w:leader="none" w:pos="2640"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executed copies of IRS Form W-8ECI (or any successor forms);</w:t>
      </w:r>
    </w:p>
    <w:p>
      <w:pPr>
        <w:spacing w:after="0" w:line="215" w:lineRule="exact"/>
        <w:rPr>
          <w:rFonts w:ascii="Times New Roman" w:cs="Times New Roman" w:eastAsia="Times New Roman" w:hAnsi="Times New Roman"/>
          <w:sz w:val="20"/>
          <w:szCs w:val="20"/>
          <w:color w:val="auto"/>
        </w:rPr>
      </w:pPr>
    </w:p>
    <w:p>
      <w:pPr>
        <w:jc w:val="both"/>
        <w:ind w:left="1500" w:firstLine="743"/>
        <w:spacing w:after="0" w:line="243" w:lineRule="auto"/>
        <w:tabs>
          <w:tab w:leader="none" w:pos="2644"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Foreign Lender claiming the benefits of the exemption for portfolio interest under Section 871(h) or 881(c) of the Code, (x) two executed copies of a certificate substantially in the form of </w:t>
      </w:r>
      <w:r>
        <w:rPr>
          <w:rFonts w:ascii="Times New Roman" w:cs="Times New Roman" w:eastAsia="Times New Roman" w:hAnsi="Times New Roman"/>
          <w:sz w:val="20"/>
          <w:szCs w:val="20"/>
          <w:u w:val="single" w:color="auto"/>
          <w:color w:val="auto"/>
        </w:rPr>
        <w:t>Exhibit O-1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w:t>
      </w:r>
      <w:r>
        <w:rPr>
          <w:rFonts w:ascii="Times New Roman" w:cs="Times New Roman" w:eastAsia="Times New Roman" w:hAnsi="Times New Roman"/>
          <w:sz w:val="20"/>
          <w:szCs w:val="20"/>
          <w:u w:val="single" w:color="auto"/>
          <w:color w:val="auto"/>
        </w:rPr>
        <w:t>Tax Compliance Certificate</w:t>
      </w:r>
      <w:r>
        <w:rPr>
          <w:rFonts w:ascii="Times New Roman" w:cs="Times New Roman" w:eastAsia="Times New Roman" w:hAnsi="Times New Roman"/>
          <w:sz w:val="20"/>
          <w:szCs w:val="20"/>
          <w:color w:val="auto"/>
        </w:rPr>
        <w:t>”) and (y) two executed copies of IRS Form W-8BEN or W-8BEN-E, as applicable (or any successor forms); or</w:t>
      </w:r>
    </w:p>
    <w:p>
      <w:pPr>
        <w:spacing w:after="0" w:line="185" w:lineRule="exact"/>
        <w:rPr>
          <w:rFonts w:ascii="Times New Roman" w:cs="Times New Roman" w:eastAsia="Times New Roman" w:hAnsi="Times New Roman"/>
          <w:sz w:val="20"/>
          <w:szCs w:val="20"/>
          <w:color w:val="auto"/>
        </w:rPr>
      </w:pPr>
    </w:p>
    <w:p>
      <w:pPr>
        <w:jc w:val="both"/>
        <w:ind w:left="1500" w:firstLine="743"/>
        <w:spacing w:after="0" w:line="244" w:lineRule="auto"/>
        <w:tabs>
          <w:tab w:leader="none" w:pos="2644"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Foreign Lender is not the beneficial owner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where the Foreign Lender is a partnership or participating Lender), two executed copies of IRS Form W-8IMY (or any successor forms), accompanied by IRS Form W-8ECI, IRS Form W-8BEN or W-8BEN-E, a Tax Compliance Certificate substantially in the form of </w:t>
      </w:r>
      <w:r>
        <w:rPr>
          <w:rFonts w:ascii="Times New Roman" w:cs="Times New Roman" w:eastAsia="Times New Roman" w:hAnsi="Times New Roman"/>
          <w:sz w:val="20"/>
          <w:szCs w:val="20"/>
          <w:u w:val="single" w:color="auto"/>
          <w:color w:val="auto"/>
        </w:rPr>
        <w:t>Exhibit O-2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O-4</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w:t>
      </w:r>
      <w:r>
        <w:rPr>
          <w:rFonts w:ascii="Times New Roman" w:cs="Times New Roman" w:eastAsia="Times New Roman" w:hAnsi="Times New Roman"/>
          <w:sz w:val="20"/>
          <w:szCs w:val="20"/>
          <w:u w:val="single" w:color="auto"/>
          <w:color w:val="auto"/>
        </w:rPr>
        <w:t>Exhibit O-3</w:t>
      </w:r>
      <w:r>
        <w:rPr>
          <w:rFonts w:ascii="Times New Roman" w:cs="Times New Roman" w:eastAsia="Times New Roman" w:hAnsi="Times New Roman"/>
          <w:sz w:val="20"/>
          <w:szCs w:val="20"/>
          <w:color w:val="auto"/>
        </w:rPr>
        <w:t xml:space="preserve"> on behalf of each such direct or indirect partner(s);</w:t>
      </w:r>
    </w:p>
    <w:p>
      <w:pPr>
        <w:spacing w:after="0" w:line="185" w:lineRule="exact"/>
        <w:rPr>
          <w:rFonts w:ascii="Times New Roman" w:cs="Times New Roman" w:eastAsia="Times New Roman" w:hAnsi="Times New Roman"/>
          <w:sz w:val="20"/>
          <w:szCs w:val="20"/>
          <w:color w:val="auto"/>
        </w:rPr>
      </w:pPr>
    </w:p>
    <w:p>
      <w:pPr>
        <w:ind w:left="740" w:right="40" w:firstLine="754"/>
        <w:spacing w:after="0" w:line="269" w:lineRule="auto"/>
        <w:tabs>
          <w:tab w:leader="none" w:pos="18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shall, to the extent it is legally entitled to do so, deliver to the Borrower and the Administrative Agent on or prior to the date on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type w:val="continuous"/>
        </w:sectPr>
      </w:pPr>
    </w:p>
    <w:bookmarkStart w:id="131" w:name="page132"/>
    <w:bookmarkEnd w:id="131"/>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Foreign Lender becomes a Lender under this Agreement (and from time to time thereafter upon the reasonable request of the Borrower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85" w:lineRule="exact"/>
        <w:rPr>
          <w:sz w:val="20"/>
          <w:szCs w:val="20"/>
          <w:color w:val="auto"/>
        </w:rPr>
      </w:pPr>
    </w:p>
    <w:p>
      <w:pPr>
        <w:jc w:val="both"/>
        <w:ind w:left="1500" w:firstLine="754"/>
        <w:spacing w:after="0" w:line="242" w:lineRule="auto"/>
        <w:tabs>
          <w:tab w:leader="none" w:pos="26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2"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9"/>
          <w:szCs w:val="19"/>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3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Each Lender agrees that if any documentation it previously delivered expires or becomes obsolete or inaccurate in any respect (including any specific documentation required above in this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72" w:lineRule="exact"/>
        <w:rPr>
          <w:sz w:val="20"/>
          <w:szCs w:val="20"/>
          <w:color w:val="auto"/>
        </w:rPr>
      </w:pPr>
    </w:p>
    <w:p>
      <w:pPr>
        <w:jc w:val="both"/>
        <w:ind w:firstLine="757"/>
        <w:spacing w:after="0" w:line="255" w:lineRule="auto"/>
        <w:tabs>
          <w:tab w:leader="none" w:pos="114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the Administrative Agent or any Lender determines, in its sole discretion, that it has received a refund (whether received in cash or applied as a credit against any cash taxes payable) of any Indemnified Taxes or Other Taxes as to which it has been indemnified by the Borrower or with respect to which any Loan Party has paid additional amounts pursuant to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it shall pay over such refund to the applicable Loan Party (but only to the extent of indemnity payments made, or additional amounts paid, by such Loan Party under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applicable Loan Party, upon the request of the Administrative Agent or such Lender, agrees to repay the amount paid over to such Loan Party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in no event will the Administrative Agent or any Lender be required to pay any amount to the applicable Loan Party pursuant to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in no event will the Administrative Agent or any Lender be required to pay any amount to the Borrower pursuant to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rise to such refund had never been paid.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not be construed to require the Administrative Agent or any Lender to make available its Tax returns (or any other information relating to its Taxes which it deems confidential) to the relevant Loan Party or any other Person.</w:t>
      </w:r>
    </w:p>
    <w:p>
      <w:pPr>
        <w:spacing w:after="0" w:line="174" w:lineRule="exact"/>
        <w:rPr>
          <w:sz w:val="20"/>
          <w:szCs w:val="20"/>
          <w:color w:val="auto"/>
        </w:rPr>
      </w:pPr>
    </w:p>
    <w:p>
      <w:pPr>
        <w:jc w:val="both"/>
        <w:ind w:firstLine="757"/>
        <w:spacing w:after="0" w:line="254"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“Lender”</w:t>
      </w:r>
      <w:r>
        <w:rPr>
          <w:rFonts w:ascii="Times New Roman" w:cs="Times New Roman" w:eastAsia="Times New Roman" w:hAnsi="Times New Roman"/>
          <w:sz w:val="20"/>
          <w:szCs w:val="20"/>
          <w:color w:val="auto"/>
        </w:rPr>
        <w:t xml:space="preserve">. For the avoidance of doubt, the term “Lender” shall, for all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include any Issuing Bank and the Swingline Lender.</w:t>
      </w:r>
    </w:p>
    <w:p>
      <w:pPr>
        <w:spacing w:after="0" w:line="15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5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Documentation</w:t>
      </w:r>
      <w:r>
        <w:rPr>
          <w:rFonts w:ascii="Times New Roman" w:cs="Times New Roman" w:eastAsia="Times New Roman" w:hAnsi="Times New Roman"/>
          <w:sz w:val="20"/>
          <w:szCs w:val="20"/>
          <w:color w:val="auto"/>
        </w:rPr>
        <w:t xml:space="preserve">. On or before the date on which the Administrative Agent becomes a party to this Agreement, the Administrative Agent shall deliver to the Borrower whichever of the following is applicable: (i) if the Administrative Agent is a US Person, two executed copies of IRS Form W-9 certifying that such Administrative Agent is exempt from US federal backup withholding or (ii) if the Administrative Agent is not a US Person, (A) with respect to payments received for its own account, two executed copies of IRS Form W-8ECI or W-8BEN-E, as applicable and (ii) with respect to payments received on account of any Lender, two executed copies of IRS Form W-8IMY (together with all required accompanying documentation) certifying that the Administrative Agent is either a US branch and may be treated as a US person for purposes of applicable US federal withholding Tax or a qualified intermediary.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Times New Roman" w:cs="Times New Roman" w:eastAsia="Times New Roman" w:hAnsi="Times New Roman"/>
          <w:sz w:val="20"/>
          <w:szCs w:val="20"/>
          <w:u w:val="single" w:color="auto"/>
          <w:color w:val="auto"/>
        </w:rPr>
        <w:t>Section 2.17(j)</w:t>
      </w:r>
      <w:r>
        <w:rPr>
          <w:rFonts w:ascii="Times New Roman" w:cs="Times New Roman" w:eastAsia="Times New Roman" w:hAnsi="Times New Roman"/>
          <w:sz w:val="20"/>
          <w:szCs w:val="20"/>
          <w:color w:val="auto"/>
        </w:rPr>
        <w:t>, the Administrative Agent shall not be required to provide any documentation that the Administrative Agent is not legally eligible to deliver as a result of a Change in Law after the Closing Date.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2.18.  Payments Generally; Allocation of Proceeds; Sharing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34404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40430"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5" w:lineRule="auto"/>
        <w:tabs>
          <w:tab w:leader="none" w:pos="1145"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specified, the Borrower shall make each payment required to be made by it hereunder (whether of principal, interest or fees, reimbursements of LC Disbursements, or of amounts payable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or otherwise) prior to 3:00 p.m. on the date when due. Each such payment shall be made in immediately available funds (or such other form of consideration as the relevant recipient may agree), without set-off or counterclaim. Any amount received after such time on any date may, in the discretion of the Administrative Agent, be deemed to have been received on the next succeeding Business Day for purposes of calculating interest thereon. Each such payment shall be made to the Administrative Agent to the applicable account designated by the Administrative Agent to the Borrower, except that payments pursuant to </w:t>
      </w:r>
      <w:r>
        <w:rPr>
          <w:rFonts w:ascii="Times New Roman" w:cs="Times New Roman" w:eastAsia="Times New Roman" w:hAnsi="Times New Roman"/>
          <w:sz w:val="19"/>
          <w:szCs w:val="19"/>
          <w:u w:val="single" w:color="auto"/>
          <w:color w:val="auto"/>
        </w:rPr>
        <w:t>Sections 2.12(b)(ii)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Times New Roman" w:cs="Times New Roman" w:eastAsia="Times New Roman" w:hAnsi="Times New Roman"/>
          <w:sz w:val="19"/>
          <w:szCs w:val="19"/>
          <w:u w:val="single" w:color="auto"/>
          <w:color w:val="auto"/>
        </w:rPr>
        <w:t>Sections 2.19(b)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9.02(c)</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9.05</w:t>
      </w:r>
      <w:r>
        <w:rPr>
          <w:rFonts w:ascii="Times New Roman" w:cs="Times New Roman" w:eastAsia="Times New Roman" w:hAnsi="Times New Roman"/>
          <w:sz w:val="19"/>
          <w:szCs w:val="19"/>
          <w:color w:val="auto"/>
        </w:rPr>
        <w:t xml:space="preserve"> and/or any other express provision of this Agreement,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the relevant Alternate Currency, as applicable (or such other form of consideration as the relevant recipient may agree). Any payment required to be made by the Administrative Agent hereunder shall be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54" w:lineRule="auto"/>
        <w:rPr>
          <w:sz w:val="20"/>
          <w:szCs w:val="20"/>
          <w:color w:val="auto"/>
        </w:rPr>
      </w:pPr>
      <w:r>
        <w:rPr>
          <w:rFonts w:ascii="Times New Roman" w:cs="Times New Roman" w:eastAsia="Times New Roman" w:hAnsi="Times New Roman"/>
          <w:sz w:val="20"/>
          <w:szCs w:val="20"/>
          <w:color w:val="auto"/>
        </w:rPr>
        <w:t>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74" w:lineRule="exact"/>
        <w:rPr>
          <w:sz w:val="20"/>
          <w:szCs w:val="20"/>
          <w:color w:val="auto"/>
        </w:rPr>
      </w:pPr>
    </w:p>
    <w:p>
      <w:pPr>
        <w:jc w:val="both"/>
        <w:ind w:firstLine="757"/>
        <w:spacing w:after="0" w:line="254"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in all respects to the provisions of any applicable Intercreditor Agreement, all proceeds of Collateral received by the Administrative Agent while an Event of Default exists and all or any portion of the Loans have been accelerated hereunder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shall be applied: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166" w:lineRule="exact"/>
        <w:rPr>
          <w:rFonts w:ascii="Times New Roman" w:cs="Times New Roman" w:eastAsia="Times New Roman" w:hAnsi="Times New Roman"/>
          <w:sz w:val="19"/>
          <w:szCs w:val="19"/>
          <w:color w:val="auto"/>
        </w:rPr>
      </w:pPr>
    </w:p>
    <w:p>
      <w:pPr>
        <w:jc w:val="both"/>
        <w:ind w:left="760" w:right="20" w:firstLine="745"/>
        <w:spacing w:after="0" w:line="254" w:lineRule="auto"/>
        <w:tabs>
          <w:tab w:leader="none" w:pos="190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on a pro rata basis, to pay any fees, indemnities or expense reimbursements constituting Secured Obligations then due to the Administrative Agent (other than those covered in clause first above) or to the Swingline Lender or any Issuing Bank from the Borrower,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45"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on such date, to be held in the LC Collateral Account as Cash collateral for such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Letter of Credit expires undrawn, then any Cash collateral held to secure the related LC Exposure shall be applied in accordance with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beginning with clause first above,</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as provided in any applicable Intercreditor Agreement,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or at the direction of, the Borrower or as a court of competent jurisdiction may otherwise direct.</w:t>
      </w:r>
    </w:p>
    <w:p>
      <w:pPr>
        <w:spacing w:after="0" w:line="215"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obtains payment (whether voluntary, involuntary, through the exercise of any right of set-off or otherwise) in respect of any principal of or interest on any Loan of any Class or any participation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 is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the Borrower pursuant to and in accordance with the express terms of this Agreement or (B) any payment obtained by any Lender as consideration for the assignment of 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of a participation in any Loan to any permitted assignee or participant, including any payment made or deemed made in connection with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and will, in each case, notify the Lenders following any such purchase or repayment. Each Lender that purchases a participation pursuant to this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92" w:lineRule="exact"/>
        <w:rPr>
          <w:sz w:val="20"/>
          <w:szCs w:val="20"/>
          <w:color w:val="auto"/>
        </w:rPr>
      </w:pPr>
    </w:p>
    <w:p>
      <w:pPr>
        <w:jc w:val="both"/>
        <w:ind w:firstLine="757"/>
        <w:spacing w:after="0" w:line="243"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has received written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(or caused such payment to be made),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any payment required to be made by it pursuant to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2.18(d)</w:t>
      </w:r>
      <w:r>
        <w:rPr>
          <w:rFonts w:ascii="Times New Roman" w:cs="Times New Roman" w:eastAsia="Times New Roman" w:hAnsi="Times New Roman"/>
          <w:sz w:val="20"/>
          <w:szCs w:val="20"/>
          <w:color w:val="auto"/>
        </w:rPr>
        <w:t>,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2.19.  Mitigation Obligations; Replacement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5368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3" w:lineRule="auto"/>
        <w:tabs>
          <w:tab w:leader="none" w:pos="11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determines it can no longer make or maintain Term SOFR Loans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any Loan Party is required to pay any additional amount to or indemnify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as applicable, in the future or mitigate the impact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determines it can no longer make or maintain Term SOFR Loans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(ii) any Loan Party is required to pay any additional amount to or indemnify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(iii) any Lender is a Defaulting Lender or (iv) in connection with any proposed amendment, waiver or consent requiring the consent of “each Lender”, “each Revolving Lender” 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rPr>
          <w:sz w:val="20"/>
          <w:szCs w:val="20"/>
          <w:color w:val="auto"/>
        </w:rPr>
      </w:pPr>
      <w:r>
        <w:rPr>
          <w:rFonts w:ascii="Times New Roman" w:cs="Times New Roman" w:eastAsia="Times New Roman" w:hAnsi="Times New Roman"/>
          <w:sz w:val="20"/>
          <w:szCs w:val="20"/>
          <w:color w:val="auto"/>
        </w:rPr>
        <w:t>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and/or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all of its interests, rights and obligations under this Agreement to an Eligible Assignee that assumes such obligations (which Eligible Assignee may be another Lender, if any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 has received payment of an amount equal to the outstanding principal amount of its Loans and, if applicable, participations in LC Disbursements or Swingline Loans,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any payment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such assignment would result in a reduction in such compensation or payment and (C) 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it shall execute and deliver to the Administrative Agent an Assignment Agreement to evidence such sale and purchase and shall deliver to the Administrative Agent any Promissory Note (if the assigning Lender’s Loans are evidenced by one or more Promissory Notes) subject to such Assignment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replaced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2.20. Illegality .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Term SOFR or such other benchmark with respect to Revolving Loans denominated in any Alternate Currency, or to determine or charge interest rates based upon Term SOFR or such other benchmark, or any Governmental Authority has imposed material restrictions on the authority of such Lender to purchase or sell, or to take deposits of Dollars or any Alternate Currency in the applicable interbank market, then, on notice thereof by such Lender to the Borrower through the Administrative Agent, (i) any obligation of such Lender to make or continue Term SOFR Loans or to convert ABR Loans to Term SOFR Loans shall be suspended and (ii) if such notice asserts the illegality of such Lender making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-1047750</wp:posOffset>
            </wp:positionV>
            <wp:extent cx="5734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3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maintaining ABR Loans the interest rate on which is determined by reference to Term SOFR component of the Alternate Base Rate, the interest rate on which ABR Loans of such Lender, shall, if necessary to avoid such illegality, be determined by the Administrative Agent without reference to Term SOFR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at its election, prepay or (I) if applicable and such Loans are denominated in Dollars, convert all of such Lender’s Term SOFR Loans to ABR Loans (the interest rate on which ABR Loans of such Lender shall, if necessary to avoid such illegality, be determined by the Administrative Agent without reference to Term SOFR component of the Alternate Base Rate) or (II) if applicable and such Loans are denominated in any Alternate Currency, convert such Loans to Loans bearing interest at an alternative rate mutually acceptable to the Borrower and such Lender, in each case, either on the last day of the Interest Period therefor, if such Lender may lawfully continue to maintain such Term SOFR Loans (or Loans by reference to the benchmark with respect to such Alternate Currency) until such day, or immediately, if such Lender may not lawfully continue to maintain such Term SOFR Loans (or Loans by reference to the benchmark with respect to such Alternate Currency) (in which case the Borrower shall not be required to make payments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in connection with such payment); and (y) if such notice asserts the illegality of such Lender determining or charging interest rates based upon Term SOFR, the Administrative Agent shall during the period of such suspension compute the Alternate Base Rate applicable to such Lender without reference to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200" w:lineRule="exact"/>
        <w:rPr>
          <w:sz w:val="20"/>
          <w:szCs w:val="20"/>
          <w:color w:val="auto"/>
        </w:rPr>
      </w:pPr>
    </w:p>
    <w:p>
      <w:pPr>
        <w:spacing w:after="0" w:line="215" w:lineRule="exact"/>
        <w:rPr>
          <w:sz w:val="20"/>
          <w:szCs w:val="20"/>
          <w:color w:val="auto"/>
        </w:rPr>
      </w:pPr>
    </w:p>
    <w:p>
      <w:pPr>
        <w:ind w:left="760"/>
        <w:spacing w:after="0"/>
        <w:tabs>
          <w:tab w:leader="none" w:pos="3720" w:val="left"/>
        </w:tabs>
        <w:rPr>
          <w:sz w:val="20"/>
          <w:szCs w:val="20"/>
          <w:color w:val="auto"/>
        </w:rPr>
      </w:pPr>
      <w:r>
        <w:rPr>
          <w:rFonts w:ascii="Times New Roman" w:cs="Times New Roman" w:eastAsia="Times New Roman" w:hAnsi="Times New Roman"/>
          <w:sz w:val="20"/>
          <w:szCs w:val="20"/>
          <w:color w:val="auto"/>
        </w:rPr>
        <w:t>Section 2.21.  Defaulting Lenders .</w:t>
        <w:tab/>
        <w:t>Notwithstanding any provision of this Agreement to the contrary, if any Person becomes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-10795</wp:posOffset>
            </wp:positionV>
            <wp:extent cx="1101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Person is a Defaulting Lender:</w:t>
      </w:r>
    </w:p>
    <w:p>
      <w:pPr>
        <w:spacing w:after="0" w:line="194" w:lineRule="exact"/>
        <w:rPr>
          <w:sz w:val="20"/>
          <w:szCs w:val="20"/>
          <w:color w:val="auto"/>
        </w:rPr>
      </w:pPr>
    </w:p>
    <w:p>
      <w:pPr>
        <w:jc w:val="both"/>
        <w:ind w:firstLine="757"/>
        <w:spacing w:after="0" w:line="254"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Fees shall cease to accrue on the unfunded portion of any Commitment of such Defaulting Lender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clause (d)(iv)</w:t>
      </w:r>
      <w:r>
        <w:rPr>
          <w:rFonts w:ascii="Times New Roman" w:cs="Times New Roman" w:eastAsia="Times New Roman" w:hAnsi="Times New Roman"/>
          <w:sz w:val="20"/>
          <w:szCs w:val="20"/>
          <w:color w:val="auto"/>
        </w:rPr>
        <w:t xml:space="preserve"> below, on the participation of such Defaulting Lender in Letters of Credit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and pursuant to any other provision of this Agreement or any other Loan Document.</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requiring the consent of all Lenders or each affected Lender which (i) increases the Commitment of such Defaulting Lender hereunder, (ii) reduces the principal amount of any amount owing to such Defaulting Lender or (iii) affects such Defaulting Lender disproportionately and adversely relative to other affected Lenders shall require the consent of such Defaulting Lender.</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any Defaulting Lender (whether voluntary or mandatory, at maturity,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or otherwise, and including any amount made available to the Administrative Agent by such Defaulting Lender pursuant to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shall be applied at such time or times as may be determined by the Administrative Agent and, where relevant, the Borrower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the payment of any amount owing by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 owing by such Defaulting Lender to any applicable Issuing Bank and/or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as the Administrative Agent or the Borrower may elect, to be held in a Deposit Account and released in order to satisfy obligations of such Defaulting Lender to fund Loans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 owing to the non-Defaulting Lenders, Issuing Banks or the Swingline Lender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to the payment of any amount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any amount owed by any Defaulting Lender or to post Cash collateral pursuant to this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9" w:lineRule="exact"/>
        <w:rPr>
          <w:sz w:val="20"/>
          <w:szCs w:val="20"/>
          <w:color w:val="auto"/>
        </w:rPr>
      </w:pPr>
    </w:p>
    <w:p>
      <w:pPr>
        <w:ind w:left="1160" w:hanging="403"/>
        <w:spacing w:after="0"/>
        <w:tabs>
          <w:tab w:leader="none" w:pos="11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any Lender becomes a Defaulting Lender then:</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Exposure and LC Exposure of such Defaulting Lender shall be reallocated among the non-Defaulting Lenders under the Revolving Facility (the “</w:t>
      </w:r>
      <w:r>
        <w:rPr>
          <w:rFonts w:ascii="Times New Roman" w:cs="Times New Roman" w:eastAsia="Times New Roman" w:hAnsi="Times New Roman"/>
          <w:sz w:val="20"/>
          <w:szCs w:val="20"/>
          <w:u w:val="single" w:color="auto"/>
          <w:color w:val="auto"/>
        </w:rPr>
        <w:t>Non-Defaulting Revolving Lenders</w:t>
      </w:r>
      <w:r>
        <w:rPr>
          <w:rFonts w:ascii="Times New Roman" w:cs="Times New Roman" w:eastAsia="Times New Roman" w:hAnsi="Times New Roman"/>
          <w:sz w:val="20"/>
          <w:szCs w:val="20"/>
          <w:color w:val="auto"/>
        </w:rPr>
        <w:t xml:space="preserve">”) in accordance with their respective Applicable Revolving Credit Percentages but only to the extent that (A) 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it being understood and agreed that, subject to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 no reallocation hereunder shall constitute a waiver or release of any claim of any party hereunder against any Defaulting Lender arising from such Lender’s having become a Defaulting Lender, including any claim of any Non-Defaulting Lender as a result of such Non-Defaulting Lender's increased exposure following such reallocation;</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 of such Defaulting Lender to fund any participation in any Swingline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and any Cash collateral provided by such Defaulting Lender or pursuant to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above) or make other arrangements reasonably satisfactory to the Administrative Agent and to the applicable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 xml:space="preserve">Bank and/or the Swingline Lender with respect to such LC Exposure and/or Swingline Exposure and any obligation to fund any participation therein.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(B) the Administrative Agent's good faith determination that there exists excess Cash collateral (including as a result of any subsequent reallocation of Swingline Exposure and/or LC Exposure among the non-Defaulting Lenders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6" w:lineRule="exact"/>
        <w:rPr>
          <w:sz w:val="20"/>
          <w:szCs w:val="20"/>
          <w:color w:val="auto"/>
        </w:rPr>
      </w:pPr>
    </w:p>
    <w:p>
      <w:pPr>
        <w:jc w:val="both"/>
        <w:ind w:left="760" w:firstLine="745"/>
        <w:spacing w:after="0" w:line="254" w:lineRule="auto"/>
        <w:tabs>
          <w:tab w:leader="none" w:pos="190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Exposure of the non-Defaulting Lenders is reallocated pursuant to this </w:t>
      </w:r>
      <w:r>
        <w:rPr>
          <w:rFonts w:ascii="Times New Roman" w:cs="Times New Roman" w:eastAsia="Times New Roman" w:hAnsi="Times New Roman"/>
          <w:sz w:val="20"/>
          <w:szCs w:val="20"/>
          <w:u w:val="single" w:color="auto"/>
          <w:color w:val="auto"/>
        </w:rPr>
        <w:t>Section 2.21(d)</w:t>
      </w:r>
      <w:r>
        <w:rPr>
          <w:rFonts w:ascii="Times New Roman" w:cs="Times New Roman" w:eastAsia="Times New Roman" w:hAnsi="Times New Roman"/>
          <w:sz w:val="20"/>
          <w:szCs w:val="20"/>
          <w:color w:val="auto"/>
        </w:rPr>
        <w:t xml:space="preserve">, then the fees payable to the applicable Lenders pursuant to </w:t>
      </w:r>
      <w:r>
        <w:rPr>
          <w:rFonts w:ascii="Times New Roman" w:cs="Times New Roman" w:eastAsia="Times New Roman" w:hAnsi="Times New Roman"/>
          <w:sz w:val="20"/>
          <w:szCs w:val="20"/>
          <w:u w:val="single" w:color="auto"/>
          <w:color w:val="auto"/>
        </w:rPr>
        <w:t>Sections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the case may be, shall be adjusted to give effect to such reallocation;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Defaulting Lender’s LC Exposure is not Cash collateralized, prepaid or reallocated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2.21(d)</w:t>
      </w:r>
      <w:r>
        <w:rPr>
          <w:rFonts w:ascii="Times New Roman" w:cs="Times New Roman" w:eastAsia="Times New Roman" w:hAnsi="Times New Roman"/>
          <w:sz w:val="20"/>
          <w:szCs w:val="20"/>
          <w:color w:val="auto"/>
        </w:rPr>
        <w:t xml:space="preserve">, then, without prejudice to any rights or remedies of the applicable Issuing Bank or any Revolving Lender hereunder, all letter of credit fees payable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shall be payable to the applicable Issuing Bank until such Defaulting Lender’s LC Exposure is Cash collateralized or reallocated.</w:t>
      </w:r>
    </w:p>
    <w:p>
      <w:pPr>
        <w:spacing w:after="0" w:line="17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Revolving Lender is a Defaulting Lender, the Swingline Lender shall not be required to fund any Swingline Loan, and no Issuing Bank shall be required to issue, extend, create, incur, amend or increase any Letter of Credit unless the relevant Issuing Banks, as applicable, are reasonably satisfied that the related exposure will be 100% covered by the Revolving Credit Commitments of the non-Defaulting Revolving Lenders, Cash collateral provided pursuant to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and/or Cash collateral provided in accordance with </w:t>
      </w:r>
      <w:r>
        <w:rPr>
          <w:rFonts w:ascii="Times New Roman" w:cs="Times New Roman" w:eastAsia="Times New Roman" w:hAnsi="Times New Roman"/>
          <w:sz w:val="20"/>
          <w:szCs w:val="20"/>
          <w:u w:val="single" w:color="auto"/>
          <w:color w:val="auto"/>
        </w:rPr>
        <w:t>Section 2.21(d)</w:t>
      </w:r>
      <w:r>
        <w:rPr>
          <w:rFonts w:ascii="Times New Roman" w:cs="Times New Roman" w:eastAsia="Times New Roman" w:hAnsi="Times New Roman"/>
          <w:sz w:val="20"/>
          <w:szCs w:val="20"/>
          <w:color w:val="auto"/>
        </w:rPr>
        <w:t xml:space="preserve">, and participating interest in any such newly issued, extended or created Letter of Credit or newly made Swingline Loan shall be allocated among Non-Defaulting Revolving Lenders in a manner consistent with </w:t>
      </w:r>
      <w:r>
        <w:rPr>
          <w:rFonts w:ascii="Times New Roman" w:cs="Times New Roman" w:eastAsia="Times New Roman" w:hAnsi="Times New Roman"/>
          <w:sz w:val="20"/>
          <w:szCs w:val="20"/>
          <w:u w:val="single" w:color="auto"/>
          <w:color w:val="auto"/>
        </w:rPr>
        <w:t>Section 2.21(d)(i)</w:t>
      </w:r>
      <w:r>
        <w:rPr>
          <w:rFonts w:ascii="Times New Roman" w:cs="Times New Roman" w:eastAsia="Times New Roman" w:hAnsi="Times New Roman"/>
          <w:sz w:val="20"/>
          <w:szCs w:val="20"/>
          <w:color w:val="auto"/>
        </w:rPr>
        <w:t xml:space="preserve"> (it being understood that Defaulting Lenders shall not participate therein).</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and the Borrower agree that any Defaulting Lender has adequately remedied all matters that caused such Person to be a Defaulting Lender, then the Applicable Revolving Credit Percentage of LC Exposure and the Swingline Exposure of the Revolving Lenders shall be readjusted to reflect the inclusion of such Person’s Revolving Credit Commitment, and on such date such Revolving Lender shall purchase at par such of the Revolving Loans of the applicable Class of the other Revolving Lenders (other than any Swingline Loan)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 (x) no adjustment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Person’s having been a Defaulting Lender.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2.22.  Incremental Credit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6224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196" w:lineRule="exact"/>
        <w:rPr>
          <w:sz w:val="20"/>
          <w:szCs w:val="20"/>
          <w:color w:val="auto"/>
        </w:rPr>
      </w:pPr>
    </w:p>
    <w:p>
      <w:pPr>
        <w:ind w:firstLine="757"/>
        <w:spacing w:after="0" w:line="269" w:lineRule="auto"/>
        <w:tabs>
          <w:tab w:leader="none" w:pos="11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on one or more occasions pursuant to an Incremental Facility Amendment (x) add one or more new Classes of term facilities and/or increase the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45" w:lineRule="auto"/>
        <w:rPr>
          <w:sz w:val="20"/>
          <w:szCs w:val="20"/>
          <w:color w:val="auto"/>
        </w:rPr>
      </w:pPr>
      <w:r>
        <w:rPr>
          <w:rFonts w:ascii="Times New Roman" w:cs="Times New Roman" w:eastAsia="Times New Roman" w:hAnsi="Times New Roman"/>
          <w:sz w:val="20"/>
          <w:szCs w:val="20"/>
          <w:color w:val="auto"/>
        </w:rPr>
        <w:t>of the Term Loans of any existing Class by requesting new commitments to provide such Term Loans (any such new Class or increase,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and any loan made pursuant to an Incremental Term Facility,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and/or (y) increase the aggregate amount of the Revolving Credit Commitments of any existing Class (any such increase, an “</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and, together with any Incremental Term Facility,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and the loans thereunder, “</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and any Incremental Revolving Loans, together with any Incremental Term Loans, the “</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in an aggregate outstanding principal amount not to exceed the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84" w:lineRule="exact"/>
        <w:rPr>
          <w:sz w:val="20"/>
          <w:szCs w:val="20"/>
          <w:color w:val="auto"/>
        </w:rPr>
      </w:pPr>
    </w:p>
    <w:p>
      <w:pPr>
        <w:ind w:left="760" w:right="40" w:firstLine="745"/>
        <w:spacing w:after="0" w:line="269" w:lineRule="auto"/>
        <w:tabs>
          <w:tab w:leader="none" w:pos="190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Incremental Commitment in respect of any Incremental Term Facility may be in an amount that is less than $5,000,000 (or such lesser amount to which the Administrative Agent may reasonably agree);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Borrower and any Lender may separately agree, no Lender shall be obligated to provide any Incremental Commitment, and the determination to provide any Incremental Commitment shall be within the sole and absolute discretion of such Lender (it being agreed that the Borrower shall not be obligated to offer the opportunity to any Lender to participate in any Incremental Facility);</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permitted herein (including with respect to currency, pricing (including any “MFN” or other pricing term), interest rate margins, rate floors, fees, premiums (including prepayment premiums), funding discounts, maturity and amortization):</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1" w:lineRule="auto"/>
        <w:tabs>
          <w:tab w:leader="none" w:pos="26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Incremental Term Facility, if not substantially consistent with those applicable to any then-existing Class of Term Loans, must be reasonably acceptable to the Administrative Agent; it being agreed that any terms applicable to such Incremental Term Facility that (1) are applicable only after the then-existing Latest Term Loan Maturity Date, (2) are, taken as a whole, in the good faith determination of the Borrower, not more favorable to the lenders or the agent of such Incremental Term Facility than those contained in the Loan Documents, (3) are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by conforming or adding a term to the then-outstanding Term Loans pursuant to the applicable Incremental Facility Amendment) and/or (4) taken as a whole, reflect then current market terms and conditions at the time of the incurrence or issuance of such Incremental Term Facility (as determined by the Borrower in good faith), shall, in each case, be deemed to be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 any Incremental Term Facility may be structured as a “delayed draw” facility with such conditions to borrowing thereunder as the Borrower and the relevant Incremental Lenders may agree; and</w:t>
      </w:r>
    </w:p>
    <w:p>
      <w:pPr>
        <w:spacing w:after="0" w:line="197"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Incremental Revolving Facility (for the avoidance of doubt, other than any arrangement, commitment, structuring, underwriting, ticking and/or amendment fee paid or to be paid in connection with the implementation of such Incremental Revolving Facility) shall be consistent with the terms of a then-existing Revolving Facility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3" w:firstLine="745"/>
        <w:spacing w:after="0" w:line="249" w:lineRule="auto"/>
        <w:tabs>
          <w:tab w:leader="none" w:pos="11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currency, pricing (including any “MFN” or other pricing term), interest rate margins, rate floors, fees, premiums (including any prepayment premium), funding discounts and, subject to </w:t>
      </w:r>
      <w:r>
        <w:rPr>
          <w:rFonts w:ascii="Times New Roman" w:cs="Times New Roman" w:eastAsia="Times New Roman" w:hAnsi="Times New Roman"/>
          <w:sz w:val="20"/>
          <w:szCs w:val="20"/>
          <w:u w:val="single" w:color="auto"/>
          <w:color w:val="auto"/>
        </w:rPr>
        <w:t>clauses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below, the maturity and amortization schedule applicable to any Incremental Facility shall be determined by the Borrower and the lender or lenders providing such Incremental Facility;</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any Incremental Term Facility consisting of Indebtedness in the form of Customary Bridge Loans, the final maturity date with respect to any Class of Incremental Term Loan shall be no earlier than the then-existing Latest Term Loan Maturity Date, it being understood and agreed for the avoidance of doubt that any undrawn commitment in respect of any Incremental Term Facility may terminate at such time as the Borrower and the lenders providing the relevant Incremental Term Facility may agree;</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any Incremental Term Facility consisting of Indebtedness in the form of Customary Bridge Loans, the Weighted Average Life to Maturity of any Incremental Term Facility shall be no shorter than the remaining Weighted Average Life to Maturity of any then-existing tranche of Term Loans (without giving effect to any prepayment thereof that would otherwise modify the Weighted Average Life to Maturity thereof);</w:t>
      </w:r>
    </w:p>
    <w:p>
      <w:pPr>
        <w:spacing w:after="0" w:line="179" w:lineRule="exact"/>
        <w:rPr>
          <w:rFonts w:ascii="Times New Roman" w:cs="Times New Roman" w:eastAsia="Times New Roman" w:hAnsi="Times New Roman"/>
          <w:sz w:val="20"/>
          <w:szCs w:val="20"/>
          <w:color w:val="auto"/>
        </w:rPr>
      </w:pPr>
    </w:p>
    <w:p>
      <w:pPr>
        <w:ind w:left="3" w:firstLine="745"/>
        <w:spacing w:after="0" w:line="269" w:lineRule="auto"/>
        <w:tabs>
          <w:tab w:leader="none" w:pos="154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above, any Incremental Term Facility may otherwise have an amortization schedule as determined by the Borrower and the lenders providing such Incremental Term Facility;</w:t>
      </w:r>
    </w:p>
    <w:p>
      <w:pPr>
        <w:spacing w:after="0" w:line="159" w:lineRule="exact"/>
        <w:rPr>
          <w:rFonts w:ascii="Times New Roman" w:cs="Times New Roman" w:eastAsia="Times New Roman" w:hAnsi="Times New Roman"/>
          <w:sz w:val="20"/>
          <w:szCs w:val="20"/>
          <w:color w:val="auto"/>
        </w:rPr>
      </w:pPr>
    </w:p>
    <w:p>
      <w:pPr>
        <w:ind w:left="3" w:firstLine="745"/>
        <w:spacing w:after="0" w:line="269" w:lineRule="auto"/>
        <w:tabs>
          <w:tab w:leader="none" w:pos="11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above, to the extent applicable, any fee payable in connection with any Incremental Facility shall be determined by the Borrower and the arrangers and/or lenders providing such Incremental Facility;</w:t>
      </w:r>
    </w:p>
    <w:p>
      <w:pPr>
        <w:spacing w:after="0" w:line="155" w:lineRule="exact"/>
        <w:rPr>
          <w:rFonts w:ascii="Times New Roman" w:cs="Times New Roman" w:eastAsia="Times New Roman" w:hAnsi="Times New Roman"/>
          <w:sz w:val="20"/>
          <w:szCs w:val="20"/>
          <w:color w:val="auto"/>
        </w:rPr>
      </w:pPr>
    </w:p>
    <w:p>
      <w:pPr>
        <w:jc w:val="both"/>
        <w:ind w:left="3" w:firstLine="745"/>
        <w:spacing w:after="0" w:line="261" w:lineRule="auto"/>
        <w:tabs>
          <w:tab w:leader="none" w:pos="1148"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any Incremental Term Facility may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or junior to any then-existing Class of Term Loans in right of payment and/or security or may be unsecured (and to the extent the relevant Incremental Facility is secured on a junior lien basis or subordinated in right of payment, it shall be subject to an Intercreditor Agreement) and (B) no Incremental Facility may be</w:t>
      </w:r>
    </w:p>
    <w:p>
      <w:pPr>
        <w:spacing w:after="0" w:line="1" w:lineRule="exact"/>
        <w:rPr>
          <w:rFonts w:ascii="Times New Roman" w:cs="Times New Roman" w:eastAsia="Times New Roman" w:hAnsi="Times New Roman"/>
          <w:sz w:val="19"/>
          <w:szCs w:val="19"/>
          <w:color w:val="auto"/>
        </w:rPr>
      </w:pPr>
    </w:p>
    <w:p>
      <w:pPr>
        <w:jc w:val="both"/>
        <w:ind w:left="3" w:hanging="3"/>
        <w:spacing w:after="0"/>
        <w:tabs>
          <w:tab w:leader="none" w:pos="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guaranteed by any subsidiary that is not a Loan Party (it being understood and agreed that the obligations of any subsidiary with respect to any escrow arrangement into which the proceeds of such Incremental Term Facility are deposited shall not constitute a guarantee by any subsidiary that is not a Loan Party) or (y) secured by any asset that does not constitute Collateral; it being understood that any Incremental Facility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91" w:lineRule="exact"/>
        <w:rPr>
          <w:rFonts w:ascii="Times New Roman" w:cs="Times New Roman" w:eastAsia="Times New Roman" w:hAnsi="Times New Roman"/>
          <w:sz w:val="20"/>
          <w:szCs w:val="20"/>
          <w:color w:val="auto"/>
        </w:rPr>
      </w:pPr>
    </w:p>
    <w:p>
      <w:pPr>
        <w:jc w:val="both"/>
        <w:ind w:left="3" w:right="20" w:firstLine="745"/>
        <w:spacing w:after="0" w:line="254" w:lineRule="auto"/>
        <w:tabs>
          <w:tab w:leader="none" w:pos="114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Term Facility may participate (A) in any voluntary prepayment of Term Loans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 in each case, to the extent provided in such Sections;</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effectiveness of any Incremental Facility permitted in reliance on the Fixed Incremental Amount shall be subject to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on a Pro Forma Basis as of the last day of the most recently ended Test Period prior to the incurrence of such Incremental Facility;</w:t>
      </w:r>
    </w:p>
    <w:p>
      <w:pPr>
        <w:spacing w:after="0" w:line="174" w:lineRule="exact"/>
        <w:rPr>
          <w:rFonts w:ascii="Times New Roman" w:cs="Times New Roman" w:eastAsia="Times New Roman" w:hAnsi="Times New Roman"/>
          <w:sz w:val="20"/>
          <w:szCs w:val="20"/>
          <w:color w:val="auto"/>
        </w:rPr>
      </w:pPr>
    </w:p>
    <w:p>
      <w:pPr>
        <w:ind w:left="3" w:right="40" w:firstLine="745"/>
        <w:spacing w:after="0" w:line="269" w:lineRule="auto"/>
        <w:tabs>
          <w:tab w:leader="none" w:pos="154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any Incremental Facility may be used for working capital needs and other general corporate purposes and any other use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41" w:name="page142"/>
    <w:bookmarkEnd w:id="141"/>
    <w:p>
      <w:pPr>
        <w:jc w:val="both"/>
        <w:ind w:left="760" w:firstLine="745"/>
        <w:spacing w:after="0" w:line="243" w:lineRule="auto"/>
        <w:tabs>
          <w:tab w:leader="none" w:pos="23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the Borrowing of any Incremental Term Loans that will be of the same Class as any then-existing Class of Term Loans, and notwithstanding anything to the contrary set forth in </w:t>
      </w:r>
      <w:r>
        <w:rPr>
          <w:rFonts w:ascii="Times New Roman" w:cs="Times New Roman" w:eastAsia="Times New Roman" w:hAnsi="Times New Roman"/>
          <w:sz w:val="20"/>
          <w:szCs w:val="20"/>
          <w:u w:val="single" w:color="auto"/>
          <w:color w:val="auto"/>
        </w:rPr>
        <w:t>Sections 2.08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Times New Roman" w:cs="Times New Roman" w:eastAsia="Times New Roman" w:hAnsi="Times New Roman"/>
          <w:sz w:val="20"/>
          <w:szCs w:val="20"/>
          <w:u w:val="single" w:color="auto"/>
          <w:color w:val="auto"/>
        </w:rPr>
        <w:t>clause (a)(xiv)</w:t>
      </w:r>
      <w:r>
        <w:rPr>
          <w:rFonts w:ascii="Times New Roman" w:cs="Times New Roman" w:eastAsia="Times New Roman" w:hAnsi="Times New Roman"/>
          <w:sz w:val="20"/>
          <w:szCs w:val="20"/>
          <w:color w:val="auto"/>
        </w:rPr>
        <w:t xml:space="preserve"> may result in new Incremental Term Loans having an Interest Period (the duration of which may be less than one month) that begin during an Interest Period then applicable to outstanding Term SOFR Loans of the relevant Class and which end on the last day of such Interest Period; and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190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of any Incremental Facility does not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Class of Term Loans or Revolving Loans, as applicable, in right of payment and security or is unsecured, such Incremental Facility will be documented pursuant to separate documentation from this Agreement (it being understood and agreed that any “last out” facility that is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with any then-existing Class of Term Loans or Revolving Loans, as applicable, in right of security but which is “last 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payment priority may be documented hereunder).</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Commitments may be provided by any existing Lender, or by any other Eligible Assignee (any such other lender being called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in the case of any Incremental Revolving Facility, the Swingline Lender and any Issuing Bank) shall have a right to consent (such consent not to be unreasonably withheld, conditioned or delayed) to the relevant Incremental Lender’s provision of Incremental Commitments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such Incremental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Incremental Lender that is an Affiliated Lender shall be subject to the provisions of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same extent as if the relevant Incremental Commitments and related Obligations had been acquired by such Lender by way of assignment.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conditions precedent to the effectiveness of any Incremental Facility or the making of any Incremental Loan:</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request, the Administrative Agent shall be entitled to receive customary written opinions of counsel with respect to the Borrower, as well as such reaffirmation agreements, supplements and/or amendments as it may reasonably require;</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receive, from each Incremental Lender, an Administrative Questionnaire and such other documents as it may reasonably require from such Incremental Lender;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2.22(h)</w:t>
      </w:r>
      <w:r>
        <w:rPr>
          <w:rFonts w:ascii="Times New Roman" w:cs="Times New Roman" w:eastAsia="Times New Roman" w:hAnsi="Times New Roman"/>
          <w:sz w:val="20"/>
          <w:szCs w:val="20"/>
          <w:color w:val="auto"/>
        </w:rPr>
        <w:t xml:space="preserve">, the Administrative Agent shall have received a Borrowing Request as if the relevant Incremental Loans were subject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another written request the form of which is reasonably acceptable to the Administrative Agent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understood and agreed that the requirement to deliver a Borrowing Request shall not result in the imposition of any condition precedent to the availability of the relevant Incremental Loans (including with respect to the absence of a Default or Event of Default and/or the accuracy of any representation and/or warranty)); and</w:t>
      </w:r>
    </w:p>
    <w:p>
      <w:pPr>
        <w:spacing w:after="0" w:line="174" w:lineRule="exact"/>
        <w:rPr>
          <w:sz w:val="20"/>
          <w:szCs w:val="20"/>
          <w:color w:val="auto"/>
        </w:rPr>
      </w:pPr>
    </w:p>
    <w:p>
      <w:pPr>
        <w:jc w:val="both"/>
        <w:ind w:left="760" w:firstLine="745"/>
        <w:spacing w:after="0" w:line="254" w:lineRule="auto"/>
        <w:tabs>
          <w:tab w:leader="none" w:pos="1904"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in any other provision of any Loan Document, the conditions to the availability or funding of any Incremental Facility shall be determined by the relevant Incremental Lenders providing such Incremental Facility and the Borrower.</w:t>
      </w:r>
    </w:p>
    <w:p>
      <w:pPr>
        <w:spacing w:after="0" w:line="17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implementation of any Incremental Revolving Facility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such participations, all of the Revolving Lenders’ (including each Incremental Revolving Facility Lender) (A) participations hereunder in Letters of Credit and (B) participations hereunder in Swingline Loans shall,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 held on a pro rata basis on the basis of their respective Revolving Credit Commitments (after giving effect to any increase in the Revolving Credit Commitment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of such Class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effectiveness of any Incremental Revolving Facility, the Letter of Credit Sublimit and/or the maximum amount of Swingline Loans, as applicable, permitted hereunder shall increase by an amount, if any, agreed upon by the Borrower, the Administrative Agent and the relevant Issuing Bank and/or the Swingline Lender, as applicable; it being understood and agreed that the Borrower and any Lender providing any Incremental Revolving Facility may agree that such Lender will provide a portion of the Letter of Credit Sublimit in excess of its Applicable Percentage thereof.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irrevocably authorize the Administrative Agent to, and the Administrative Agent shall (without the consent of any Lender (other than any Lender providing the applicable Incremental Facility)), enter into any Incremental Facility Amendment and/or any amendment to any other Loan Document as may be necessary, appropriate or advisable in order to establish any Incremental Facility (including any new Class or sub-Class in respect of Loans or commitments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including (i) technical amendments as may be necessary, appropriate or advisable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and/or (ii) any other amendment contemplated by </w:t>
      </w:r>
      <w:r>
        <w:rPr>
          <w:rFonts w:ascii="Times New Roman" w:cs="Times New Roman" w:eastAsia="Times New Roman" w:hAnsi="Times New Roman"/>
          <w:sz w:val="20"/>
          <w:szCs w:val="20"/>
          <w:u w:val="single" w:color="auto"/>
          <w:color w:val="auto"/>
        </w:rPr>
        <w:t>Section 9.02(d)(ii)</w:t>
      </w:r>
      <w:r>
        <w:rPr>
          <w:rFonts w:ascii="Times New Roman" w:cs="Times New Roman" w:eastAsia="Times New Roman" w:hAnsi="Times New Roman"/>
          <w:sz w:val="20"/>
          <w:szCs w:val="20"/>
          <w:color w:val="auto"/>
        </w:rPr>
        <w:t>. In addition, the Incremental Facility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46" w:lineRule="auto"/>
        <w:rPr>
          <w:sz w:val="20"/>
          <w:szCs w:val="20"/>
          <w:color w:val="auto"/>
        </w:rPr>
      </w:pPr>
      <w:r>
        <w:rPr>
          <w:rFonts w:ascii="Times New Roman" w:cs="Times New Roman" w:eastAsia="Times New Roman" w:hAnsi="Times New Roman"/>
          <w:sz w:val="20"/>
          <w:szCs w:val="20"/>
          <w:color w:val="auto"/>
        </w:rPr>
        <w:t>with respect to any Incremental Term Facility may, without the consent of any Lender (other than any Lender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Class of Term Loans (including by modifying the amortization schedule and/or extending the time period during which any prepayment premium applies).</w:t>
      </w:r>
    </w:p>
    <w:p>
      <w:pPr>
        <w:spacing w:after="0" w:line="185" w:lineRule="exact"/>
        <w:rPr>
          <w:sz w:val="20"/>
          <w:szCs w:val="20"/>
          <w:color w:val="auto"/>
        </w:rPr>
      </w:pPr>
    </w:p>
    <w:p>
      <w:pPr>
        <w:ind w:left="760" w:right="3220" w:hanging="3"/>
        <w:spacing w:after="0" w:line="464" w:lineRule="auto"/>
        <w:tabs>
          <w:tab w:leader="none" w:pos="115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to the contrary. Section 2.23. Extensions of Loans and Revolving Credit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-146685</wp:posOffset>
            </wp:positionV>
            <wp:extent cx="29762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76245" cy="8255"/>
                    </a:xfrm>
                    <a:prstGeom prst="rect">
                      <a:avLst/>
                    </a:prstGeom>
                    <a:noFill/>
                  </pic:spPr>
                </pic:pic>
              </a:graphicData>
            </a:graphic>
          </wp:anchor>
        </w:drawing>
      </w:r>
    </w:p>
    <w:p>
      <w:pPr>
        <w:jc w:val="both"/>
        <w:ind w:firstLine="757"/>
        <w:spacing w:after="0" w:line="242" w:lineRule="auto"/>
        <w:tabs>
          <w:tab w:leader="none" w:pos="114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to (A) currency, pricing (including any “MFN” or other pricing terms), interest rate margins, rate floors, fees, premiums (including prepayment premiums), funding discounts, maturity and amortization (which shall, subject to immediately succeeding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taken as a whole, in the good faith determination of the Borrower,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by conforming or adding a term to the then-outstanding Revolving Loans pursuant to the applicable Extension Amendment), (C) terms, taken as a whole, that reflect then current market terms and conditions, taken as a whole, at the time of incurrence or issuance (as determined by the Borrower) and (D) any covenant or other provision applicable only after the Latest Revolving Credit Maturity Date, the Revolving Credit Commitment of any Lender who agrees to an extension with respect to such Commitment (an “</w:t>
      </w:r>
      <w:r>
        <w:rPr>
          <w:rFonts w:ascii="Times New Roman" w:cs="Times New Roman" w:eastAsia="Times New Roman" w:hAnsi="Times New Roman"/>
          <w:sz w:val="19"/>
          <w:szCs w:val="19"/>
          <w:u w:val="single" w:color="auto"/>
          <w:color w:val="auto"/>
        </w:rPr>
        <w:t>Extended Revolving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and the Loans thereunder, “</w:t>
      </w:r>
      <w:r>
        <w:rPr>
          <w:rFonts w:ascii="Times New Roman" w:cs="Times New Roman" w:eastAsia="Times New Roman" w:hAnsi="Times New Roman"/>
          <w:sz w:val="19"/>
          <w:szCs w:val="19"/>
          <w:u w:val="single" w:color="auto"/>
          <w:color w:val="auto"/>
        </w:rPr>
        <w:t>Extended Revolving Loans</w:t>
      </w:r>
      <w:r>
        <w:rPr>
          <w:rFonts w:ascii="Times New Roman" w:cs="Times New Roman" w:eastAsia="Times New Roman" w:hAnsi="Times New Roman"/>
          <w:sz w:val="19"/>
          <w:szCs w:val="19"/>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more than one Revolving Facility exists after giving effect to any such Extension, (x) the borrowing and repayment of Revolving Loans with respect to any Revolving Facility after the effective date of such Extended Revolving Credit Commitments shall be made on a pro rata basis or a non-pro rata basis with all other Revolving Facilities (it being understood that any Revolving Facility that participates in borrowings on a pro rata basis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Revolving Facilities shall participate in repayments on a pro rata basis with such Revolving Facilities and that in the event of any Revolving Facility that must participate in borrowings on a less than pro rata basis as compared to other Revolving Facilities, such Revolving Facility shall participate in repayments on a less than pro rata basis as compared to such other Revolving Facilities (in each case, except, in any event,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xml:space="preserve"> below))), (y) all Swingline Loans and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a non-pro rata basis with all other Revolving Facilities (it being understood that a Revolving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Revolving Facility that must participate in borrowings on a less than pro rata basis as compared to other Revolving Facilities, such other Revolving Facility shall participate in permanent repayments of Revolving Loans with respect to, and reduction and termination of Revolving Credit Commitments under, such Revolving Facility on a less than pro rata basis as compared to such other Revolving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each case, that notwithstanding the foregoing, to the extent any such Revolving </w:t>
      </w:r>
      <w:r>
        <w:rPr>
          <w:rFonts w:ascii="Times New Roman" w:cs="Times New Roman" w:eastAsia="Times New Roman" w:hAnsi="Times New Roman"/>
          <w:sz w:val="20"/>
          <w:szCs w:val="20"/>
          <w:u w:val="single" w:color="auto"/>
          <w:color w:val="0000FF"/>
        </w:rPr>
        <w:t>Credit</w:t>
      </w:r>
      <w:r>
        <w:rPr>
          <w:rFonts w:ascii="Times New Roman" w:cs="Times New Roman" w:eastAsia="Times New Roman" w:hAnsi="Times New Roman"/>
          <w:sz w:val="20"/>
          <w:szCs w:val="20"/>
          <w:color w:val="auto"/>
        </w:rPr>
        <w:t xml:space="preserve"> Commitments are terminated in full and refinanced or replaced with a Revolver Replacement Facility or Replacement Debt, such Revolving </w:t>
      </w:r>
      <w:r>
        <w:rPr>
          <w:rFonts w:ascii="Times New Roman" w:cs="Times New Roman" w:eastAsia="Times New Roman" w:hAnsi="Times New Roman"/>
          <w:sz w:val="20"/>
          <w:szCs w:val="20"/>
          <w:u w:val="single" w:color="auto"/>
          <w:color w:val="0000FF"/>
        </w:rPr>
        <w:t>Credit</w:t>
      </w:r>
      <w:r>
        <w:rPr>
          <w:rFonts w:ascii="Times New Roman" w:cs="Times New Roman" w:eastAsia="Times New Roman" w:hAnsi="Times New Roman"/>
          <w:sz w:val="20"/>
          <w:szCs w:val="20"/>
          <w:color w:val="auto"/>
        </w:rPr>
        <w:t xml:space="preserve"> Commitments may be terminated on a greater than pro rata basis);</w:t>
      </w:r>
    </w:p>
    <w:p>
      <w:pPr>
        <w:spacing w:after="0" w:line="189" w:lineRule="exact"/>
        <w:rPr>
          <w:sz w:val="20"/>
          <w:szCs w:val="20"/>
          <w:color w:val="auto"/>
        </w:rPr>
      </w:pPr>
    </w:p>
    <w:p>
      <w:pPr>
        <w:jc w:val="both"/>
        <w:ind w:firstLine="745"/>
        <w:spacing w:after="0" w:line="241"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to (A) currency, pricing (including any “MFN” or other pricing term), interest rate margins, rate floors, fees, funding discounts, amortization, final maturity date, premiums (including prepayment premiums), required prepayment dates and participation in prepayments (which shall, subject to immediately succeeding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be determined by the Borrower and any Lender who agrees to an Extension of its Term Loans and set forth in the relevant Extension Offer), (B) terms applicable to such Extended Term Loans (as defined below) that are, taken as a whole, in the good faith determination of the Borrower,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 Agent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by conforming or adding a term to the then-outstanding Term Loans of the applicable Class pursuant to the applicable Extension Amendment), (C) terms, taken as a whole, that reflect then current market terms and conditions, taken as a whole, at the time of incurrence or issuance (as determined by the Borrower) and (D) any covenant or other provision applicable only to any period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shall have substantially consistent terms (or terms not less favorable to existing Lenders) as the tranche of Term Loans subject to the relevant Extension Offer;</w:t>
      </w:r>
    </w:p>
    <w:p>
      <w:pPr>
        <w:spacing w:after="0" w:line="19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5" w:name="page146"/>
    <w:bookmarkEnd w:id="145"/>
    <w:p>
      <w:pPr>
        <w:ind w:left="760" w:right="20" w:firstLine="745"/>
        <w:spacing w:after="0" w:line="269" w:lineRule="auto"/>
        <w:tabs>
          <w:tab w:leader="none" w:pos="19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Class of Extended Term Loans shall be no shorter than the remaining Weighted Average Life to Maturity of any then-existing Term Loans;</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any Extended Term Loans may otherwise have an amortization schedule as determined by the Borrower and the Lenders providing such Extended Term Loans;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Extended Term Loans may participate (A) in any voluntary prepayment of Term Loans as set forth in </w:t>
      </w:r>
      <w:r>
        <w:rPr>
          <w:rFonts w:ascii="Times New Roman" w:cs="Times New Roman" w:eastAsia="Times New Roman" w:hAnsi="Times New Roman"/>
          <w:sz w:val="20"/>
          <w:szCs w:val="20"/>
          <w:u w:val="single" w:color="auto"/>
          <w:color w:val="auto"/>
        </w:rPr>
        <w:t>Section 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 in each case, to the extent provided in such Sections;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2"/>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166" w:lineRule="exact"/>
        <w:rPr>
          <w:rFonts w:ascii="Times New Roman" w:cs="Times New Roman" w:eastAsia="Times New Roman" w:hAnsi="Times New Roman"/>
          <w:sz w:val="19"/>
          <w:szCs w:val="19"/>
          <w:color w:val="auto"/>
        </w:rPr>
      </w:pPr>
    </w:p>
    <w:p>
      <w:pPr>
        <w:ind w:left="2300" w:hanging="795"/>
        <w:spacing w:after="0"/>
        <w:tabs>
          <w:tab w:leader="none" w:pos="2300"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otherwise agrees, any Extension must be in a minimum amount of $5,000,000;</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Minimum Extension Condition must be satisfied or waived by the Borrower;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documentation in respect of any Extension shall be consistent with the foregoing;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Extension of any Revolving Facility shall be effective as to the obligations of the Swingline Lender to make any Swingline Loan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the Swingline Lender or such Issuing Bank, as applicable, without giving effect to such Extension).</w:t>
      </w:r>
    </w:p>
    <w:p>
      <w:pPr>
        <w:spacing w:after="0" w:line="184" w:lineRule="exact"/>
        <w:rPr>
          <w:rFonts w:ascii="Times New Roman" w:cs="Times New Roman" w:eastAsia="Times New Roman" w:hAnsi="Times New Roman"/>
          <w:sz w:val="20"/>
          <w:szCs w:val="20"/>
          <w:color w:val="auto"/>
        </w:rPr>
      </w:pPr>
    </w:p>
    <w:p>
      <w:pPr>
        <w:jc w:val="both"/>
        <w:ind w:firstLine="757"/>
        <w:spacing w:after="0" w:line="260" w:lineRule="auto"/>
        <w:tabs>
          <w:tab w:leader="none" w:pos="1145"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No Extension consummated in reliance on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constitute a voluntary or mandatory prepayment for purposes of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(ii) the scheduled amortization payments (insofar as such schedule affects payments due to Lenders participating in the relevant Class) set forth in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shall be adjusted to give effect to any Extension of any Class of Loans and/or Commitments and</w:t>
      </w:r>
    </w:p>
    <w:p>
      <w:pPr>
        <w:jc w:val="both"/>
        <w:ind w:firstLine="8"/>
        <w:spacing w:after="0"/>
        <w:tabs>
          <w:tab w:leader="none" w:pos="3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clause (a)(viii)</w:t>
      </w:r>
      <w:r>
        <w:rPr>
          <w:rFonts w:ascii="Times New Roman" w:cs="Times New Roman" w:eastAsia="Times New Roman" w:hAnsi="Times New Roman"/>
          <w:sz w:val="20"/>
          <w:szCs w:val="20"/>
          <w:color w:val="auto"/>
        </w:rPr>
        <w:t xml:space="preserve"> above,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or any other Loan Document that may otherwise prohibit any such Extension or any other transaction contemplated by this Section.</w:t>
      </w:r>
    </w:p>
    <w:p>
      <w:pPr>
        <w:spacing w:after="0" w:line="216" w:lineRule="exact"/>
        <w:rPr>
          <w:sz w:val="20"/>
          <w:szCs w:val="20"/>
          <w:color w:val="auto"/>
        </w:rPr>
      </w:pPr>
    </w:p>
    <w:p>
      <w:pPr>
        <w:jc w:val="both"/>
        <w:ind w:firstLine="757"/>
        <w:spacing w:after="0" w:line="242" w:lineRule="auto"/>
        <w:tabs>
          <w:tab w:leader="none" w:pos="114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consent required under </w:t>
      </w:r>
      <w:r>
        <w:rPr>
          <w:rFonts w:ascii="Times New Roman" w:cs="Times New Roman" w:eastAsia="Times New Roman" w:hAnsi="Times New Roman"/>
          <w:sz w:val="20"/>
          <w:szCs w:val="20"/>
          <w:u w:val="single" w:color="auto"/>
          <w:color w:val="auto"/>
        </w:rPr>
        <w:t>Section 2.23(a)(xi)</w:t>
      </w:r>
      <w:r>
        <w:rPr>
          <w:rFonts w:ascii="Times New Roman" w:cs="Times New Roman" w:eastAsia="Times New Roman" w:hAnsi="Times New Roman"/>
          <w:sz w:val="20"/>
          <w:szCs w:val="20"/>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all other applicable Secured Obligations under this Agreement and the other Loan Documents. The Lenders hereby irrevocably authorize the Administrative Agent to enter into any Extension Amendment and any amendment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On the dates and to the extent required pursuant to </w:t>
      </w:r>
      <w:r>
        <w:rPr>
          <w:rFonts w:ascii="Times New Roman" w:cs="Times New Roman" w:eastAsia="Times New Roman" w:hAnsi="Times New Roman"/>
          <w:sz w:val="20"/>
          <w:szCs w:val="20"/>
          <w:u w:val="single" w:color="auto"/>
          <w:color w:val="auto"/>
        </w:rPr>
        <w:t>Sections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as applicable, the Borrower hereby represents and warrants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the Issuing Banks and the Administrative Agent that:</w:t>
      </w:r>
    </w:p>
    <w:p>
      <w:pPr>
        <w:spacing w:after="0" w:line="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xml:space="preserve"> . Holdings, the Borrower and each of its Restricted Subsidiaries (a) is (i) duly organized or incorporated (as applicable)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in each case, with respect to the Borrower) where the failure to do so, individually or in the aggregate, would not reasonably be expected to result in a Material Adverse Effect.</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execution, delivery and performance by each Loan Party of each Loan Document to which such Loan Party is a party (a) are within such Loan Party’s corporate or other organizational power and (b)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xml:space="preserve"> . The execution and delivery of each Loan Document by each Loan Party party thereto and the performance by such Loan Party of its obligations thereunder (a) do not require any consent or approval of, registration or filing with, or any other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47" w:lineRule="auto"/>
        <w:rPr>
          <w:sz w:val="20"/>
          <w:szCs w:val="20"/>
          <w:color w:val="auto"/>
        </w:rPr>
      </w:pPr>
      <w:r>
        <w:rPr>
          <w:rFonts w:ascii="Times New Roman" w:cs="Times New Roman" w:eastAsia="Times New Roman" w:hAnsi="Times New Roman"/>
          <w:sz w:val="20"/>
          <w:szCs w:val="20"/>
          <w:color w:val="auto"/>
        </w:rPr>
        <w:t>any Governmental Authority, except (i) such as have been obtained or made and are in full force and effect,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w:t>
      </w:r>
    </w:p>
    <w:p>
      <w:pPr>
        <w:jc w:val="both"/>
        <w:ind w:firstLine="8"/>
        <w:spacing w:after="0" w:line="242" w:lineRule="auto"/>
        <w:tabs>
          <w:tab w:leader="none" w:pos="30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Requirement of Law applicable to such Loan Party which violation, in the case of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would reasonably be expected to have a Material Adverse Effect and (c) will not violate or result in a default under any material Contractual Obligation to which such Loan Party is a party which violation, in the case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would reasonably be expected to result in a Material Adverse Effect.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3.04.  Financial Condition; No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5584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6" w:lineRule="auto"/>
        <w:tabs>
          <w:tab w:leader="none" w:pos="114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most recently provided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present fairly, in all material respects, the financial position and results of operations and cash flows of the Borrower on a consolidated basis as of such dates and for such periods in accordance with GAAP, (i) except as otherwise expressly noted herein, (ii) subject, in the case of quarterly financial statements, to the absence of footnotes and normal year-end adjustments and (iii) if applicable, except as may be necessary to reflect any differing entities and/or organizational structure prior to giving effect to the Transactions.</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there have been no events, developments or circumstances that have had, or would reasonably be expected to have, individually or in the aggregate, a Material Adverse Effect that is continuing.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3.05.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6032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196" w:lineRule="exact"/>
        <w:rPr>
          <w:sz w:val="20"/>
          <w:szCs w:val="20"/>
          <w:color w:val="auto"/>
        </w:rPr>
      </w:pPr>
    </w:p>
    <w:p>
      <w:pPr>
        <w:ind w:left="1160" w:hanging="403"/>
        <w:spacing w:after="0"/>
        <w:tabs>
          <w:tab w:leader="none" w:pos="11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its Restricted Subsidiaries have good and valid fee simple title to or rights to purchase, or valid leasehold interests in,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Permitted Lien, or (iii) where the failure to have such title would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own or otherwise have a license or right to use all rights in Patents, Trademarks, Copyrights and other rights in works of authorship (including all Copyrights embodied in software) and all other intellectual property rights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to conduct their respective businesses as presently conducted without, to the knowledge of the Borrower, any infringement or misappropriation of the IP Rights of third parties, except to the extent the failure to own or license or have rights to use would not, or where such infringement or misappropriation would not reasonably be expected to have, individually or in the aggregate, a Material Adverse Effect.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3.06.  Litigation and 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9958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9580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4" w:lineRule="auto"/>
        <w:tabs>
          <w:tab w:leader="none" w:pos="114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ind w:firstLine="757"/>
        <w:spacing w:after="0" w:line="245" w:lineRule="auto"/>
        <w:tabs>
          <w:tab w:leader="none" w:pos="114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matters that, individually or in the aggregate, would not reasonably be expected to result in a Material Adverse Effect, (i) 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 (ii) neither the Borrower nor any of its Restricted Subsidiaries has failed to comply with any Environmental Law or to obtain, maintain or comply with any Governmental Authorization, permit, license or other approval required under any Environmental Law.</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Holdings,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xml:space="preserve"> .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shall not apply to the Requirements of Law covered by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Section 3.08. Investment Company Status . No Loan Party is an “investment company” as defined in, or is required to be registered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-192405</wp:posOffset>
            </wp:positionV>
            <wp:extent cx="15881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3.09. Taxes. Each of Holdings, the Borrower and each of its Restricted Subsidiaries has timely filed or caused to be filed all Tax returns and reports required to have been filed by or with respect to it and has paid or caused to be paid all Taxes required to have been paid by it that are due and payable (including in its capacity as a withholding agent), except (a) Taxes that are not required to be paid in accordance with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(b) Taxes (or any requirement to file Tax returns with respect thereto) that are being contested in good faith by appropriate proceedings and for which Holdings, the Borrower or such Restricted Subsidiary, as applicable, has set aside on its books adequate reserves in accordance with GAAP or (c) to the extent that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-904240</wp:posOffset>
            </wp:positionV>
            <wp:extent cx="3854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3.10.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4572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96" w:lineRule="exact"/>
        <w:rPr>
          <w:sz w:val="20"/>
          <w:szCs w:val="20"/>
          <w:color w:val="auto"/>
        </w:rPr>
      </w:pPr>
    </w:p>
    <w:p>
      <w:pPr>
        <w:ind w:right="40" w:firstLine="757"/>
        <w:spacing w:after="0" w:line="269" w:lineRule="auto"/>
        <w:tabs>
          <w:tab w:leader="none" w:pos="114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five-year period prior to the date on which this representation is made or deemed made, no ERISA Event has occurred and is continuing that, when taken together with all other such ERISA Events for which liability is reasonably expected to occur, would reasonably be expected to result in a Material Adverse Effect.</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3.11.</w:t>
      </w:r>
      <w:r>
        <w:rPr>
          <w:sz w:val="20"/>
          <w:szCs w:val="20"/>
          <w:color w:val="auto"/>
        </w:rPr>
        <w:tab/>
      </w:r>
      <w:r>
        <w:rPr>
          <w:rFonts w:ascii="Times New Roman" w:cs="Times New Roman" w:eastAsia="Times New Roman" w:hAnsi="Times New Roman"/>
          <w:sz w:val="19"/>
          <w:szCs w:val="19"/>
          <w:color w:val="auto"/>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-10795</wp:posOffset>
            </wp:positionV>
            <wp:extent cx="6362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6" w:lineRule="auto"/>
        <w:tabs>
          <w:tab w:leader="none" w:pos="11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with respect to information relating to the Borrower and its subsidiaries, to the knowledge of the Borrower, all written information (other than the Projections, forecasts, financial estimates, other forward-looking information and/or projected information, information of a general economic or industry-specific nature and/or any third party report and/or memorandum (but not the written information (other than Projections, forecasts, financial estimates, other forward looking information and/or projected information and/or general economic or industry-specific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44" w:lineRule="auto"/>
        <w:rPr>
          <w:sz w:val="20"/>
          <w:szCs w:val="20"/>
          <w:color w:val="auto"/>
        </w:rPr>
      </w:pPr>
      <w:r>
        <w:rPr>
          <w:rFonts w:ascii="Times New Roman" w:cs="Times New Roman" w:eastAsia="Times New Roman" w:hAnsi="Times New Roman"/>
          <w:sz w:val="20"/>
          <w:szCs w:val="20"/>
          <w:color w:val="auto"/>
        </w:rPr>
        <w:t>which such third party report and/or memorandum was based, if such written information was provided to any Initial Lender, any Arranger or the Administrative Agent)) concerning Holdings, the Borrower and its subsidiaries that was prepared by or on behalf of Holdings, the Borrower or its subsidiaries or their respective representatives and made available to any Initial Lender, any Arranger or the Administrative Agent in connection with the Transactions on or before the Closing Date (collectively, the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(after giving effect to all supplements and updates thereto from time to time).</w:t>
      </w:r>
    </w:p>
    <w:p>
      <w:pPr>
        <w:spacing w:after="0" w:line="186" w:lineRule="exact"/>
        <w:rPr>
          <w:sz w:val="20"/>
          <w:szCs w:val="20"/>
          <w:color w:val="auto"/>
        </w:rPr>
      </w:pPr>
    </w:p>
    <w:p>
      <w:pPr>
        <w:jc w:val="both"/>
        <w:ind w:firstLine="757"/>
        <w:spacing w:after="0" w:line="249" w:lineRule="auto"/>
        <w:tabs>
          <w:tab w:leader="none" w:pos="114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Section 3.12. Solvency. As of the Closing Date, after giving effect to the Transactions and the incurrence of the Indebtedness and obligations being incurred in connection with this Agreement on the Closing Date, (i) the sum of the debt (including contingent liabilities) of the Borrower and its Restricted Subsidiaries, taken as a whole, does not exceed the fair value of the assets of the Borrower and its Restricted Subsidiaries, taken as a whole, (ii) the capital of the Borrower and its Restricted Subsidiaries, taken as a whole, is not unreasonably small in relation to the business of the Borrower and its Restricted Subsidiaries, taken as a whole, contemplated as of the Closing Date; and (iii) the Borrower and its Restricted Subsidiaries, taken as a whole, do not intend to incur, or believe that they will incur, debts (including current obligations and contingent liabilities) beyond their ability to pay such debts as they mature in accordance with their terms. For purposes of this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 (A) it is assumed that the Indebtedness and other obligations under the Credit Facilities will come due at their respective maturities and (B)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-1344930</wp:posOffset>
            </wp:positionV>
            <wp:extent cx="5613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3.13. Subsidiaries. </w:t>
      </w:r>
      <w:r>
        <w:rPr>
          <w:rFonts w:ascii="Times New Roman" w:cs="Times New Roman" w:eastAsia="Times New Roman" w:hAnsi="Times New Roman"/>
          <w:sz w:val="20"/>
          <w:szCs w:val="20"/>
          <w:u w:val="single" w:color="auto"/>
          <w:color w:val="auto"/>
        </w:rPr>
        <w:t>Schedule 3.13</w:t>
      </w:r>
      <w:r>
        <w:rPr>
          <w:rFonts w:ascii="Times New Roman" w:cs="Times New Roman" w:eastAsia="Times New Roman" w:hAnsi="Times New Roman"/>
          <w:sz w:val="20"/>
          <w:szCs w:val="20"/>
          <w:color w:val="auto"/>
        </w:rPr>
        <w:t xml:space="preserve"> sets forth, in each case 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(a) a correct and complete list of the name of Holdings, the Borrower, each subsidiary of the Borrower and the ownership interest therein held by Holdings, the Borrower or its applicable subsidiary, and (b) the type of entity of Holdings, the Borrower and each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7080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3.14. Security Interest in Collateral. Subject to the terms of the final paragraph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Legal Reservations, the Perfection Requirements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and/or any other perfection action required under the terms of any Loan Document, such Liens constitute perfected Liens (with the priority that such Liens are expressed to have under the relevant Collateral Documents, unless otherwise permitted hereunder or under any Collateral Document) on the Collateral (to the extent such Liens are then required to be perfected under the terms of the Loan Documents) securing the Secured Obligations, in each case as and to the extent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-1047750</wp:posOffset>
            </wp:positionV>
            <wp:extent cx="16109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10995" cy="8890"/>
                    </a:xfrm>
                    <a:prstGeom prst="rect">
                      <a:avLst/>
                    </a:prstGeom>
                    <a:noFill/>
                  </pic:spPr>
                </pic:pic>
              </a:graphicData>
            </a:graphic>
          </wp:anchor>
        </w:drawing>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For the avoidance of doubt, notwithstanding anything herein or in any other Loan Document to the contrary, neither the Borrower nor any other Loan Party makes any representation or warranty as to (A) the effect of perfection or non-perfection, the priority or the enforceability of any pledge of or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right="120"/>
        <w:spacing w:after="0" w:line="244" w:lineRule="auto"/>
        <w:rPr>
          <w:sz w:val="20"/>
          <w:szCs w:val="20"/>
          <w:color w:val="auto"/>
        </w:rPr>
      </w:pPr>
      <w:r>
        <w:rPr>
          <w:rFonts w:ascii="Times New Roman" w:cs="Times New Roman" w:eastAsia="Times New Roman" w:hAnsi="Times New Roman"/>
          <w:sz w:val="20"/>
          <w:szCs w:val="20"/>
          <w:color w:val="auto"/>
        </w:rPr>
        <w:t xml:space="preserve">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the pledge or creation of any security interest, or the effects of perfection or non-perfection, the priority or enforceability of any pledge or security interest to the extent the same is not required on the Closing Date.</w:t>
      </w:r>
    </w:p>
    <w:p>
      <w:pPr>
        <w:spacing w:after="0" w:line="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3.15. Labor Disputes . Except as individually or in the aggregate would not reasonably be expected to have a Material Adverse Effect, (a) there are no strikes, lockouts or slowdowns against Holdings, the Borrower or any of its Restricted Subsidiaries pending or, to the knowledge of Holdings, the Borrower or any of its Restricted Subsidiaries, threatened and (b) the hours worked by and payments made to employees of Holdings, the Borrower and its Restricted Subsidiaries have not been in violation of the Fair Labor Standards Act or any other applicable Requirement of Law dealing with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-613410</wp:posOffset>
            </wp:positionV>
            <wp:extent cx="890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3.16. Federal Reserve Regulations. No part of the proceeds of any Loan or any Letter of Credit have been used, whether directly or indirectly, and whether immediately or incidentally or ultimately, for any purpose that results in a violation of the provisions of Regulation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1546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3.17.  Sanctions; PATRIOT ACT and FCPA.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9837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83740"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6" w:lineRule="auto"/>
        <w:tabs>
          <w:tab w:leader="none" w:pos="114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None of Holdings, the Borrower nor any of its Restricted Subsidiaries nor, to the knowledge of the Borrower, any director, officer or employee of any of the foregoing is a Sanctioned Person; and (ii) the Borrower will not directly or, to its knowledge, indirectly, use the proceeds of the Loans or Letters of Credit or otherwise make available such proceeds to any Person for the purpose of financing the activities of any Person that is the subject or target of any applicable Sanctions, except to the extent licensed or otherwise approved by OFAC or in compliance with applicable exemption, licenses or other approvals.</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Loan Party is in compliance, in all material respects, with the USA PATRIOT Act.</w:t>
      </w:r>
    </w:p>
    <w:p>
      <w:pPr>
        <w:spacing w:after="0" w:line="21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Neither Holdings, the Borrower nor any of its Restricted Subsidiaries nor, to the knowledge of the Borrower, any director, officer, or employee of Holdings, the Borrower or any Restricted Subsidiary, nor, to the knowledge of the Borrower, any agent (solely to the extent acting in its capacity as an agent for Holdings, the Borrower or any of its subsidiaries), has taken any action, directly or, to its knowledge, indirectly, that would result in a material violation by any such Person of the U.S. Foreign Corrupt Practices Act of 1977, as amended (the “</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(ii) the Borrower will not directly or, to its knowledge, indirectly, used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spacing w:after="0" w:line="19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 xml:space="preserve"> above made by or on behalf of any Foreign Subsidiary are subject to and limited by any Requirement of Law applicable to such Foreign Subsidiary; it being understood and agreed that to the extent that any Foreign Subsidiary is unable to make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representation or warranty set forth in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 xml:space="preserve"> as a result of the application of this sentence, such Foreign Subsidiary shall be deemed to have represented and warranted that it is in compliance, in all material respects, with any equivalent Requirement of Law relating to sanctions, anti-terrorism, anti-corruption or anti-money laundering that is applicable to such Foreign Subsidiary in its relevant local jurisdiction of organization.</w:t>
      </w:r>
    </w:p>
    <w:p>
      <w:pPr>
        <w:spacing w:after="0" w:line="7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Section 3.18. Data Privacy. The Borrower and Restricted Subsidiaries are in compliance with the Data Protection Laws, except, in each case where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-205740</wp:posOffset>
            </wp:positionV>
            <wp:extent cx="7467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4.01. Closing Date. The obligations of (i) each Lender to make Loans and (ii) any Issuing Bank to issue Letters of Credit, in each case, on the Closing Date,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7537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54" w:lineRule="exact"/>
        <w:rPr>
          <w:sz w:val="20"/>
          <w:szCs w:val="20"/>
          <w:color w:val="auto"/>
        </w:rPr>
      </w:pPr>
    </w:p>
    <w:p>
      <w:pPr>
        <w:jc w:val="both"/>
        <w:ind w:firstLine="757"/>
        <w:spacing w:after="0" w:line="246" w:lineRule="auto"/>
        <w:tabs>
          <w:tab w:leader="none" w:pos="11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xml:space="preserve">. The Administrative Agent (or its counsel) shall have received from the Borrower and each Loan Party, to the extent party thereto, (i) a counterpart signed by the Borrower or such Loan Party (or written evidence reasonably satisfactory to the Administrative Agent (which may include a copy transmitted by facsimile or other electronic method) that such party has signed a counterpart) of (A) this Agreement and (B) each Promissory Note requested by a Lender at least three Business Days prior to the Closing Date and (ii) a Borrowing Request as required by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7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(or its counsel) shall have received, on behalf of itself, the Lenders and each Issuing Bank on the Closing Date, a customary written opinion of Weil, Gotshal &amp; Manges LLP, in its capacity as special counsel for Holdings and the Loan Parties, dated the Closing Date and addressed to the Administrative Agent, the Lenders and each Issuing Bank.</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Administrative Agent shall have received:</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 of the Borrower for the Fiscal Year ended on December 31, 2020 and the audited consolidated statements of income and cash flows of the Borrower for the Fiscal Year then ended;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consolidated balance sheet and the unaudited consolidated statements of income and cash flows of the Borrower for the Fiscal Quarters ended on March 31, 2021 and June 30, 2021.</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 and Good Standing Certificates of Loan Parties</w:t>
      </w:r>
      <w:r>
        <w:rPr>
          <w:rFonts w:ascii="Times New Roman" w:cs="Times New Roman" w:eastAsia="Times New Roman" w:hAnsi="Times New Roman"/>
          <w:sz w:val="20"/>
          <w:szCs w:val="20"/>
          <w:color w:val="auto"/>
        </w:rPr>
        <w:t>. The Administrative Agent (or its counsel) shall have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Loan Party on the Closing Date, dated the Closing Date and executed by a Responsible Officer,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shall:</w:t>
      </w:r>
    </w:p>
    <w:p>
      <w:pPr>
        <w:spacing w:after="0" w:line="193"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the Loan Documents to which it is a party and, in the case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ind w:left="1500"/>
        <w:spacing w:after="0" w:line="269" w:lineRule="auto"/>
        <w:rPr>
          <w:sz w:val="20"/>
          <w:szCs w:val="20"/>
          <w:color w:val="auto"/>
        </w:rPr>
      </w:pPr>
      <w:r>
        <w:rPr>
          <w:rFonts w:ascii="Times New Roman" w:cs="Times New Roman" w:eastAsia="Times New Roman" w:hAnsi="Times New Roman"/>
          <w:sz w:val="20"/>
          <w:szCs w:val="20"/>
          <w:color w:val="auto"/>
        </w:rPr>
        <w:t>Borrower, the borrowings hereunder, and that such resolutions or written consents have not been modified, rescinded or amended and are in full force and effect,</w:t>
      </w:r>
    </w:p>
    <w:p>
      <w:pPr>
        <w:spacing w:after="0" w:line="159" w:lineRule="exact"/>
        <w:rPr>
          <w:sz w:val="20"/>
          <w:szCs w:val="20"/>
          <w:color w:val="auto"/>
        </w:rPr>
      </w:pPr>
    </w:p>
    <w:p>
      <w:pPr>
        <w:jc w:val="both"/>
        <w:ind w:left="1500" w:firstLine="754"/>
        <w:spacing w:after="0" w:line="254" w:lineRule="auto"/>
        <w:tabs>
          <w:tab w:leader="none" w:pos="2644"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by name and title and bear the signatures of the Responsible Officer or authorized signatory of such Loan Party on the Closing Date that is authorized to sign the Loan Documents to which it is a party on the Closing Date, as applicable,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Loan Parties set forth in this Agreement and the other Loan Documents shall be true and correct in all material respects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Prior to or substantially concurrently with the funding of the Initial Term Loans hereunder, the Administrative Agent shall have received (i) all fees required to be paid by the Borrower on the Closing Date pursuant to the Engagement Letter and/or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Refinancing</w:t>
      </w:r>
      <w:r>
        <w:rPr>
          <w:rFonts w:ascii="Times New Roman" w:cs="Times New Roman" w:eastAsia="Times New Roman" w:hAnsi="Times New Roman"/>
          <w:sz w:val="20"/>
          <w:szCs w:val="20"/>
          <w:color w:val="auto"/>
        </w:rPr>
        <w:t>. Substantially concurrently with the initial funding of the Loans hereunder, including by use of the proceeds thereof, the Closing Date Refinancing shall be consummated and the Administrative Agent shall have received a customary payoff letter providing for the release of liens securing the obligations under the Existing Credit Agreement (to the extent required by the definition of “Closing Date Refinancing”) upon the consummation of the Closing Date Refinancing.</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1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At the time of and immediately after giving effect to the making of the Loans to be made on the Closing Date, no Default or Event of Default has occurred and is continuing.</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5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The Administrative Agent (or its counsel) shall have received a certificate in substantially the form of </w:t>
      </w:r>
      <w:r>
        <w:rPr>
          <w:rFonts w:ascii="Times New Roman" w:cs="Times New Roman" w:eastAsia="Times New Roman" w:hAnsi="Times New Roman"/>
          <w:sz w:val="20"/>
          <w:szCs w:val="20"/>
          <w:u w:val="single" w:color="auto"/>
          <w:color w:val="auto"/>
        </w:rPr>
        <w:t>Exhibit P</w:t>
      </w:r>
      <w:r>
        <w:rPr>
          <w:rFonts w:ascii="Times New Roman" w:cs="Times New Roman" w:eastAsia="Times New Roman" w:hAnsi="Times New Roman"/>
          <w:sz w:val="20"/>
          <w:szCs w:val="20"/>
          <w:color w:val="auto"/>
        </w:rPr>
        <w:t xml:space="preserve"> from a Responsible Officer of the Borrower dated as of the Closing Date and certifying as to the matters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firstLine="757"/>
        <w:spacing w:after="0" w:line="269"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The Administrative Agent (or its counsel) shall have received a completed Perfection Certificate dated the Closing Date and signed by a Responsible Officer of the Borrower, together with all attachments contemplated thereby.</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xml:space="preserve">. Subject to the final paragraph of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and except as may otherwise be agreed by the Administrative Agent, the requirements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“Collateral and Guarantee Requirement” shall be satisfied.</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Prior to, or substantially concurrently with, the initial funding of the Loans hereunder, the IPO shall be consummated.</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December 31, 2020, there shall not have occurred a Material Adverse Effect.</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No later than three Business Days in advance of the Closing Date, the Administrative Agent shall have received all documentation and other information reasonably requested with respect to any Loan Party in writing by any Initial Lender at least 10 Business Days in advance of the Closing Date, which documentation or other information is required by regulatory authorities under applicable “know your customer” and anti-money laundering rules and regulations, including the USA PATRIOT Act.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7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To the extent the Borrower qualifies as a “legal entity customer” under the Beneficial Ownership Regulation, no later than three Business Days in advance of the Closing Date, the Administrative Agent shall have received a Beneficial Ownership Certification in relation to the Borrower to the extent reasonably requested by it at least 10 Business Days in advance of the Closing Date.</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Administrative Agent shall have received a certificate from a Responsible Officer of the Borrower certifying the satisfaction of the conditions precedent set forth in </w:t>
      </w:r>
      <w:r>
        <w:rPr>
          <w:rFonts w:ascii="Times New Roman" w:cs="Times New Roman" w:eastAsia="Times New Roman" w:hAnsi="Times New Roman"/>
          <w:sz w:val="20"/>
          <w:szCs w:val="20"/>
          <w:u w:val="single" w:color="auto"/>
          <w:color w:val="auto"/>
        </w:rPr>
        <w:t>Sections 4.01(e)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determining whether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have been satisfied on the Closing Date, by funding the Loans hereunder or issuing a Letter of Credit on the Closing Date, the Administrative Agent, each Lender and each Issuing Bank, as applicable, shall be deemed to have consented to, approved or accepted, or to be satisfied with, each document or other matter required hereunder to be consented to or approved by or acceptable or satisfactory to the Administrative Agent, such Lender or such Issuing Bank, as the case may be.</w:t>
      </w:r>
    </w:p>
    <w:p>
      <w:pPr>
        <w:spacing w:after="0" w:line="7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to the extent that the Lien on any Collateral is not or cannot be created or perfected on the Closing Date (other than, to the extent required herein or in the other Loan Documents, the creation and perfection of a Lien on Collateral that is of the type that may be perfected by the filing of a Form UCC-1 financing statement under the UCC), then the creation and/or perfection of such Lien shall not constitute a condition precedent to the availability or initial funding of the Credit Facilities on the Closing Date, but may instead be delivered or perfected within the time period set forth in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(or such later date as the Administrative Agent may reasonably agree).</w:t>
      </w:r>
    </w:p>
    <w:p>
      <w:pPr>
        <w:spacing w:after="0" w:line="7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Section 4.02. Each Credit Extension. After the Closing Date, the obligation of each Revolving Lender and each Issuing Bank to make any Credit Extension is subject to the satisfaction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12414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139" w:lineRule="exact"/>
        <w:rPr>
          <w:sz w:val="20"/>
          <w:szCs w:val="20"/>
          <w:color w:val="auto"/>
        </w:rPr>
      </w:pPr>
    </w:p>
    <w:p>
      <w:pPr>
        <w:ind w:firstLine="757"/>
        <w:spacing w:after="0" w:line="269" w:lineRule="auto"/>
        <w:tabs>
          <w:tab w:leader="none" w:pos="114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 the case of any Borrowing, the Administrative Agent shall have received a Borrowing Request as required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(ii) in the case of the issuance of any Letter of Credit,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Issuing Bank and the Administrative Agent shall have received a Letter of Credit Request or (iii) in the case of any Borrowing of Swingline Loans, the Swingline Lender and the Administrative Agent shall have received Borrowing Request as required by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60" w:lineRule="auto"/>
        <w:tabs>
          <w:tab w:leader="none" w:pos="114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any representation and warranty specifically refers to a given date or period, it shall be true and correct in all material respects as of such date or for such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172" w:lineRule="exact"/>
        <w:rPr>
          <w:rFonts w:ascii="Times New Roman" w:cs="Times New Roman" w:eastAsia="Times New Roman" w:hAnsi="Times New Roman"/>
          <w:sz w:val="19"/>
          <w:szCs w:val="19"/>
          <w:color w:val="auto"/>
        </w:rPr>
      </w:pPr>
    </w:p>
    <w:p>
      <w:pPr>
        <w:ind w:right="20" w:firstLine="757"/>
        <w:spacing w:after="0" w:line="269" w:lineRule="auto"/>
        <w:tabs>
          <w:tab w:leader="none" w:pos="114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the applicable Credit Extension, no Default or Event of Default has occurred and is continuing.</w:t>
      </w:r>
    </w:p>
    <w:p>
      <w:pPr>
        <w:spacing w:after="0" w:line="15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 xml:space="preserve">Each Credit Extension after the Closing Date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the avoidance of doubt, the conditions set forth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shall not apply to (A) any Incremental Loan and/or (B) any Credit Extension under any Refinancing Amendment and/or Extension Amendment, unless, in each case, the lenders in respect thereof have required satisfaction of the same in the applicable Incremental Facility Amendment, Refinancing Amendment or Extension Amendment, as applicable.</w:t>
      </w:r>
    </w:p>
    <w:p>
      <w:pPr>
        <w:spacing w:after="0" w:line="7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 xml:space="preserve">From the Closing Date until the date on which all Revolving Credit Commitments have expired or terminated and the principal of and interest on each Loan and all fees, expenses and other amounts payable under any Loan Document (other than (i) contingent indemnification obligations for which no claim or demand has been made and (ii) for the avoidance of doubt, obligations and liabilities under Banking Services Obligations and Secured Hedging Obligations) have been paid in full in the manner prescribed by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all Letters of Credit have expired or have been terminated (or have been made subject to Letter of Credit Support) and all LC Disbursements have been reimbursed (such date,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Holdings (solely to the extent applicable to it) and the Borrower hereby covenant and agree with the Lenders, the Issuing Banks and the Administrative Agent that:</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5.01.  Financial Statements and Other Reports. The Borrower will deliver to the Administrative Agent for delivery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1139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1391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Administrative Agent,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to each Lender:</w:t>
      </w:r>
    </w:p>
    <w:p>
      <w:pPr>
        <w:spacing w:after="0" w:line="194" w:lineRule="exact"/>
        <w:rPr>
          <w:sz w:val="20"/>
          <w:szCs w:val="20"/>
          <w:color w:val="auto"/>
        </w:rPr>
      </w:pPr>
    </w:p>
    <w:p>
      <w:pPr>
        <w:jc w:val="both"/>
        <w:ind w:firstLine="757"/>
        <w:spacing w:after="0" w:line="244" w:lineRule="auto"/>
        <w:tabs>
          <w:tab w:leader="none" w:pos="115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Within 45 days after the end of each of the first three Fiscal Quarters of each Fiscal Year, commencing with the Fiscal Quarter ending on September 30, 2021, the consolidated balance sheet of the Borrower as at the end of such Fiscal Quarter and the related consolidated statements of income or operations and cash flows of the Borrower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comparison against the corresponding figures from the corresponding period in any prior Fiscal Year may reflect the financial results of any applicable predecessor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firstLine="757"/>
        <w:spacing w:after="0" w:line="242" w:lineRule="auto"/>
        <w:tabs>
          <w:tab w:leader="none" w:pos="118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Within 90 days after the end of each Fiscal Year ending after the Closing Date, (i) the consolidated balance sheet of the Borrower as at the end of such Fiscal Year and the related consolidated statements of income or operations and cash flows of the Borrower for such Fiscal Year and setting forth, in reasonable detail, in comparative form the corresponding figures for the previous Fiscal Year (it being understood and agreed that no such comparison shall be required if (A) the relevant independent certified public accountant is not willing to provide the same or (B) the corresponding figures from the previous Fiscal Year are not available) and (ii) with respect to such consolidated financial statements, a report thereon of an independent certified public accountant of recognized national standing (which report shall not be subject to (A) a “going concern” qualification (but not a “going concern” explanatory paragraph or like statement) (except as resulting from, in the good faith determination of the Borrower, (1) the impending maturity of any Indebtedness, (2) the breach or anticipated breach of any financial covenant and/or (3) the activities, operations, financial results, assets or liabilities of any Unrestricted Subsidiary) or (B) a qualification as to the scope of the relevant audit), and shall state that such consolidated financial statements fairly present, in all material respects, the consolidated financial position of the Borrower as at the dates indicated and its results of operations and cash flows for the periods indicated in conformity with GAAP;</w:t>
      </w:r>
    </w:p>
    <w:p>
      <w:pPr>
        <w:spacing w:after="0" w:line="187"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pursuant to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a duly executed and completed Compliance Certificate and (ii) (A) a summary of the pro forma adjustments (if any) necessary to eliminate the accounts of Unrestricted Subsidiaries (if any) from such financial statements and (B) a list identifying each Unrestricted Subsidiary as of the last day of the Fiscal Quarter covered by such Compliance Certificate or confirmation that there is no change in such information since the later of the Closing Date and the date of the last such list delivered pursuant to this </w:t>
      </w:r>
      <w:r>
        <w:rPr>
          <w:rFonts w:ascii="Times New Roman" w:cs="Times New Roman" w:eastAsia="Times New Roman" w:hAnsi="Times New Roman"/>
          <w:sz w:val="20"/>
          <w:szCs w:val="20"/>
          <w:u w:val="single" w:color="auto"/>
          <w:color w:val="auto"/>
        </w:rPr>
        <w:t>clause (ii)(B)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7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Notice of Material Adverse Effect</w:t>
      </w:r>
      <w:r>
        <w:rPr>
          <w:rFonts w:ascii="Times New Roman" w:cs="Times New Roman" w:eastAsia="Times New Roman" w:hAnsi="Times New Roman"/>
          <w:sz w:val="20"/>
          <w:szCs w:val="20"/>
          <w:color w:val="auto"/>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written notice specifying the nature and period of existence of such condition, event or change and what action the Borrower has taken, is taking and proposes to take with respect thereto;</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upon any Responsible Officer of the Borrower becoming aware of the occurrence of any ERISA Event that would reasonably be expected to have a Material Adverse Effect, a written notice specifying the nature thereof from the Borrower;</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Within 90 days of the relevant change (or such later date to which the Administrative Agent may agree in its reasonable discretion), written notice (i) with respect to Holdings, the Borrower or any other Loan Party that is a Domestic Subsidiary, of any change in (A) such Loan Party’s legal name, (B) such Loan Party’s type of organization, (C) such Loan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45" w:lineRule="auto"/>
        <w:rPr>
          <w:sz w:val="20"/>
          <w:szCs w:val="20"/>
          <w:color w:val="auto"/>
        </w:rPr>
      </w:pPr>
      <w:r>
        <w:rPr>
          <w:rFonts w:ascii="Times New Roman" w:cs="Times New Roman" w:eastAsia="Times New Roman" w:hAnsi="Times New Roman"/>
          <w:sz w:val="20"/>
          <w:szCs w:val="20"/>
          <w:color w:val="auto"/>
        </w:rPr>
        <w:t>jurisdiction of organization or (D) such Loan Party’s organizational identification number,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 and (ii) with respect to any Loan Party that is a Discretionary Guarantor, such types of changes affecting the perfection or priority of the Administrative Agent’s security interest in the applicable Collateral of such Discretionary Guarantor as the Borrower and the Administrative Agent have agreed in connection with such Loan Party becoming a Discretionary Guarantor; and</w:t>
      </w:r>
    </w:p>
    <w:p>
      <w:pPr>
        <w:spacing w:after="0" w:line="184" w:lineRule="exact"/>
        <w:rPr>
          <w:sz w:val="20"/>
          <w:szCs w:val="20"/>
          <w:color w:val="auto"/>
        </w:rPr>
      </w:pPr>
    </w:p>
    <w:p>
      <w:pPr>
        <w:jc w:val="both"/>
        <w:ind w:firstLine="757"/>
        <w:spacing w:after="0" w:line="244" w:lineRule="auto"/>
        <w:tabs>
          <w:tab w:leader="none" w:pos="115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Reports.</w:t>
      </w:r>
      <w:r>
        <w:rPr>
          <w:rFonts w:ascii="Times New Roman" w:cs="Times New Roman" w:eastAsia="Times New Roman" w:hAnsi="Times New Roman"/>
          <w:sz w:val="20"/>
          <w:szCs w:val="20"/>
          <w:color w:val="auto"/>
        </w:rPr>
        <w:t xml:space="preserve"> Promptly upon their becoming available and without duplication of any obligation with respect to any such information that is otherwise required to be delivered under the provisions of any Loan Document, copies of (i) all financial statements, reports, notices and proxy statements sent or made available generally by the Borrower, Holdings or its applicable Parent Company to all of its security holders acting in such capacity and (ii) all regular and periodic reports and all registration statements (other than on Form S-8 or a similar form) and prospectuses, if any, publicly filed by the Borrower, Holdings or its applicable Parent Company with any securities exchange or with the SEC or any analogous Governmental Authority or private regulatory authority with jurisdiction over matters relating to securities, in each case other than any prospectus relating to any equity plan; and</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Such customary additional information (financial or otherwise) that is readily available to the Borrower as the Administrative Agent may reasonably request from time to time regarding the financial condition or business of the Borrower and its Restricted Subsidiaries.</w:t>
      </w:r>
    </w:p>
    <w:p>
      <w:pPr>
        <w:spacing w:after="0" w:line="1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may be delivered electronically and if so delivered, shall be deemed to have been delivered on the earliest to occur of the date (i) on which the Borrower (or a representative thereof) (A) posts such documents or (B) provides a link thereto, in each case, at the website address listed on </w:t>
      </w:r>
      <w:r>
        <w:rPr>
          <w:rFonts w:ascii="Times New Roman" w:cs="Times New Roman" w:eastAsia="Times New Roman" w:hAnsi="Times New Roman"/>
          <w:sz w:val="19"/>
          <w:szCs w:val="19"/>
          <w:u w:val="single" w:color="auto"/>
          <w:color w:val="auto"/>
        </w:rPr>
        <w:t>Schedule 5.01</w:t>
      </w:r>
      <w:r>
        <w:rPr>
          <w:rFonts w:ascii="Times New Roman" w:cs="Times New Roman" w:eastAsia="Times New Roman" w:hAnsi="Times New Roman"/>
          <w:sz w:val="19"/>
          <w:szCs w:val="19"/>
          <w:color w:val="auto"/>
        </w:rPr>
        <w:t xml:space="preserve"> (which </w:t>
      </w:r>
      <w:r>
        <w:rPr>
          <w:rFonts w:ascii="Times New Roman" w:cs="Times New Roman" w:eastAsia="Times New Roman" w:hAnsi="Times New Roman"/>
          <w:sz w:val="19"/>
          <w:szCs w:val="19"/>
          <w:u w:val="single" w:color="auto"/>
          <w:color w:val="auto"/>
        </w:rPr>
        <w:t>Schedule 5.01</w:t>
      </w:r>
      <w:r>
        <w:rPr>
          <w:rFonts w:ascii="Times New Roman" w:cs="Times New Roman" w:eastAsia="Times New Roman" w:hAnsi="Times New Roman"/>
          <w:sz w:val="19"/>
          <w:szCs w:val="19"/>
          <w:color w:val="auto"/>
        </w:rPr>
        <w:t xml:space="preserve"> may be updated from time to time),</w:t>
      </w:r>
    </w:p>
    <w:p>
      <w:pPr>
        <w:ind w:left="300" w:hanging="292"/>
        <w:spacing w:after="0"/>
        <w:tabs>
          <w:tab w:leader="none" w:pos="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which such documents are delivered by the Borrower to the Administrative Agent for posting on behalf of the Borrower on</w:t>
      </w:r>
    </w:p>
    <w:p>
      <w:pPr>
        <w:ind w:righ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IntraLinks/SyndTrak or another relevant website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if any, to which each Lender and the Administrative Agent have access (whether a commercial, third-party website or whether sponsored by the Administrative Agent) or (B) on which the relevant documents are electronically mailed or otherwise transmitted to the Administrative Agent in a manner to which the Administrative Agent may reasonably agree or (iii) in respect of the items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on which such items have been made available on the SEC website or the website of the relevant analogous governmental or private regulatory authority or securities exchange (including, for the avoidance of doubt, by way of “EDGAR”).</w:t>
      </w:r>
    </w:p>
    <w:p>
      <w:pPr>
        <w:spacing w:after="0" w:line="8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may instead be satisfied with respect to any relevant information of the Borrower by furnishing (i) the applicable financial statements or other information required by such clauses of Holdings (or any other Parent Company) or (ii) in the case of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Borrower’s or Holdings’ (or any other Parent Company thereof), as applicable, Form 10-K or 10-Q, as applicable, filed with the SEC or any securities exchange, in each case, within the time periods specified in such paragraphs and without any requirement to provide notice of such filing to the Administrative Agent or any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 to the extent (x) such financial statements relate to any Parent Company and (y) either (1)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(2) there are material differences (in the good faith determination of the Borrower) between the financial statements of such Parent Company and its consolidated subsidiaries, on the one hand, and the Borrower and its consolidated subsidiaries, on the other hand, such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right="40"/>
        <w:spacing w:after="0" w:line="244" w:lineRule="auto"/>
        <w:rPr>
          <w:sz w:val="20"/>
          <w:szCs w:val="20"/>
          <w:color w:val="auto"/>
        </w:rPr>
      </w:pPr>
      <w:r>
        <w:rPr>
          <w:rFonts w:ascii="Times New Roman" w:cs="Times New Roman" w:eastAsia="Times New Roman" w:hAnsi="Times New Roman"/>
          <w:sz w:val="20"/>
          <w:szCs w:val="20"/>
          <w:color w:val="auto"/>
        </w:rPr>
        <w:t xml:space="preserve">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the Borrower and its consolidated subsidiaries on a consolidated stand-alone basis, on the other hand (other than any such difference relating to shareholders’ equity), and (B) to the extent such financial statements are in lieu of statements required to be provided under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such statements shall be accompanied by a report and opinion with respect to the financial statements of the applicable Parent Company of an independent registered public accounting firm of nationally recognized standing, which report and opinion shall satisfy the applicable requirements set forth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No financial statement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required to include any acquisition accounting adjustment relating to the Transactions or any Permitted Acquisition or other Investment to the extent it is not practicable to include any such adjustment in such financial statement.</w:t>
      </w:r>
    </w:p>
    <w:p>
      <w:pPr>
        <w:spacing w:after="0" w:line="6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5.02. Existence. Except as otherwise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neither Holdings, the Borrower nor any of the Borrower’s Restricted Subsidiaries shall be required to preserve any such existence (other than with respect to the preservation of existence of Holdings and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-1195705</wp:posOffset>
            </wp:positionV>
            <wp:extent cx="5822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 xml:space="preserve">Section 5.03. Payment of Taxes. Holdings and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such Tax need be paid if (a) it is not more than 60 days overdue, (b)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and/or (c) failure to pay or discharge the same could not reasonably be expected, individually or in the aggregate,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-913130</wp:posOffset>
            </wp:positionV>
            <wp:extent cx="10013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xml:space="preserve"> . Holdings and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in each case except as expressly permitted by this Agreement or where the failure to maintain such properties or make such repairs, renewals or replacements could not reasonably be expected to have a Material Adverse Effect.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5.05. Insurance . (a) Except where the failure to do so would not reasonably be expected to have a Material Adverse Effect, the Borrower will maintain or cause to be maintained, with financially sound and reputable insurers, such insurance coverage with respect to liability, loss or damage in respect of the assets, properties and businesses of the Borrower and its Restricted Subsidiaries as may customarily be carried or maintained under similar circumstances by Persons of established reputation engaged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-471170</wp:posOffset>
            </wp:positionV>
            <wp:extent cx="5994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similar businesses, in each case in such amounts (giving effect to self-insurance), with such deductibles, covering such risks and otherwise on such terms and conditions as shall be customary for such Persons. Each such policy of insurance shall, subject to </w:t>
      </w:r>
      <w:r>
        <w:rPr>
          <w:rFonts w:ascii="Times New Roman" w:cs="Times New Roman" w:eastAsia="Times New Roman" w:hAnsi="Times New Roman"/>
          <w:sz w:val="19"/>
          <w:szCs w:val="19"/>
          <w:u w:val="single" w:color="auto"/>
          <w:color w:val="auto"/>
        </w:rPr>
        <w:t>Section 5.15</w:t>
      </w:r>
      <w:r>
        <w:rPr>
          <w:rFonts w:ascii="Times New Roman" w:cs="Times New Roman" w:eastAsia="Times New Roman" w:hAnsi="Times New Roman"/>
          <w:sz w:val="19"/>
          <w:szCs w:val="19"/>
          <w:color w:val="auto"/>
        </w:rPr>
        <w:t xml:space="preserve">,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(A) contain a lender loss payable clause or endorsement that names the Administrative Agent, on behalf of the Secured Parties as the lender loss payee thereunder and (B) provide for at least 30 days’ prior written notice to the Administrative Agent of any modification or cancellation of such policy (or 10 days’ prior written notice in the case of the failure to pay any premium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 Event of Default exists, (A) the Administrative Agent agrees that the Borrower and/or its applicable Restricted Subsidiary shall have the sole right to adjust or settle any claims under such insurance, and (B) all proceeds from a casualty event shall be paid to the Borrower.</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Inspections</w:t>
      </w:r>
      <w:r>
        <w:rPr>
          <w:rFonts w:ascii="Times New Roman" w:cs="Times New Roman" w:eastAsia="Times New Roman" w:hAnsi="Times New Roman"/>
          <w:sz w:val="20"/>
          <w:szCs w:val="20"/>
          <w:color w:val="auto"/>
        </w:rPr>
        <w:t xml:space="preserve"> . The Borrower will, and the Borrower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(or any of its subsidiaries) may, if it so chooses, be present at or participate in any such discussion), all upon reasonable notice and at reasonable times during normal business hours;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only the Administrative Agent on behalf of the Lenders may exercise the rights of the Administrative Agent and the Lenders under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(b) except as expressly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during the continuance of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the Administrative Agent shall not exercise such rights more often than one time during any calendar year and (c) when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the Administrative Agent (or any of its representatives or independent contractors) may do any of the foregoing at the expense of the Borrower at any time during normal business hours and upon reasonable advance notice.</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Maintenance of Books and Records</w:t>
      </w:r>
      <w:r>
        <w:rPr>
          <w:rFonts w:ascii="Times New Roman" w:cs="Times New Roman" w:eastAsia="Times New Roman" w:hAnsi="Times New Roman"/>
          <w:sz w:val="20"/>
          <w:szCs w:val="20"/>
          <w:color w:val="auto"/>
        </w:rPr>
        <w:t xml:space="preserve"> .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5.08. Compliance with Laws. The Borrower will comply, and the Borrower will cause each of its Restricted Subsidiaries to comply, with all applicable Requirements of Law (including applicable ERISA and all Environmental Laws, any Sanctions, the USA PATRIOT Act and the FCPA), except to the extent the failure of Holdings, the Borrower or the relevant Restricted Subsidiary to comply could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set forth in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as they pertain to compliance by any Foreign Subsidiary with any Sanctions, the USA PATRIOT ACT and the FCPA, are subject to and limited by any Requirement of Law applicable to such Foreign Subsidiary in its relevant local jurisdiction and shall not apply to such Foreign Subsidiary to the extent the same conflict with relevant local Requirements of Law applicable to such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-904240</wp:posOffset>
            </wp:positionV>
            <wp:extent cx="12680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Environmental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64" w:lineRule="auto"/>
        <w:tabs>
          <w:tab w:leader="none" w:pos="1171"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Disclosure</w:t>
      </w:r>
      <w:r>
        <w:rPr>
          <w:rFonts w:ascii="Times New Roman" w:cs="Times New Roman" w:eastAsia="Times New Roman" w:hAnsi="Times New Roman"/>
          <w:sz w:val="19"/>
          <w:szCs w:val="19"/>
          <w:color w:val="auto"/>
        </w:rPr>
        <w:t>. The Borrower will deliver to the Administrative Agent as soon as practicable following the sending or receipt thereof by the Borrower or any of its Restricted Subsidiaries, a copy of any and all written communications with respect to</w:t>
      </w:r>
    </w:p>
    <w:p>
      <w:pPr>
        <w:ind w:left="340" w:hanging="332"/>
        <w:spacing w:after="0"/>
        <w:tabs>
          <w:tab w:leader="none" w:pos="3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that, individually or in the aggregate, would reasonably be expected to give rise to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ind w:firstLine="8"/>
        <w:spacing w:after="0" w:line="245" w:lineRule="auto"/>
        <w:tabs>
          <w:tab w:leader="none" w:pos="32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Release required to be reported by the Borrower or any of its Restricted Subsidiaries to any federal, state or local governmental or regulatory agency or other Governmental Authority that would reasonably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 and (D) such other documents and information as from time to time may be reasonably requested by the Administrative Agent in relation to any matters disclosed pursuant to this </w:t>
      </w:r>
      <w:r>
        <w:rPr>
          <w:rFonts w:ascii="Times New Roman" w:cs="Times New Roman" w:eastAsia="Times New Roman" w:hAnsi="Times New Roman"/>
          <w:sz w:val="20"/>
          <w:szCs w:val="20"/>
          <w:u w:val="single" w:color="auto"/>
          <w:color w:val="auto"/>
        </w:rPr>
        <w:t>Section 5.09(a)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Hazardous Materials Activities, Etc</w:t>
      </w:r>
      <w:r>
        <w:rPr>
          <w:rFonts w:ascii="Times New Roman" w:cs="Times New Roman" w:eastAsia="Times New Roman" w:hAnsi="Times New Roman"/>
          <w:sz w:val="20"/>
          <w:szCs w:val="20"/>
          <w:color w:val="auto"/>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would reasonably be expected to have, individually or in the aggregate, a Material Adverse Effect.</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5.10. Designation of Subsidiaries. The Borrower may at any time after the Closing Date designate (or re-designate) any subsidiary as an Unrestricted Subsidiary or any Unrestricted Subsidiary as a Restricted Subsidiary; provided, that (a) immediately after giving effect to such designation (or re-designation), no Event of Default exists (including after giving effect to the reclassification of any Investment in, Indebtedness of and/or Lien on the assets of, the applicable Restricted Subsidiary or Unrestricted Subsidiary), (b) immediately after giving effect to such designation (or re-designation), 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on a Pro Forma Basis as of the last day of the most recently ended Test Period, (c) no Restricted Subsidiary may be designated as an Unrestricted Subsidiary if such Restricted Subsidiary owns any Material Intellectual Property as of the date of such designation and (d) as of the date of the designation thereof, no Unrestricted Subsidiary shall own any Capital Stock in any Restricted Subsidiary of the Borrower (unless such Restricted Subsidiary is also designated as an Unrestricted Subsidiary).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The designation of any Unrestricted Subsidiary as a Restricted Subsidiary shall constitute the making, incurrence or granting, as applicable, at the time of designation of any then-existing Investment, Indebtedness or Lien of such subsidiary, as applicable; provided, that upon any re-designation of any Unrestricted Subsidiary as a Restricted Subsidiary, the Borrower (or its applicable Restricted Subsidiary) shall be deemed to continue to have an Investment in the resulting Restricted Subsidiary in an amount (if positive) equal to (a) the Borrower’s (or its applicable Restricted Subsidiary’s) “Investment” in such Restricted Subsidiary at the time of such re-designation, less (b) the portion of the fair market value of the net assets of such Restricted Subsidiary attributable to the Borrower’s (or its applicable Restricted Subsidiary’s) equity therein at the time of such re-designation as estimated by the Borrower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-2651125</wp:posOffset>
            </wp:positionV>
            <wp:extent cx="1499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6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5.11.</w:t>
      </w:r>
      <w:r>
        <w:rPr>
          <w:sz w:val="20"/>
          <w:szCs w:val="20"/>
          <w:color w:val="auto"/>
        </w:rPr>
        <w:tab/>
      </w:r>
      <w:r>
        <w:rPr>
          <w:rFonts w:ascii="Times New Roman" w:cs="Times New Roman" w:eastAsia="Times New Roman" w:hAnsi="Times New Roman"/>
          <w:sz w:val="19"/>
          <w:szCs w:val="19"/>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-10795</wp:posOffset>
            </wp:positionV>
            <wp:extent cx="9150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9" w:lineRule="auto"/>
        <w:tabs>
          <w:tab w:leader="none" w:pos="114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color w:val="FF0000"/>
          <w:strike w:val="1"/>
        </w:rPr>
        <w:t>shall use</w:t>
      </w:r>
      <w:r>
        <w:rPr>
          <w:rFonts w:ascii="Times New Roman" w:cs="Times New Roman" w:eastAsia="Times New Roman" w:hAnsi="Times New Roman"/>
          <w:sz w:val="20"/>
          <w:szCs w:val="20"/>
          <w:u w:val="single" w:color="auto"/>
          <w:color w:val="0000FF"/>
        </w:rPr>
        <w:t>(i) used</w:t>
      </w:r>
      <w:r>
        <w:rPr>
          <w:rFonts w:ascii="Times New Roman" w:cs="Times New Roman" w:eastAsia="Times New Roman" w:hAnsi="Times New Roman"/>
          <w:sz w:val="20"/>
          <w:szCs w:val="20"/>
          <w:color w:val="auto"/>
        </w:rPr>
        <w:t xml:space="preserve"> the proceeds of the Revolving Loans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made</w:t>
      </w:r>
      <w:r>
        <w:rPr>
          <w:rFonts w:ascii="Times New Roman" w:cs="Times New Roman" w:eastAsia="Times New Roman" w:hAnsi="Times New Roman"/>
          <w:sz w:val="20"/>
          <w:szCs w:val="20"/>
          <w:color w:val="auto"/>
        </w:rPr>
        <w:t xml:space="preserve"> on the Closing Date, (A) to finance (or to replenish balance sheet cash used to finance) all or a portion of the Transactions (including the payment of Transaction Costs and other costs and expenses), (B) to finance other general corporate purposes, (C) to finance working capital needs and (D) to cash collateralize letters of credit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on behalf of the Borrower and its subsidiaries under the Existing Credit Agreement, and (ii) </w:t>
      </w:r>
      <w:r>
        <w:rPr>
          <w:rFonts w:ascii="Times New Roman" w:cs="Times New Roman" w:eastAsia="Times New Roman" w:hAnsi="Times New Roman"/>
          <w:sz w:val="20"/>
          <w:szCs w:val="20"/>
          <w:color w:val="FF0000"/>
          <w:strike w:val="1"/>
        </w:rPr>
        <w:t>after the Closing</w:t>
      </w:r>
      <w:r>
        <w:rPr>
          <w:rFonts w:ascii="Times New Roman" w:cs="Times New Roman" w:eastAsia="Times New Roman" w:hAnsi="Times New Roman"/>
          <w:sz w:val="20"/>
          <w:szCs w:val="20"/>
          <w:u w:val="single" w:color="auto"/>
          <w:color w:val="0000FF"/>
        </w:rPr>
        <w:t>shall use the proceeds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2025 Revolving Loans on the Amendment No. 2 Effective Date to refinance (or to replenish balance sheet cash used to refinance) all Revolving Loans outstanding immediately prior to the Amendment No. 2 Effective Date (including the payment of any transaction costs incurred in connection therewith) and, after the Amendment No. 2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Date, to finance working capital needs and other general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corporate purposes of the Borrower and its subsidiaries and </w:t>
      </w:r>
      <w:r>
        <w:rPr>
          <w:rFonts w:ascii="Times New Roman" w:cs="Times New Roman" w:eastAsia="Times New Roman" w:hAnsi="Times New Roman"/>
          <w:sz w:val="20"/>
          <w:szCs w:val="20"/>
          <w:u w:val="single" w:color="auto"/>
          <w:color w:val="0000FF"/>
        </w:rPr>
        <w:t>for</w:t>
      </w:r>
      <w:r>
        <w:rPr>
          <w:rFonts w:ascii="Times New Roman" w:cs="Times New Roman" w:eastAsia="Times New Roman" w:hAnsi="Times New Roman"/>
          <w:sz w:val="20"/>
          <w:szCs w:val="20"/>
          <w:color w:val="000000"/>
        </w:rPr>
        <w:t xml:space="preserve"> any other purpose not prohibited by the terms of the Loan Documents.</w:t>
      </w:r>
    </w:p>
    <w:p>
      <w:pPr>
        <w:spacing w:after="0" w:line="185" w:lineRule="exact"/>
        <w:rPr>
          <w:sz w:val="20"/>
          <w:szCs w:val="20"/>
          <w:color w:val="auto"/>
        </w:rPr>
      </w:pPr>
    </w:p>
    <w:p>
      <w:pPr>
        <w:jc w:val="both"/>
        <w:ind w:right="20" w:firstLine="757"/>
        <w:spacing w:after="0" w:line="254" w:lineRule="auto"/>
        <w:tabs>
          <w:tab w:leader="none" w:pos="114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use the proceeds of the Swingline Loans made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to finance the working capital needs and other general corporate purposes of the Borrower and its subsidiaries and for any other purpose not prohibited by the terms of the Loan Documents.</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color w:val="FF0000"/>
          <w:strike w:val="1"/>
        </w:rPr>
        <w:t>shall use</w:t>
      </w:r>
      <w:r>
        <w:rPr>
          <w:rFonts w:ascii="Times New Roman" w:cs="Times New Roman" w:eastAsia="Times New Roman" w:hAnsi="Times New Roman"/>
          <w:sz w:val="20"/>
          <w:szCs w:val="20"/>
          <w:u w:val="single" w:color="auto"/>
          <w:color w:val="0000FF"/>
        </w:rPr>
        <w:t>(i) used</w:t>
      </w:r>
      <w:r>
        <w:rPr>
          <w:rFonts w:ascii="Times New Roman" w:cs="Times New Roman" w:eastAsia="Times New Roman" w:hAnsi="Times New Roman"/>
          <w:sz w:val="20"/>
          <w:szCs w:val="20"/>
          <w:color w:val="auto"/>
        </w:rPr>
        <w:t xml:space="preserve"> the proceeds of the </w:t>
      </w:r>
      <w:r>
        <w:rPr>
          <w:rFonts w:ascii="Times New Roman" w:cs="Times New Roman" w:eastAsia="Times New Roman" w:hAnsi="Times New Roman"/>
          <w:sz w:val="20"/>
          <w:szCs w:val="20"/>
          <w:color w:val="FF0000"/>
          <w:strike w:val="1"/>
        </w:rPr>
        <w:t>Initial</w:t>
      </w:r>
      <w:r>
        <w:rPr>
          <w:rFonts w:ascii="Times New Roman" w:cs="Times New Roman" w:eastAsia="Times New Roman" w:hAnsi="Times New Roman"/>
          <w:sz w:val="20"/>
          <w:szCs w:val="20"/>
          <w:color w:val="auto"/>
        </w:rPr>
        <w:t xml:space="preserve"> Term Loans made on the Closing Date </w:t>
      </w:r>
      <w:r>
        <w:rPr>
          <w:rFonts w:ascii="Times New Roman" w:cs="Times New Roman" w:eastAsia="Times New Roman" w:hAnsi="Times New Roman"/>
          <w:sz w:val="20"/>
          <w:szCs w:val="20"/>
          <w:color w:val="FF0000"/>
          <w:strike w:val="1"/>
        </w:rPr>
        <w:t>solely</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finance all or a portion of the Transactions (and the payment of Transaction Costs) and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auto"/>
        </w:rPr>
        <w:t xml:space="preserve">) to the extent </w:t>
      </w:r>
      <w:r>
        <w:rPr>
          <w:rFonts w:ascii="Times New Roman" w:cs="Times New Roman" w:eastAsia="Times New Roman" w:hAnsi="Times New Roman"/>
          <w:sz w:val="20"/>
          <w:szCs w:val="20"/>
          <w:color w:val="FF0000"/>
          <w:strike w:val="1"/>
        </w:rPr>
        <w:t>of</w:t>
      </w:r>
      <w:r>
        <w:rPr>
          <w:rFonts w:ascii="Times New Roman" w:cs="Times New Roman" w:eastAsia="Times New Roman" w:hAnsi="Times New Roman"/>
          <w:sz w:val="20"/>
          <w:szCs w:val="20"/>
          <w:u w:val="single" w:color="auto"/>
          <w:color w:val="0000FF"/>
        </w:rPr>
        <w:t>there were</w:t>
      </w:r>
      <w:r>
        <w:rPr>
          <w:rFonts w:ascii="Times New Roman" w:cs="Times New Roman" w:eastAsia="Times New Roman" w:hAnsi="Times New Roman"/>
          <w:sz w:val="20"/>
          <w:szCs w:val="20"/>
          <w:color w:val="auto"/>
        </w:rPr>
        <w:t xml:space="preserve"> any remaining proceeds, for general corporate purposes of the Borrower and its subsidiaries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(ii) shall use the proceeds of the 2025 Term Loans on the Amendment No.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Effective Date to refinance all Term Loans outstanding immediately prior to the Amendment No. 2 Effective Date in full (including the payment of any transaction costs incurred in connection therewith).</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Letters of Credit </w:t>
      </w:r>
      <w:r>
        <w:rPr>
          <w:rFonts w:ascii="Times New Roman" w:cs="Times New Roman" w:eastAsia="Times New Roman" w:hAnsi="Times New Roman"/>
          <w:sz w:val="20"/>
          <w:szCs w:val="20"/>
          <w:color w:val="FF0000"/>
          <w:strike w:val="1"/>
        </w:rPr>
        <w:t>may be issued (i) on the Closing</w:t>
      </w:r>
      <w:r>
        <w:rPr>
          <w:rFonts w:ascii="Times New Roman" w:cs="Times New Roman" w:eastAsia="Times New Roman" w:hAnsi="Times New Roman"/>
          <w:sz w:val="20"/>
          <w:szCs w:val="20"/>
          <w:u w:val="single" w:color="auto"/>
          <w:color w:val="0000FF"/>
        </w:rPr>
        <w:t>(i) were issued prior to the Amendment No. 2 Effective</w:t>
      </w:r>
      <w:r>
        <w:rPr>
          <w:rFonts w:ascii="Times New Roman" w:cs="Times New Roman" w:eastAsia="Times New Roman" w:hAnsi="Times New Roman"/>
          <w:sz w:val="20"/>
          <w:szCs w:val="20"/>
          <w:color w:val="auto"/>
        </w:rPr>
        <w:t xml:space="preserve"> Date in the ordinary course of business and to replace or provide credit support for any letter of credit, bank guarantee and/or surety, customs, performance or similar bond of the Borrower and its subsidiaries or any of their Affiliates and/or to replace cash collateral posted by any of the foregoing Persons and (ii) </w:t>
      </w:r>
      <w:r>
        <w:rPr>
          <w:rFonts w:ascii="Times New Roman" w:cs="Times New Roman" w:eastAsia="Times New Roman" w:hAnsi="Times New Roman"/>
          <w:sz w:val="20"/>
          <w:szCs w:val="20"/>
          <w:u w:val="single" w:color="auto"/>
          <w:color w:val="0000FF"/>
        </w:rPr>
        <w:t>may be issued</w:t>
      </w:r>
      <w:r>
        <w:rPr>
          <w:rFonts w:ascii="Times New Roman" w:cs="Times New Roman" w:eastAsia="Times New Roman" w:hAnsi="Times New Roman"/>
          <w:sz w:val="20"/>
          <w:szCs w:val="20"/>
          <w:color w:val="auto"/>
        </w:rPr>
        <w:t xml:space="preserve">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for general corporate purposes of the Borrower and its subsidiaries and any other purpose not prohibited by the terms of the Loan Documents. </w:t>
      </w:r>
      <w:r>
        <w:rPr>
          <w:rFonts w:ascii="Times New Roman" w:cs="Times New Roman" w:eastAsia="Times New Roman" w:hAnsi="Times New Roman"/>
          <w:sz w:val="20"/>
          <w:szCs w:val="20"/>
          <w:color w:val="0000FF"/>
        </w:rPr>
        <w:t>For the avoidance of doubt, any Letters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which were issued prior to the Amendment No. 2 Effective Date and are outstanding on the Amendment No. 2 Effective Date shall be deemed a Letter of Credit issued under the 2025 Revolving Credit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-321310</wp:posOffset>
            </wp:positionV>
            <wp:extent cx="26028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5.12.  Covenant to Guarantee Obligations and Provide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955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 the formation or acquisition after the Closing Date of any Restricted Subsidiary, (ii) the designation of any Unrestricted Subsidiary as a Restricted Subsidiary or (iii) any Restricted Subsidiary that was an Excluded Subsidiary ceasing to be an Excluded Subsidiary, on or before the date on which a Compliance Certificate is required to be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for the Fiscal Quarter in which the relevant formation, acquisition, designation or cessation occurred (or such longer period as the Administrative Agent may reasonably agree), the Borrower shall (A) cause such Restricted Subsidiary (other than any Excluded Subsidiary) to comply with the requirements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“Collateral and Guarantee Requirement” and (B) upon the reasonable request of the Administrative Agent, which request may not be made unless the Consolidated Total Assets of the relevant Restricted Subsidiary constitutes more than 10% of the Consolidated Total Assets of the Borrower and its Restricted Subsidiaries, taken as a whole, cause the relevant Restricted Subsidiary (other than any Excluded Subsidiary) to deliver to the Administrative Agent a signed copy of a customary opinion of counsel for such Restricted Subsidiary, addressed to the Administrative Agent, the Issuing Banks and the Lenders.</w:t>
      </w:r>
    </w:p>
    <w:p>
      <w:pPr>
        <w:spacing w:after="0" w:line="19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Borrower may, in its sole discretion, elect to cause any Restricted Subsidiary and/or Parent Company (any such Person, a “</w:t>
      </w:r>
      <w:r>
        <w:rPr>
          <w:rFonts w:ascii="Times New Roman" w:cs="Times New Roman" w:eastAsia="Times New Roman" w:hAnsi="Times New Roman"/>
          <w:sz w:val="20"/>
          <w:szCs w:val="20"/>
          <w:u w:val="single" w:color="auto"/>
          <w:color w:val="auto"/>
        </w:rPr>
        <w:t>Discretionary Guarantor</w:t>
      </w:r>
      <w:r>
        <w:rPr>
          <w:rFonts w:ascii="Times New Roman" w:cs="Times New Roman" w:eastAsia="Times New Roman" w:hAnsi="Times New Roman"/>
          <w:sz w:val="20"/>
          <w:szCs w:val="20"/>
          <w:color w:val="auto"/>
        </w:rPr>
        <w:t>”) that is not otherwise required to be a Subsidiary Guarantor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provide a Loan Guaranty by causing such Person to execute a Joinder Agreement, and any such Person shall constitute a Loan Party and a Guarantor for all purposes hereunder; it being understood and agreed that such Person shall grant a security interest in such categories of assets pursuant to such documentation as the Borrower and the Administrative Agent may reasonably agree;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any Discretionary Guarantor that is a Foreign Subsidiary, the jurisdiction of such person is reasonably satisfactory to the Administrative Agent and (ii) the Administrative Agent shall have received at least two Business Days prior to such person becoming a Guarantor, all documentation and other information in respect of such person required under applicable “know your customer” and anti-money laundering rules and regulations (including the USA Patriot Act).</w:t>
      </w:r>
    </w:p>
    <w:p>
      <w:pPr>
        <w:spacing w:after="0" w:line="186" w:lineRule="exact"/>
        <w:rPr>
          <w:sz w:val="20"/>
          <w:szCs w:val="20"/>
          <w:color w:val="auto"/>
        </w:rPr>
      </w:pPr>
    </w:p>
    <w:p>
      <w:pPr>
        <w:ind w:left="1160" w:hanging="403"/>
        <w:spacing w:after="0"/>
        <w:tabs>
          <w:tab w:leader="none" w:pos="11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it is understood and agreed that: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grant extensions of time (including after the expiration of any relevant period, which may apply retroactively) for the creation and perfection of security interests in, or obtaining of legal opinions or other deliverables with respect to, particular assets or the provision of any Loan Guaranty by any Restricted Subsidiary, and each Lender hereby consents to any such extension of time;</w:t>
      </w:r>
    </w:p>
    <w:p>
      <w:pPr>
        <w:spacing w:after="0" w:line="17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required to be granted from time to time pursuant to the definition of “Collateral and Guarantee Requirement” and/or any action requested in connection therewith shall be subject to the exceptions and limitations set forth in this Agreement and the Collateral Documents;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perfection by control shall not be required with respect to assets requiring perfection through control agreements or other control arrangements, including Deposit Accounts, securities accounts and commodities accounts (other than control of (A) pledged Capital Stock of the Borrower or any material first tier Restricted Subsidiary that is a Wholly-Owned Subsidiary and/or (B) any Material Debt Instrument owing from any Person that is not a Loan Party, in each case, to the extent the same otherwise constitute Collateral);</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be required to seek any landlord lien waiver, bailee letter, estoppel, warehouseman waiver or other collateral access or similar letter or agreement;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(other than any Discretionary Guarantor that is organized under the laws of a jurisdiction outside of the US) will be required to (A) take any action to grant or perfect a security interest in any asset located outside of the US or (B) execute any security agreement, pledge agreement, mortgage, deed, charge or other collateral document governed by the laws of any jurisdiction other than the US, any state thereof or the District of Columbia; it being understood and agreed that no Loan Party (including any Discretionary Guarantor) will be required to take any action to perfect a security interest in the Collateral in any jurisdiction other than the jurisdiction in which such Loan Party is organized (other than with respect to the required pledge of the Capital Stock of any Discretionary Guarantor that is not organized under the laws of the United States or any state thereof, the jurisdiction of organization of such Discretionary Guarantor);</w:t>
      </w:r>
    </w:p>
    <w:p>
      <w:pPr>
        <w:spacing w:after="0" w:line="18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(A) the Collateral include any Excluded Asset or (B) any Excluded Subsidiary be required to become a Subsidiary Guarantor;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below, no action shall be required to perfect any Lien with respect to (A) any vehicle or other asset subject to a certificate of title, (B) any Letter-of-Credit Right, (C) the Capital Stock of any Immaterial Subsidiary (other than any Immaterial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74" w:lineRule="auto"/>
        <w:rPr>
          <w:sz w:val="20"/>
          <w:szCs w:val="20"/>
          <w:color w:val="auto"/>
        </w:rPr>
      </w:pPr>
      <w:r>
        <w:rPr>
          <w:rFonts w:ascii="Times New Roman" w:cs="Times New Roman" w:eastAsia="Times New Roman" w:hAnsi="Times New Roman"/>
          <w:sz w:val="19"/>
          <w:szCs w:val="19"/>
          <w:color w:val="auto"/>
        </w:rPr>
        <w:t>that is a Loan Party), (D) the Capital Stock of any Person that is not a subsidiary, which Person, if a subsidiary, would constitute an Immaterial Subsidiary and/or (E) any aircraft, in each case, except to the extent that a security interest therein can be perfected by filing a Form UCC-1 (or similar) financing statement under the UCC (without the requirement to list a “VIN” or similar number);</w:t>
      </w:r>
    </w:p>
    <w:p>
      <w:pPr>
        <w:spacing w:after="0" w:line="156" w:lineRule="exact"/>
        <w:rPr>
          <w:sz w:val="20"/>
          <w:szCs w:val="20"/>
          <w:color w:val="auto"/>
        </w:rPr>
      </w:pPr>
    </w:p>
    <w:p>
      <w:pPr>
        <w:jc w:val="both"/>
        <w:ind w:firstLine="745"/>
        <w:spacing w:after="0" w:line="255" w:lineRule="auto"/>
        <w:tabs>
          <w:tab w:leader="none" w:pos="15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 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 of Law notwithstanding the relevant prohibition, violation or termination right;</w:t>
      </w:r>
    </w:p>
    <w:p>
      <w:pPr>
        <w:spacing w:after="0" w:line="181" w:lineRule="exact"/>
        <w:rPr>
          <w:rFonts w:ascii="Times New Roman" w:cs="Times New Roman" w:eastAsia="Times New Roman" w:hAnsi="Times New Roman"/>
          <w:sz w:val="19"/>
          <w:szCs w:val="19"/>
          <w:color w:val="auto"/>
        </w:rPr>
      </w:pPr>
    </w:p>
    <w:p>
      <w:pPr>
        <w:jc w:val="both"/>
        <w:ind w:firstLine="745"/>
        <w:spacing w:after="0" w:line="254"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Loan Party shall be required to perfect a Lien in any asset to the extent the perfection of a security interest in such asset would be prohibited under any applicable Requirement of Law and (B) it is understood and agreed, for the avoidance of doubt, that no Loan Party shall be required to comply with the Federal Assignment of Claims Act or any similar statute;</w:t>
      </w:r>
    </w:p>
    <w:p>
      <w:pPr>
        <w:spacing w:after="0" w:line="17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Joinder Agreement, any Collateral Document and/or any other Loan Document executed by any Restricted Subsidiary that is required to become (or otherwise becomes) a Loan Party pursuant to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secured amount is disproportionate to the cost of such fees, taxes and duties;</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5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require the taking of a Lien on, or require the perfection of any Lien granted in, any asset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3" w:name="page164"/>
    <w:bookmarkEnd w:id="163"/>
    <w:p>
      <w:pPr>
        <w:jc w:val="both"/>
        <w:ind w:left="760" w:firstLine="745"/>
        <w:spacing w:after="0" w:line="243" w:lineRule="auto"/>
        <w:tabs>
          <w:tab w:leader="none" w:pos="23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Discretionary Guarantor that is organized under the laws of a jurisdiction outside the US, no Loan Party shall be required, and the Administrative Agent shall not be authorized, to perfect any security interest by means other than (A) filings pursuant to the Uniform Commercial Code in the office of the secretary of state (or similar central filing office) of any Loan Party’s jurisdiction of organization, (B) filings with the US federal government offices with respect to IP Rights as expressly required by the Security Agreement, or (C) delivery to the Administrative Agent, for its possession (subject to the terms of any applicable Intercreditor Agreement), of any Collateral consisting of pledged Capital Stock held by any Loan Party in the Borrower or any Restricted Subsidiary that is a Wholly-Owned Subsidiary and/or any Material Debt Instrument issued to the Borrower or another Loan Party, in each case, to the extent required by the Security Agreement; and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Collateral Document executed and delivered after the Closing Date will impose any commercial obligation on any Loan Party or contain any representation, warranty or undertaking that is not required for the creation and/or perfection of a security interest in the relevant asset and (B) to the extent the subject matter of any representation, warranty or undertaking in any Collateral Document executed and delivered after the Closing Date is the same as any representation, warranty or covenant in the Credit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w:t>
      </w:r>
    </w:p>
    <w:p>
      <w:pPr>
        <w:spacing w:after="0" w:line="186" w:lineRule="exact"/>
        <w:rPr>
          <w:sz w:val="20"/>
          <w:szCs w:val="20"/>
          <w:color w:val="auto"/>
        </w:rPr>
      </w:pPr>
    </w:p>
    <w:p>
      <w:pPr>
        <w:jc w:val="both"/>
        <w:ind w:firstLine="757"/>
        <w:spacing w:after="0" w:line="254" w:lineRule="auto"/>
        <w:tabs>
          <w:tab w:leader="none" w:pos="114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for the avoidance of doubt that the Borrower may elect to join any Domestic Subsidiary that is not required to be or become a Subsidiary Guarantor solely because such Restricted Subsidiary is an Immaterial Subsidiary without (i) the consent of the Administrative Agent or (ii) delivery of an opinion of counsel.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5.13.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64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5.14.  Further Assurances. Promptly upon request of the Administrative Agent and subject to the limitations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076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757"/>
        <w:spacing w:after="0" w:line="246" w:lineRule="auto"/>
        <w:tabs>
          <w:tab w:leader="none" w:pos="114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other Loan Party to, execute any and all further documents, financing statements, agreements, instruments, notices and acknowledgments and take all such further actions (including the filing and recordation of financing statements and/or amendments thereto and other documents), that may be required under any applicable Requirement of Law and which the Administrative Agent may reasonably request to ensure the creation, perfection and priority of the Liens created or intended to be created under the Collateral Documents, all at the expense of the relevant Loan Parties; and</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as the Administrative Agent may reasonably request from time to time in order to ensure the creation, perfection and priority of the Liens created or intended to be created under the Collateral Documents.</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5.15. Post-Closing Covenant . Take the actions required by </w:t>
      </w: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 xml:space="preserve"> in each case within the time periods specified therein (or, in each case, such longer period to which the Administrative Agent may reasonably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-192405</wp:posOffset>
            </wp:positionV>
            <wp:extent cx="12731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 The Borrower shall, and shall cause its Restricted Subsidiaries to, consummate any transaction with any Affiliate thereof that involves payment in excess of the greater of $</w:t>
      </w:r>
      <w:r>
        <w:rPr>
          <w:rFonts w:ascii="Times New Roman" w:cs="Times New Roman" w:eastAsia="Times New Roman" w:hAnsi="Times New Roman"/>
          <w:sz w:val="20"/>
          <w:szCs w:val="20"/>
          <w:color w:val="FF0000"/>
          <w:strike w:val="1"/>
        </w:rPr>
        <w:t>17,500,000</w:t>
      </w:r>
      <w:r>
        <w:rPr>
          <w:rFonts w:ascii="Times New Roman" w:cs="Times New Roman" w:eastAsia="Times New Roman" w:hAnsi="Times New Roman"/>
          <w:sz w:val="20"/>
          <w:szCs w:val="20"/>
          <w:u w:val="single" w:color="auto"/>
          <w:color w:val="0000FF"/>
        </w:rPr>
        <w:t>18,000,000</w:t>
      </w:r>
      <w:r>
        <w:rPr>
          <w:rFonts w:ascii="Times New Roman" w:cs="Times New Roman" w:eastAsia="Times New Roman" w:hAnsi="Times New Roman"/>
          <w:sz w:val="20"/>
          <w:szCs w:val="20"/>
          <w:color w:val="auto"/>
        </w:rPr>
        <w:t xml:space="preserve"> and 20% of Consolidated Adjusted EBITDA as of the last day of the most recently ended Test Period, on terms that are at least as favorable (as determined by the Borrower in good faith at the time of the execution of the definitive agreement relating thereto) to the Borrower or such Restricted Subsidiary, as the case may be, as those that might be obtained at the time in a comparable arm’s-length transaction from a Person who is not an Affiliate (or, if in the good faith judgment of Borrower, there is no comparable transaction on the basis of which to make the comparison described above, such transaction is fair to the Borrower or its applicable Restricted Subsidiary from a financial point of view);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requirement shall not apply to:</w:t>
      </w:r>
    </w:p>
    <w:p>
      <w:pPr>
        <w:spacing w:after="0" w:line="189" w:lineRule="exact"/>
        <w:rPr>
          <w:sz w:val="20"/>
          <w:szCs w:val="20"/>
          <w:color w:val="auto"/>
        </w:rPr>
      </w:pPr>
    </w:p>
    <w:p>
      <w:pPr>
        <w:jc w:val="both"/>
        <w:ind w:firstLine="757"/>
        <w:spacing w:after="0" w:line="244"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between or among Holdings, the Borrower and/or one or more Restricted Subsidiaries (or any entity that becomes a Restricted Subsidiary as a result of such transaction) to the extent permitted or not restricted by this Agreement (it being understood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not permit any Restricted Subsidiary that is not a Wholly-Owned Subsidiary to make a distribution to, or repurchase of its Capital Stock from, any Affiliate (other than Holdings, the Borrower and/or one or more Restricted Subsidiaries) to the extent the share of the foregoing made or paid to Holdings, the Borrower or any of the Restricted Subsidiaries is not at least pro rata to the percentage of such class of Capital Stock in such Restricted Subsidiary that is not a Wholly-Owned Subsidiary that is owned by the Borrower and its other Restricted Subsidiaries);</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collective bargaining, employment or severance agreement or compensatory (including profit sharing) arrangement (including salary or guaranteed payment and bonuses)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any transaction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8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transactions permitted by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and (ii) issuances of Capital Stock, equity contributions and issuances and incurrences of Indebtedness not otherwise restricted by this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in existence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then exists or would result therefrom, the payment of management, monitoring, consulting, transaction, oversight, advisory and similar fees to any Investor in an amount not to exceed the greater of $2,500,000 and 2% of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Adjusted EBITDA per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fees may continue to accrue during the pendency of any such Event of Default and shall become payable upon the waiver, termination or cure of the relevant Event of Default and (ii) the payment or reimbursement of all indemnification obligations and expenses owed to any Investor and any of their respective directors, officers, members of management, managers, employees and consultants,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whether currently due or paid in respect of accruals from prior periods;</w:t>
      </w:r>
    </w:p>
    <w:p>
      <w:pPr>
        <w:spacing w:after="0" w:line="185" w:lineRule="exact"/>
        <w:rPr>
          <w:sz w:val="20"/>
          <w:szCs w:val="20"/>
          <w:color w:val="auto"/>
        </w:rPr>
      </w:pPr>
    </w:p>
    <w:p>
      <w:pPr>
        <w:ind w:left="1160" w:hanging="403"/>
        <w:spacing w:after="0"/>
        <w:tabs>
          <w:tab w:leader="none" w:pos="11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and the payment of Transaction Costs;</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compensation to, and reimbursement of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that are otherwise permitted (or not restricted)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179" w:lineRule="exact"/>
        <w:rPr>
          <w:rFonts w:ascii="Times New Roman" w:cs="Times New Roman" w:eastAsia="Times New Roman" w:hAnsi="Times New Roman"/>
          <w:sz w:val="20"/>
          <w:szCs w:val="20"/>
          <w:color w:val="auto"/>
        </w:rPr>
      </w:pPr>
    </w:p>
    <w:p>
      <w:pPr>
        <w:jc w:val="both"/>
        <w:ind w:firstLine="757"/>
        <w:spacing w:after="0" w:line="247" w:lineRule="auto"/>
        <w:tabs>
          <w:tab w:leader="none" w:pos="1145"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joint ventures, purchasers or sellers of goods or services or providers of employees or other labor entered into in the ordinary course of business, which are (i) fair to the Borrower and/or its applicable Restricted Subsidiary in the good faith determination of the Borrower (or its board of directors (or similar governing body) or senior management) or</w:t>
      </w:r>
    </w:p>
    <w:p>
      <w:pPr>
        <w:ind w:left="300" w:hanging="292"/>
        <w:spacing w:after="0"/>
        <w:tabs>
          <w:tab w:leader="none" w:pos="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terms at least as favorable as might reasonably be obtained from a Person other than an Affiliate;</w:t>
      </w:r>
    </w:p>
    <w:p>
      <w:pPr>
        <w:spacing w:after="0" w:line="193"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out-of-pocket costs and expenses related to registration rights and customary indemnities provided to shareholders under any shareholder agreement;</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purchase by Holdings of the Capital Stock of (or contribution to the equity capital of) the Borrower and (ii) any intercompany loan made by the Borrower to Holdings or any Restricted Subsidiary;</w:t>
      </w:r>
    </w:p>
    <w:p>
      <w:pPr>
        <w:spacing w:after="0" w:line="159" w:lineRule="exact"/>
        <w:rPr>
          <w:rFonts w:ascii="Times New Roman" w:cs="Times New Roman" w:eastAsia="Times New Roman" w:hAnsi="Times New Roman"/>
          <w:sz w:val="20"/>
          <w:szCs w:val="20"/>
          <w:color w:val="auto"/>
        </w:rPr>
      </w:pPr>
    </w:p>
    <w:p>
      <w:pPr>
        <w:jc w:val="both"/>
        <w:ind w:firstLine="757"/>
        <w:spacing w:after="0" w:line="263" w:lineRule="auto"/>
        <w:tabs>
          <w:tab w:leader="none" w:pos="1145"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either (i) are no less favorable to the Borrower or the applicable Restricted Subsidiary than might be obtained at the time in a comparable arm’s length transaction from a Person who is not an Affiliate or (ii) fair to the Borrower or the relevant Restricted Subsidiary from a financial point of view;</w:t>
      </w:r>
    </w:p>
    <w:p>
      <w:pPr>
        <w:spacing w:after="0" w:line="166" w:lineRule="exact"/>
        <w:rPr>
          <w:rFonts w:ascii="Times New Roman" w:cs="Times New Roman" w:eastAsia="Times New Roman" w:hAnsi="Times New Roman"/>
          <w:sz w:val="19"/>
          <w:szCs w:val="19"/>
          <w:color w:val="auto"/>
        </w:rPr>
      </w:pPr>
    </w:p>
    <w:p>
      <w:pPr>
        <w:jc w:val="both"/>
        <w:ind w:firstLine="757"/>
        <w:spacing w:after="0" w:line="254" w:lineRule="auto"/>
        <w:tabs>
          <w:tab w:leader="none" w:pos="114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269" w:lineRule="auto"/>
        <w:rPr>
          <w:sz w:val="20"/>
          <w:szCs w:val="20"/>
          <w:color w:val="auto"/>
        </w:rPr>
      </w:pPr>
      <w:r>
        <w:rPr>
          <w:rFonts w:ascii="Times New Roman" w:cs="Times New Roman" w:eastAsia="Times New Roman" w:hAnsi="Times New Roman"/>
          <w:sz w:val="20"/>
          <w:szCs w:val="20"/>
          <w:color w:val="auto"/>
        </w:rPr>
        <w:t>governing body) or a majority of the disinterested members of the board of directors (or similar governing body) of the Borrower in good faith;</w:t>
      </w:r>
    </w:p>
    <w:p>
      <w:pPr>
        <w:spacing w:after="0" w:line="159" w:lineRule="exact"/>
        <w:rPr>
          <w:sz w:val="20"/>
          <w:szCs w:val="20"/>
          <w:color w:val="auto"/>
        </w:rPr>
      </w:pPr>
    </w:p>
    <w:p>
      <w:pPr>
        <w:ind w:left="1160" w:hanging="403"/>
        <w:spacing w:after="0"/>
        <w:tabs>
          <w:tab w:leader="none" w:pos="11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 connection with any Receivables Facility;</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pursuant to any tax sharing agreement or arrangement (whether written or as a matter of practice), that would otherwise be permitted as a distribution pursuant to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of any intellectual property right in the ordinary course of business to permit the commercial use of intellectual property between or among the Borrower and/or any subsidiary and/or Affiliate thereof;</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series of related transactions) approved by a majority of the disinterested directors (or members of any similar governing body) of the Borrower or an applicable Parent Company;</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any Investor or Parent Company in securities or Indebtedness of the Borrower and/or any Guarantor;</w:t>
      </w:r>
    </w:p>
    <w:p>
      <w:pPr>
        <w:spacing w:after="0" w:line="215"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not otherwise prohibited by this Agreement for the purpose of (i) forming a holding company and/or (ii) reincorporating the Borrower in a new jurisdiction;</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to or from, and/or any transaction with, any joint venture or Unrestricted Subsidiary in the ordinary course of business or consistent with past practice, industry practice or industry norms (including, any cash management activity related thereto);</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existence and performance of any agreement and/or transaction with any Unrestricted Subsidiary that was entered into or consummated prior to the designation of such subsidiary as an Unrestricted Subsidiary to the extent that such agreement or transaction was permitted at the time that it was entered into with such Restricted Subsidiary and/or (ii) any transaction entered into by any Unrestricted Subsidiary with any Affiliate prior to the re-designation of such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transaction was not entered into in contemplation of such designation or re-designation, as applicable;</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contribution (whether or not in exchange for the issuance of additional Capital Stock) or loan to any Unrestricted Subsidiary that is not otherwise prohibited by this Agreement;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pursuant to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4" w:lineRule="auto"/>
        <w:tabs>
          <w:tab w:leader="none" w:pos="114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investment by any Affiliate in the Loans, loans, securities or other Indebtedness of the Borrower and/or any Restricted Subsidiary (and payment of reasonable out-of-pocket expenses incurred by such Affiliates in connection therewith) so long as the investment is being offered by the Borrower or such Restricted Subsidiary generally to other investors on the same or more favorable terms and (ii) payments and/or distributions to Affiliates in respect of the Loans, loans, securities or Indebtedness of the Borrower or any Restricted Subsidiary in connection with the securities and other Indebtedness contemplated in the foregoing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or that were acquired from Persons other than the Borrower and the Restricted Subsidiaries, in each case, in accordance with the terms of such securities or Indebtedness; and/or</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any portfolio company of any Investor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5.17. Fiscal Year . In the event that the Borrower elects to change the end date of its Fiscal Year to a date other than as described in the definition of “Fiscal Year”, the Borrower shall notify the Administrative Agent in writing, in which case the Borrower and the Administrative Agent will, and are hereby authorized to, make any adjustment to this Agreement that is necessary to reflect such change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-471170</wp:posOffset>
            </wp:positionV>
            <wp:extent cx="6743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5.18. Nature of Business. From and after the Closing Date, the Borrower shall, and shall cause its Restricted Subsidiaries to, ensure that any material line of business in which it engages is either (a) a business engaged in by the Borrower and/or any Restricted Subsidiary on the Closing Date or a similar, incidental, complementary, ancillary or related business or (b) another line of business to which,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Administrative Agent provides its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-471170</wp:posOffset>
            </wp:positionV>
            <wp:extent cx="10585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5.19. Amendments or Waivers of Organizational Documents . The Borrower shall, and shall cause each Subsidiary Guarantor to, ensure that it does not, without the consent of the Administrative Agent, amend or modify its respective Organizational Documents in a manner that is, in the good faith determination of the Borrower, materially adverse to the Lenders (in their capacity as such),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it is understood and agreed that the Borrower and/or any Subsidiary Guarantor may make any change to its organizational form and/or consummate any other transaction that is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-613410</wp:posOffset>
            </wp:positionV>
            <wp:extent cx="30099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09900" cy="8255"/>
                    </a:xfrm>
                    <a:prstGeom prst="rect">
                      <a:avLst/>
                    </a:prstGeom>
                    <a:noFill/>
                  </pic:spPr>
                </pic:pic>
              </a:graphicData>
            </a:graphic>
          </wp:anchor>
        </w:drawing>
      </w:r>
    </w:p>
    <w:p>
      <w:pPr>
        <w:spacing w:after="0" w:line="16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From the Closing Date until the Termination Date, the Borrower (and, solely in the case of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Holdings) covenants and agrees with the Lenders, the Issuing Banks and the Administrative Agent that:</w:t>
      </w:r>
    </w:p>
    <w:p>
      <w:pPr>
        <w:spacing w:after="0" w:line="5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The Borrower shall not, nor shall it permit any of its Restricted Subsidiaries to create, incur, assume or otherwise become or remain liable with respect to any Indebtedness, except:</w:t>
      </w:r>
    </w:p>
    <w:p>
      <w:pPr>
        <w:spacing w:after="0" w:line="159" w:lineRule="exact"/>
        <w:rPr>
          <w:sz w:val="20"/>
          <w:szCs w:val="20"/>
          <w:color w:val="auto"/>
        </w:rPr>
      </w:pPr>
    </w:p>
    <w:p>
      <w:pPr>
        <w:ind w:left="1160" w:hanging="403"/>
        <w:spacing w:after="0"/>
        <w:tabs>
          <w:tab w:leader="none" w:pos="11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Borrower to Holdings and/or any Restricted Subsidiary and/or (ii) any Restricted Subsidiary to Holdings, the Borrower and/or any 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 the case of any Indebtedness of any Restricted Subsidiary that is not a Loan Party owing to the Borrower or any Restricted Subsidiary that is a Loan Party, the related Investment is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and (B) any Indebtedness of any Loan Party owing to any Restricted Subsidiary that is not a Loan Party incurred in reliance on this clause (b) must be unsecured and expressly subordinated to the Obligations of such Loan Party on terms that are reasonably acceptable to the Administrative Agent (it being understood that the subordination terms set forth in the Intercompany Note are acceptable to the Administrative Agent);</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arising from any agreement providing for indemnification, adjustment of purchase price or similar obligations (including contingent earn-out obligations) incurred in connection with the Transactions, any Disposition permitted hereunder, any acquisition or other Investment permitted hereunder or consummated prior to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or any other purchase of assets or Capital Stock or any other Investment, and (ii) Indebtedness arising from guaranties, letters of credit, bank guaranties, surety bonds, performance bonds or similar instruments securing the performance of the Borrower or any such Restricted Subsidiary pursuant to any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jc w:val="both"/>
        <w:ind w:firstLine="757"/>
        <w:spacing w:after="0" w:line="246"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or pursuant to self-insurance obligations and not in connection with debt for borrowed money and (ii) in respect of letters of credit, bank guaranties, surety bonds, performance bonds or similar instruments to support any of the foregoing items;</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in respect of Banking Services and/or otherwise in connection with Cash management and Deposit Accounts;</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other obligations not prohibited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Guarantee by any Loan Party of the obligations of any non-Loan Party, the related Investment is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existing, or pursuant to commitments existing, on the Closing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Restricted Subsidiaries that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such Indebtedness shall not exceed the greater of $42,500,000 and </w:t>
      </w:r>
      <w:r>
        <w:rPr>
          <w:rFonts w:ascii="Times New Roman" w:cs="Times New Roman" w:eastAsia="Times New Roman" w:hAnsi="Times New Roman"/>
          <w:sz w:val="20"/>
          <w:szCs w:val="20"/>
          <w:color w:val="FF0000"/>
          <w:strike w:val="1"/>
        </w:rPr>
        <w:t>50</w:t>
      </w:r>
      <w:r>
        <w:rPr>
          <w:rFonts w:ascii="Times New Roman" w:cs="Times New Roman" w:eastAsia="Times New Roman" w:hAnsi="Times New Roman"/>
          <w:sz w:val="20"/>
          <w:szCs w:val="20"/>
          <w:u w:val="single" w:color="auto"/>
          <w:color w:val="0000FF"/>
        </w:rPr>
        <w:t>20</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consisting of obligations owing under incentive, supply, license or similar agreements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spacing w:after="0" w:line="174"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with respect to Capital Leases and purchase money Indebtedness in an aggregate outstanding principal amount not to exceed the greater of $42,500,000 and </w:t>
      </w:r>
      <w:r>
        <w:rPr>
          <w:rFonts w:ascii="Times New Roman" w:cs="Times New Roman" w:eastAsia="Times New Roman" w:hAnsi="Times New Roman"/>
          <w:sz w:val="20"/>
          <w:szCs w:val="20"/>
          <w:color w:val="FF0000"/>
          <w:strike w:val="1"/>
        </w:rPr>
        <w:t>50</w:t>
      </w:r>
      <w:r>
        <w:rPr>
          <w:rFonts w:ascii="Times New Roman" w:cs="Times New Roman" w:eastAsia="Times New Roman" w:hAnsi="Times New Roman"/>
          <w:sz w:val="20"/>
          <w:szCs w:val="20"/>
          <w:u w:val="single" w:color="auto"/>
          <w:color w:val="0000FF"/>
        </w:rPr>
        <w:t>20</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Restricted Subsidiary and/or Indebtedness assumed in connection with any acquisition or similar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(A) existed at the time such Person became a Restricted Subsidiary or the assets subject to such Indebtedness were acquired and (B) was not created or incurred in contemplation of the applicable acquisition or similar Investment,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ind w:left="1900" w:hanging="395"/>
        <w:spacing w:after="0"/>
        <w:tabs>
          <w:tab w:leader="none" w:pos="190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Indebtedness on a Pro Forma Basis, the Borrower is in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refinancing, refunding or replacing any Indebtedness permitted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(in any case, including any refinancing Indebtedness incurred in respect thereof,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and any subsequent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 additional Indebtedness referenced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satisfies the other applicable requirements of this definition (with additional amounts incurred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760" w:firstLine="745"/>
        <w:spacing w:after="0" w:line="246" w:lineRule="auto"/>
        <w:tabs>
          <w:tab w:leader="none" w:pos="190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Refinancing Indebtedness with respect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(other than Customary Bridge Loans), such Indebtedness (other than revolving indebtedness) has (A) a final maturity equal to or later than (and, in the case of revolving Indebtedness, does not require mandatory commitment reductions, if any, prior to) the Latest Term Loan Maturity Date and (B) a Weighted Average Life to Maturity equal to or greater than the Weighted Average Life to Maturity of the outstanding Term Loans at such time;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any Replacement Debt with an original principal amount in excess of the Threshold Amount (excluding, to the extent applicable, pricing (including any “MFN” provision), fees, premiums, rate floors, optional prepayment, funding discounts, maturity, amortization schedule, redemption terms or subordination terms and security), are not, taken as a whole (as determined by the Borrower in good faith), more favorable to the lenders providing such Indebtedness than those applicable to the Indebtedness being refinanced, refunded or replaced (other than (A) any covenant or any other provision applicable only to periods after the applicable maturity date of the debt then being refinanced as of such date, (B) any covenant or provision which constitutes a then-current market term for the applicable type of Indebtedness (as determined by the Borrower in good faith), or (C) any covenant or other provision which is conformed (or added) to the Loan Documents for the benefit of the Lenders or, as applicable, the Administrative Agent, pursuant to an amendment to this Agreement effectuated in reliance on </w:t>
      </w:r>
      <w:r>
        <w:rPr>
          <w:rFonts w:ascii="Times New Roman" w:cs="Times New Roman" w:eastAsia="Times New Roman" w:hAnsi="Times New Roman"/>
          <w:sz w:val="20"/>
          <w:szCs w:val="20"/>
          <w:u w:val="single" w:color="auto"/>
          <w:color w:val="auto"/>
        </w:rPr>
        <w:t>Section 9.02(d)(ii)</w:t>
      </w:r>
      <w:r>
        <w:rPr>
          <w:rFonts w:ascii="Times New Roman" w:cs="Times New Roman" w:eastAsia="Times New Roman" w:hAnsi="Times New Roman"/>
          <w:sz w:val="20"/>
          <w:szCs w:val="20"/>
          <w:color w:val="auto"/>
        </w:rPr>
        <w:t xml:space="preserve">), it being understood and agreed that if any Refinancing Indebtedness that constitutes a revolving facility includes a financial covenant, the requirement set forth in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satisfied if such financial covenant is added to this Agreement for the benefit of the then-existing Revolving Facility but not any then-existing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ind w:left="1143" w:hanging="395"/>
        <w:spacing w:after="0"/>
        <w:tabs>
          <w:tab w:leader="none" w:pos="1143"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Refinancing Indebtedness with respect to Indebtedness permitted under </w:t>
      </w:r>
      <w:r>
        <w:rPr>
          <w:rFonts w:ascii="Times New Roman" w:cs="Times New Roman" w:eastAsia="Times New Roman" w:hAnsi="Times New Roman"/>
          <w:sz w:val="20"/>
          <w:szCs w:val="20"/>
          <w:u w:val="single" w:color="auto"/>
          <w:color w:val="auto"/>
        </w:rPr>
        <w:t>clauses (j)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(n)(ii)(C)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323" w:hanging="323"/>
        <w:spacing w:after="0"/>
        <w:tabs>
          <w:tab w:leader="none" w:pos="323" w:val="left"/>
        </w:tabs>
        <w:numPr>
          <w:ilvl w:val="0"/>
          <w:numId w:val="20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(solely as it relates to the Fixed Incremental Amount),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(z)</w:t>
      </w:r>
      <w:r>
        <w:rPr>
          <w:rFonts w:ascii="Times New Roman" w:cs="Times New Roman" w:eastAsia="Times New Roman" w:hAnsi="Times New Roman"/>
          <w:sz w:val="19"/>
          <w:szCs w:val="19"/>
          <w:color w:val="auto"/>
        </w:rPr>
        <w:t xml:space="preserve"> (solely as it relates to the Fixed Incremental Amount),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and/or</w:t>
      </w:r>
    </w:p>
    <w:p>
      <w:pPr>
        <w:spacing w:after="0" w:line="11" w:lineRule="exact"/>
        <w:rPr>
          <w:rFonts w:ascii="Times New Roman" w:cs="Times New Roman" w:eastAsia="Times New Roman" w:hAnsi="Times New Roman"/>
          <w:sz w:val="19"/>
          <w:szCs w:val="19"/>
          <w:u w:val="single" w:color="auto"/>
          <w:color w:val="auto"/>
        </w:rPr>
      </w:pPr>
    </w:p>
    <w:p>
      <w:pPr>
        <w:jc w:val="both"/>
        <w:ind w:left="3" w:hanging="3"/>
        <w:spacing w:after="0" w:line="242" w:lineRule="auto"/>
        <w:tabs>
          <w:tab w:leader="none" w:pos="308" w:val="left"/>
        </w:tabs>
        <w:numPr>
          <w:ilvl w:val="0"/>
          <w:numId w:val="2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the incurrence thereof shall be without duplication of any amount outstanding in reliance on the relevant clause such that the amount available under the relevant clause shall be reduced by the amount of the applicable Refinancing Indebtedness;</w:t>
      </w:r>
    </w:p>
    <w:p>
      <w:pPr>
        <w:spacing w:after="0" w:line="186" w:lineRule="exact"/>
        <w:rPr>
          <w:rFonts w:ascii="Times New Roman" w:cs="Times New Roman" w:eastAsia="Times New Roman" w:hAnsi="Times New Roman"/>
          <w:sz w:val="20"/>
          <w:szCs w:val="20"/>
          <w:u w:val="single" w:color="auto"/>
          <w:color w:val="auto"/>
        </w:rPr>
      </w:pPr>
    </w:p>
    <w:p>
      <w:pPr>
        <w:jc w:val="both"/>
        <w:ind w:left="3" w:firstLine="745"/>
        <w:spacing w:after="0" w:line="242" w:lineRule="auto"/>
        <w:tabs>
          <w:tab w:leader="none" w:pos="114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Refinancing Indebtedness constituting Replacement Debt, (A) (1) such Indebtedness, if secured, is secured only by Permitted Liens at the time of such refinancing, refunding or replacement (it being understood that secured Indebtedness may be refinanced with unsecured Indebtedness), and (2) either (x)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determined by the Borrower in good faith), taken as a whole, to the Lenders than those (I) applicable to the Liens securing the Indebtedness being refinanced, refunded or replaced, taken as a whole, or (II) set forth in any relevant Intercreditor Agreement or</w:t>
      </w:r>
    </w:p>
    <w:p>
      <w:pPr>
        <w:spacing w:after="0" w:line="5" w:lineRule="exact"/>
        <w:rPr>
          <w:rFonts w:ascii="Times New Roman" w:cs="Times New Roman" w:eastAsia="Times New Roman" w:hAnsi="Times New Roman"/>
          <w:sz w:val="20"/>
          <w:szCs w:val="20"/>
          <w:color w:val="auto"/>
        </w:rPr>
      </w:pPr>
    </w:p>
    <w:p>
      <w:pPr>
        <w:jc w:val="both"/>
        <w:ind w:left="3" w:hanging="3"/>
        <w:spacing w:after="0"/>
        <w:tabs>
          <w:tab w:leader="none" w:pos="35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defeasance, redemption, repurchase, repayment, refinancing or other acquisition or retirement of such Indebtedness is permitted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6.04(b)(i)</w:t>
      </w:r>
      <w:r>
        <w:rPr>
          <w:rFonts w:ascii="Times New Roman" w:cs="Times New Roman" w:eastAsia="Times New Roman" w:hAnsi="Times New Roman"/>
          <w:sz w:val="20"/>
          <w:szCs w:val="20"/>
          <w:color w:val="auto"/>
        </w:rPr>
        <w:t xml:space="preserve">); it being understood that the proceeds of any such Refinancing Indebtedness may be funded into Escrow pursuant to customary (in the good faith determination of the Borrower) escrow arrangements, (B) such Indebtedness is incurred by the obligor or obligors in respect of the Indebtedness being refinanced, refunded or replaced, except to the extent otherwise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(it being understood that (1)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(2) the obligation of any Person with respect to any Escrow arrangement into which the proceeds of such Refinancing Indebtedness are deposited shall not constitute a Guarantee)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6.04(b)(i)</w:t>
      </w:r>
      <w:r>
        <w:rPr>
          <w:rFonts w:ascii="Times New Roman" w:cs="Times New Roman" w:eastAsia="Times New Roman" w:hAnsi="Times New Roman"/>
          <w:sz w:val="20"/>
          <w:szCs w:val="20"/>
          <w:color w:val="auto"/>
        </w:rPr>
        <w:t>); and</w:t>
      </w:r>
    </w:p>
    <w:p>
      <w:pPr>
        <w:spacing w:after="0" w:line="183" w:lineRule="exact"/>
        <w:rPr>
          <w:rFonts w:ascii="Times New Roman" w:cs="Times New Roman" w:eastAsia="Times New Roman" w:hAnsi="Times New Roman"/>
          <w:sz w:val="20"/>
          <w:szCs w:val="20"/>
          <w:color w:val="auto"/>
        </w:rPr>
      </w:pPr>
    </w:p>
    <w:p>
      <w:pPr>
        <w:jc w:val="both"/>
        <w:ind w:left="3" w:firstLine="745"/>
        <w:spacing w:after="0" w:line="257" w:lineRule="auto"/>
        <w:tabs>
          <w:tab w:leader="none" w:pos="1148"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Refinancing Indebtedness constituting Replacement Debt, (A) such Indebtedness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in right of payment and secured by the Collateral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basis with respect to the remaining Obligations hereunder, or is unsecured;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Refinancing Indebtedness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with respect to the Collateral shall be subject to an Intercreditor Agreement, (B) if the Indebtedness being refinanced, refunded or replaced is secured, it is not secured by any asset that does not constitute Collateral; it being understood that the proceeds of any such Refinancing Indebtedness may be funded into Escrow pursuant to customary (in the good faith determination of the Borrower) escrow arrangements, (C) if the Indebtedness being refinanced, refunded or replaced is Guaranteed, it shall not be Guaranteed by any Restricted Subsidiary of the Borrower other than one or more Loan Parties (it being understood that the obligation of any Person with respect to any Escrow arrangement into which the proceeds of such Refinancing Indebtedness are deposited shall not constitute a Guarantee) and (D) such Refinancing Indebtedness is incurred under (and pursuant to) documentation other than this Agreement;</w:t>
      </w:r>
    </w:p>
    <w:p>
      <w:pPr>
        <w:spacing w:after="0" w:line="175" w:lineRule="exact"/>
        <w:rPr>
          <w:sz w:val="20"/>
          <w:szCs w:val="20"/>
          <w:color w:val="auto"/>
        </w:rPr>
      </w:pPr>
    </w:p>
    <w:p>
      <w:pPr>
        <w:ind w:left="3"/>
        <w:spacing w:after="0"/>
        <w:tabs>
          <w:tab w:leader="none" w:pos="383" w:val="left"/>
        </w:tabs>
        <w:rPr>
          <w:sz w:val="20"/>
          <w:szCs w:val="20"/>
          <w:color w:val="auto"/>
        </w:rPr>
      </w:pPr>
      <w:r>
        <w:rPr>
          <w:rFonts w:ascii="Times New Roman" w:cs="Times New Roman" w:eastAsia="Times New Roman" w:hAnsi="Times New Roman"/>
          <w:sz w:val="20"/>
          <w:szCs w:val="20"/>
          <w:color w:val="auto"/>
        </w:rPr>
        <w:t>(q)</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71" w:name="page172"/>
    <w:bookmarkEnd w:id="171"/>
    <w:p>
      <w:pPr>
        <w:ind w:left="1140" w:hanging="403"/>
        <w:spacing w:after="0"/>
        <w:tabs>
          <w:tab w:leader="none" w:pos="11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 w:right="60" w:firstLine="757"/>
        <w:spacing w:after="0" w:line="269" w:lineRule="auto"/>
        <w:tabs>
          <w:tab w:leader="none" w:pos="11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under any Derivative Transaction not entered into for speculative purposes;</w:t>
      </w:r>
    </w:p>
    <w:p>
      <w:pPr>
        <w:spacing w:after="0" w:line="159" w:lineRule="exact"/>
        <w:rPr>
          <w:rFonts w:ascii="Times New Roman" w:cs="Times New Roman" w:eastAsia="Times New Roman" w:hAnsi="Times New Roman"/>
          <w:sz w:val="20"/>
          <w:szCs w:val="20"/>
          <w:color w:val="auto"/>
        </w:rPr>
      </w:pPr>
    </w:p>
    <w:p>
      <w:pPr>
        <w:jc w:val="both"/>
        <w:ind w:left="-20" w:firstLine="757"/>
        <w:spacing w:after="0" w:line="249" w:lineRule="auto"/>
        <w:tabs>
          <w:tab w:leader="none" w:pos="11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179" w:lineRule="exact"/>
        <w:rPr>
          <w:rFonts w:ascii="Times New Roman" w:cs="Times New Roman" w:eastAsia="Times New Roman" w:hAnsi="Times New Roman"/>
          <w:sz w:val="20"/>
          <w:szCs w:val="20"/>
          <w:color w:val="auto"/>
        </w:rPr>
      </w:pPr>
    </w:p>
    <w:p>
      <w:pPr>
        <w:ind w:left="-20" w:firstLine="757"/>
        <w:spacing w:after="0" w:line="269" w:lineRule="auto"/>
        <w:tabs>
          <w:tab w:leader="none" w:pos="11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in an aggregate outstanding principal amount not to exceed the greater of $42,500,000 and </w:t>
      </w:r>
      <w:r>
        <w:rPr>
          <w:rFonts w:ascii="Times New Roman" w:cs="Times New Roman" w:eastAsia="Times New Roman" w:hAnsi="Times New Roman"/>
          <w:sz w:val="20"/>
          <w:szCs w:val="20"/>
          <w:color w:val="FF0000"/>
          <w:strike w:val="1"/>
        </w:rPr>
        <w:t>50</w:t>
      </w:r>
      <w:r>
        <w:rPr>
          <w:rFonts w:ascii="Times New Roman" w:cs="Times New Roman" w:eastAsia="Times New Roman" w:hAnsi="Times New Roman"/>
          <w:sz w:val="20"/>
          <w:szCs w:val="20"/>
          <w:u w:val="single" w:color="auto"/>
          <w:color w:val="0000FF"/>
        </w:rPr>
        <w:t>20</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59"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 w:firstLine="757"/>
        <w:spacing w:after="0" w:line="269" w:lineRule="auto"/>
        <w:tabs>
          <w:tab w:leader="none" w:pos="11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(any Indebtedness incurred pursuant to this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so long as:</w:t>
      </w:r>
    </w:p>
    <w:p>
      <w:pPr>
        <w:spacing w:after="0" w:line="159" w:lineRule="exact"/>
        <w:rPr>
          <w:rFonts w:ascii="Times New Roman" w:cs="Times New Roman" w:eastAsia="Times New Roman" w:hAnsi="Times New Roman"/>
          <w:sz w:val="20"/>
          <w:szCs w:val="20"/>
          <w:color w:val="auto"/>
        </w:rPr>
      </w:pPr>
    </w:p>
    <w:p>
      <w:pPr>
        <w:jc w:val="both"/>
        <w:ind w:left="740" w:firstLine="745"/>
        <w:spacing w:after="0" w:line="246" w:lineRule="auto"/>
        <w:tabs>
          <w:tab w:leader="none" w:pos="188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thereto, including the application of the proceeds thereof (in each case, without “netting” the cash proceeds of the applicable Indebtedness being incurred), the outstanding principal thereof does not exceed an amount equal to the sum of (x) the Fixed Incremental Amount, (y) (A) the Incremental Prepayment Amount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amount of any Incremental Facility and/or Incremental Equivalent Debt incurred or implemented in reliance on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“Incremental Cap” and (z) an additional unlimited amount, so long as, in the case of this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on a Pro Forma Basis:</w:t>
      </w:r>
    </w:p>
    <w:p>
      <w:pPr>
        <w:spacing w:after="0" w:line="184" w:lineRule="exact"/>
        <w:rPr>
          <w:rFonts w:ascii="Times New Roman" w:cs="Times New Roman" w:eastAsia="Times New Roman" w:hAnsi="Times New Roman"/>
          <w:sz w:val="20"/>
          <w:szCs w:val="20"/>
          <w:color w:val="auto"/>
        </w:rPr>
      </w:pPr>
    </w:p>
    <w:p>
      <w:pPr>
        <w:ind w:left="2620" w:hanging="386"/>
        <w:spacing w:after="0"/>
        <w:tabs>
          <w:tab w:leader="none" w:pos="2620" w:val="left"/>
        </w:tabs>
        <w:numPr>
          <w:ilvl w:val="2"/>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Ratio Debt constitutes First Lien Debt, the First Lien Net Leverage Ratio does not exceed 3.60:1.00;</w:t>
      </w:r>
    </w:p>
    <w:p>
      <w:pPr>
        <w:spacing w:after="0" w:line="227" w:lineRule="exact"/>
        <w:rPr>
          <w:rFonts w:ascii="Times New Roman" w:cs="Times New Roman" w:eastAsia="Times New Roman" w:hAnsi="Times New Roman"/>
          <w:sz w:val="19"/>
          <w:szCs w:val="19"/>
          <w:color w:val="auto"/>
        </w:rPr>
      </w:pPr>
    </w:p>
    <w:p>
      <w:pPr>
        <w:ind w:left="2620" w:hanging="386"/>
        <w:spacing w:after="0"/>
        <w:tabs>
          <w:tab w:leader="none" w:pos="2620" w:val="left"/>
        </w:tabs>
        <w:numPr>
          <w:ilvl w:val="2"/>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Ratio Debt constitutes Junior Lien Debt, the Secured Net Leverage Ratio does not exceed 4.10:1.00;</w:t>
      </w:r>
    </w:p>
    <w:p>
      <w:pPr>
        <w:spacing w:after="0" w:line="33" w:lineRule="exact"/>
        <w:rPr>
          <w:rFonts w:ascii="Times New Roman" w:cs="Times New Roman" w:eastAsia="Times New Roman" w:hAnsi="Times New Roman"/>
          <w:sz w:val="19"/>
          <w:szCs w:val="19"/>
          <w:color w:val="auto"/>
        </w:rPr>
      </w:pPr>
    </w:p>
    <w:p>
      <w:pPr>
        <w:ind w:left="1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or</w:t>
      </w:r>
    </w:p>
    <w:p>
      <w:pPr>
        <w:spacing w:after="0" w:line="193" w:lineRule="exact"/>
        <w:rPr>
          <w:rFonts w:ascii="Times New Roman" w:cs="Times New Roman" w:eastAsia="Times New Roman" w:hAnsi="Times New Roman"/>
          <w:sz w:val="19"/>
          <w:szCs w:val="19"/>
          <w:color w:val="auto"/>
        </w:rPr>
      </w:pPr>
    </w:p>
    <w:p>
      <w:pPr>
        <w:ind w:left="1480" w:right="20" w:firstLine="754"/>
        <w:spacing w:after="0" w:line="269" w:lineRule="auto"/>
        <w:tabs>
          <w:tab w:leader="none" w:pos="2624"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is not secured by the Collateral or is unsecured, the Total Net Leverage Ratio does not exceed 4.35:1.00;</w:t>
      </w:r>
    </w:p>
    <w:p>
      <w:pPr>
        <w:spacing w:after="0" w:line="159" w:lineRule="exact"/>
        <w:rPr>
          <w:rFonts w:ascii="Times New Roman" w:cs="Times New Roman" w:eastAsia="Times New Roman" w:hAnsi="Times New Roman"/>
          <w:sz w:val="20"/>
          <w:szCs w:val="20"/>
          <w:color w:val="auto"/>
        </w:rPr>
      </w:pPr>
    </w:p>
    <w:p>
      <w:pPr>
        <w:jc w:val="both"/>
        <w:ind w:left="740" w:firstLine="745"/>
        <w:spacing w:after="0" w:line="254" w:lineRule="auto"/>
        <w:tabs>
          <w:tab w:leader="none" w:pos="188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principal amount of Ratio Debt incurred in reliance on this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by Restricted Subsidiaries that are not Loan Parties shall not, at any time, exceed an amount equal to the greater of $42,500,000 and </w:t>
      </w:r>
      <w:r>
        <w:rPr>
          <w:rFonts w:ascii="Times New Roman" w:cs="Times New Roman" w:eastAsia="Times New Roman" w:hAnsi="Times New Roman"/>
          <w:sz w:val="20"/>
          <w:szCs w:val="20"/>
          <w:color w:val="FF0000"/>
          <w:strike w:val="1"/>
        </w:rPr>
        <w:t>50</w:t>
      </w:r>
      <w:r>
        <w:rPr>
          <w:rFonts w:ascii="Times New Roman" w:cs="Times New Roman" w:eastAsia="Times New Roman" w:hAnsi="Times New Roman"/>
          <w:sz w:val="20"/>
          <w:szCs w:val="20"/>
          <w:u w:val="single" w:color="auto"/>
          <w:color w:val="0000FF"/>
        </w:rPr>
        <w:t>20</w:t>
      </w:r>
      <w:r>
        <w:rPr>
          <w:rFonts w:ascii="Times New Roman" w:cs="Times New Roman" w:eastAsia="Times New Roman" w:hAnsi="Times New Roman"/>
          <w:sz w:val="20"/>
          <w:szCs w:val="20"/>
          <w:color w:val="auto"/>
        </w:rPr>
        <w:t>% of Consolidated Adjusted EBITDA as of the last day of the most recently ended Test Period; and</w:t>
      </w:r>
    </w:p>
    <w:p>
      <w:pPr>
        <w:spacing w:after="0" w:line="174" w:lineRule="exact"/>
        <w:rPr>
          <w:rFonts w:ascii="Times New Roman" w:cs="Times New Roman" w:eastAsia="Times New Roman" w:hAnsi="Times New Roman"/>
          <w:sz w:val="20"/>
          <w:szCs w:val="20"/>
          <w:color w:val="auto"/>
        </w:rPr>
      </w:pPr>
    </w:p>
    <w:p>
      <w:pPr>
        <w:ind w:left="740" w:right="20" w:firstLine="745"/>
        <w:spacing w:after="0" w:line="269" w:lineRule="auto"/>
        <w:tabs>
          <w:tab w:leader="none" w:pos="188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Ratio Debt is issued or incurred by any Loan Party and consists of third party Indebtedness for borrowed money (other than Indebtedness among the Borrower and its Restricted Subsidiaries):</w:t>
      </w:r>
    </w:p>
    <w:p>
      <w:pPr>
        <w:spacing w:after="0" w:line="159" w:lineRule="exact"/>
        <w:rPr>
          <w:rFonts w:ascii="Times New Roman" w:cs="Times New Roman" w:eastAsia="Times New Roman" w:hAnsi="Times New Roman"/>
          <w:sz w:val="20"/>
          <w:szCs w:val="20"/>
          <w:color w:val="auto"/>
        </w:rPr>
      </w:pPr>
    </w:p>
    <w:p>
      <w:pPr>
        <w:ind w:left="1480" w:right="20" w:firstLine="754"/>
        <w:spacing w:after="0" w:line="269" w:lineRule="auto"/>
        <w:tabs>
          <w:tab w:leader="none" w:pos="2624" w:val="left"/>
        </w:tabs>
        <w:numPr>
          <w:ilvl w:val="2"/>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such Indebtedness (other than revolving loans) is no earlier than the Latest Term Loan Maturity Date on the date of the issuance or incurrence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306705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72" w:name="page173"/>
    <w:bookmarkEnd w:id="172"/>
    <w:p>
      <w:pPr>
        <w:ind w:left="1500" w:right="20" w:firstLine="754"/>
        <w:spacing w:after="0" w:line="269" w:lineRule="auto"/>
        <w:tabs>
          <w:tab w:leader="none" w:pos="2644"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applicable to such Indebtedness (other than revolving loans) is no shorter than the Weighted Average Life to Maturity of the then-existing Term Loans, and</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constitutes revolving loans, such Indebtedness will not mature or have any mandatory commitment reductions prior to the Initial Revolving Credit Maturity Date;</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and/or any Restricted Subsidiary incurred in connection with any Sale and Lease-Back Transaction permitted pursuant to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Equivalent Debt;</w:t>
      </w:r>
    </w:p>
    <w:p>
      <w:pPr>
        <w:spacing w:after="0" w:line="216" w:lineRule="exact"/>
        <w:rPr>
          <w:sz w:val="20"/>
          <w:szCs w:val="20"/>
          <w:color w:val="auto"/>
        </w:rPr>
      </w:pPr>
    </w:p>
    <w:p>
      <w:pPr>
        <w:jc w:val="both"/>
        <w:ind w:firstLine="757"/>
        <w:spacing w:after="0" w:line="246"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obligations in respect of letters of credit, bank guarantees, bankers’ acceptances, surety bonds, performance bonds or similar instruments with respect to such Indebtedness) incurred by the Borrower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(i) deferred compensation to current or former directors, officers, employees, members of management, managers and consultants of any Parent Company, the Borrower or any Subsidiary in the ordinary course of business and (ii) deferred compensation or other similar arrangements in connection with the Transactions, any acquisition or any other Investment permitted hereby;</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and/or any Restricted Subsidiary in respect of any letter of credit or bank guarantee issued in favor of any Issuing Bank or the Swingline Lender to support any Defaulting Lender’s participation in Letters of Credit issued, or Swingline Loans made, hereunder;</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Restricted Subsidiary supported by any Letter of Credit or any other letter of credit, bank guarantee or similar instrument permitted by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from customers for goods and services purchased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174"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Commercial Letters of Credit (and reimbursement obligations with respect thereto) in an aggregate outstanding principal amount not to exceed the greater of $17,500,000 and 20% of Consolidated Adjusted EBITDA as of the last day of the most recently ended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ind w:right="20" w:firstLine="757"/>
        <w:spacing w:after="0" w:line="269" w:lineRule="auto"/>
        <w:tabs>
          <w:tab w:leader="none" w:pos="114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any Receivables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any Indebtedness permitted by this </w:t>
      </w:r>
      <w:r>
        <w:rPr>
          <w:rFonts w:ascii="Times New Roman" w:cs="Times New Roman" w:eastAsia="Times New Roman" w:hAnsi="Times New Roman"/>
          <w:sz w:val="20"/>
          <w:szCs w:val="20"/>
          <w:u w:val="single" w:color="auto"/>
          <w:color w:val="auto"/>
        </w:rPr>
        <w:t>Section 6.01(ii)</w:t>
      </w:r>
      <w:r>
        <w:rPr>
          <w:rFonts w:ascii="Times New Roman" w:cs="Times New Roman" w:eastAsia="Times New Roman" w:hAnsi="Times New Roman"/>
          <w:sz w:val="20"/>
          <w:szCs w:val="20"/>
          <w:color w:val="auto"/>
        </w:rPr>
        <w:t xml:space="preserve"> shall not exceed $25,000,000;</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on a short-term basis to banks and other financial institutions in the ordinary course of business to manage cash balances; and</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earn-outs, seller notes or similar deferred purchase price obligations incurred in connection with any acquisition or other Investment permitted hereby.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6.02. Liens .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-328295</wp:posOffset>
            </wp:positionV>
            <wp:extent cx="3816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1635" cy="8890"/>
                    </a:xfrm>
                    <a:prstGeom prst="rect">
                      <a:avLst/>
                    </a:prstGeom>
                    <a:noFill/>
                  </pic:spPr>
                </pic:pic>
              </a:graphicData>
            </a:graphic>
          </wp:anchor>
        </w:drawing>
      </w:r>
    </w:p>
    <w:p>
      <w:pPr>
        <w:spacing w:after="0" w:line="154" w:lineRule="exact"/>
        <w:rPr>
          <w:sz w:val="20"/>
          <w:szCs w:val="20"/>
          <w:color w:val="auto"/>
        </w:rPr>
      </w:pPr>
    </w:p>
    <w:p>
      <w:pPr>
        <w:ind w:left="1160" w:hanging="403"/>
        <w:spacing w:after="0"/>
        <w:tabs>
          <w:tab w:leader="none" w:pos="11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Secured Obligations;</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which (i) are not then due, (ii) if due, are not at such time required to be paid pursuant to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(iii) are being contested in accordance with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and that are being contested in good faith by appropriate proceedings, so long as any reserves or other appropriate provisions required by GAAP have been made for any such contested amounts or (iii) for amounts with respect to which the failure to make payment would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or arising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the Borrower and its subsidiaries or (B)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w:t>
      </w:r>
    </w:p>
    <w:p>
      <w:pPr>
        <w:spacing w:after="0" w:line="189" w:lineRule="exact"/>
        <w:rPr>
          <w:rFonts w:ascii="Times New Roman" w:cs="Times New Roman" w:eastAsia="Times New Roman" w:hAnsi="Times New Roman"/>
          <w:sz w:val="20"/>
          <w:szCs w:val="20"/>
          <w:color w:val="auto"/>
        </w:rPr>
      </w:pPr>
    </w:p>
    <w:p>
      <w:pPr>
        <w:jc w:val="both"/>
        <w:ind w:right="20" w:firstLine="757"/>
        <w:spacing w:after="0" w:line="246" w:lineRule="auto"/>
        <w:tabs>
          <w:tab w:leader="none" w:pos="114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survey exceptions, easements, rights-of-way, restrictions, encroachments, servitudes for railways, sewers, drains, gas and oil and other pipelines, gas and water mains, electric light and power and telecommunication, telephone or telegraph or cable television conduits, poles, wires and cables,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 (iv)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color w:val="auto"/>
        </w:rPr>
        <w:t xml:space="preserve">of the interest of the lessee or sub-lessee under such lease to any restriction or encumbrance referred to in the preceding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9"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solely on any Cash earnest money deposits and/or arising in connection with any escrow arrangement made by the Borrower and/or any of its Restricted Subsidiaries in connection with any letter of intent or purchase agreement with respect to any Investment permitted hereunder and (ii) consisting of (A) an agreement to Dispose of any property in a Disposition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and/or (B) the pledge of Cash as part of an escrow arrangement required in any Disposition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purported Liens evidenced by the filing of UCC financing statements or similar financing statements under applicable Requirements of Law relating solely to operating leases or consignment or bailee arrangements entered into in the ordinary course of business, (ii) Liens arising from precautionary UCC financing statements or similar filings and (iii) any Lien relating to the sale of accounts receivable for which a UCC financing statement or similar financing statement is required;</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w:t>
      </w:r>
    </w:p>
    <w:p>
      <w:pPr>
        <w:spacing w:after="0" w:line="17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6.01(p)</w:t>
      </w:r>
      <w:r>
        <w:rPr>
          <w:rFonts w:ascii="Times New Roman" w:cs="Times New Roman" w:eastAsia="Times New Roman" w:hAnsi="Times New Roman"/>
          <w:sz w:val="20"/>
          <w:szCs w:val="20"/>
          <w:color w:val="auto"/>
        </w:rPr>
        <w:t xml:space="preserve"> (solely with respect to the permitted refinancing of (1) secured Indebtedness permitted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(2) Indebtedness that is secured in reliance on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granting of the relevant Lien shall be without duplication of any Lien outstanding under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such that the amount available under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shall be reduced by the amount secured by the applicable Lien granted in reliance on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extends to any asset not covered by the Lien securing (or permitted to secure) the Indebtedness that is being refinanced (it being understood that individual financings of the type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 (iii) except as permitted by another provision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no such Lien shall be senior in priority as compared to the Lien securing the Indebtedness being refinanced and (iv) subject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any such Lien may be subject to an Intercreditor Agreement to the extent the Lien securing the Indebtedness being refinanced was permitted to be subject to an Intercreditor Agreement;</w:t>
      </w:r>
    </w:p>
    <w:p>
      <w:pPr>
        <w:spacing w:after="0" w:line="19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Closing Date and any modification, replacement, refinancing, renewal or extension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extends to any additional property other than (A)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(B) proceeds and products thereof, replacements thereof, accessions or additions thereto and improvements thereon (it being understood that individual financings of the type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6.01(m)</w:t>
      </w:r>
      <w:r>
        <w:rPr>
          <w:rFonts w:ascii="Times New Roman" w:cs="Times New Roman" w:eastAsia="Times New Roman" w:hAnsi="Times New Roman"/>
          <w:sz w:val="20"/>
          <w:szCs w:val="20"/>
          <w:color w:val="auto"/>
        </w:rPr>
        <w:t xml:space="preserve"> provided by any lender may be cross-collateralized to other financings of such type provided by such lender or its affiliates) and (ii) any such modification,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refinancing, renewal or extension of the obligations secured or benefited by such Liens, if constituting Indebtedness,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160" w:hanging="403"/>
        <w:spacing w:after="0"/>
        <w:tabs>
          <w:tab w:leader="none" w:pos="116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out of Sale and Lease-Back Transactions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145"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provided by any lender may be cross-collateralized to other financings of such type provided by such lender or its affiliates);</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on the relevant acquired assets or on the Capital Stock and assets of the relevant newly acquired Restricted Subsidiary and/or any future subsidiary of such Restricted Subsidiary (including, for the avoidance of doubt, any after-acquired property of any such newly acquired subsidiary and/or any such subsidiary of such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(i) extends to or covers any other assets (other than the proceeds or products thereof, replacements thereof, accessions or additions thereto and improvements thereon) (it being understood that (A) individual financings of the type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provided by any lender may be cross collateralized to other financings of such type provided by such lender or its affiliates and (B) any such Lien may extend to after-acquired property of any such Person) or (ii) was created in contemplation of the applicable acquisition of assets or Capital Stock;</w:t>
      </w:r>
    </w:p>
    <w:p>
      <w:pPr>
        <w:spacing w:after="0" w:line="18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35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any general banking Lien over any bank account arising in the ordinary course of business;</w:t>
      </w:r>
    </w:p>
    <w:p>
      <w:pPr>
        <w:spacing w:after="0" w:line="190"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owned by, and/or Capital Stock of, Restricted Subsidiaries that are not Loan Parties (including Capital Stock owned by such Persons) securing Indebtedness of Restricted Subsidiaries that are not Loan Parties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in reliance on, and subject to the provisions set forth in, </w:t>
      </w:r>
      <w:r>
        <w:rPr>
          <w:rFonts w:ascii="Times New Roman" w:cs="Times New Roman" w:eastAsia="Times New Roman" w:hAnsi="Times New Roman"/>
          <w:sz w:val="20"/>
          <w:szCs w:val="20"/>
          <w:u w:val="single" w:color="auto"/>
          <w:color w:val="auto"/>
        </w:rPr>
        <w:t>Sections 6.01(w)</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Lien that is granted on the Collateral in reliance on this </w:t>
      </w:r>
      <w:r>
        <w:rPr>
          <w:rFonts w:ascii="Times New Roman" w:cs="Times New Roman" w:eastAsia="Times New Roman" w:hAnsi="Times New Roman"/>
          <w:sz w:val="20"/>
          <w:szCs w:val="20"/>
          <w:u w:val="single" w:color="auto"/>
          <w:color w:val="auto"/>
        </w:rPr>
        <w:t>clause (s)</w:t>
      </w:r>
      <w:r>
        <w:rPr>
          <w:rFonts w:ascii="Times New Roman" w:cs="Times New Roman" w:eastAsia="Times New Roman" w:hAnsi="Times New Roman"/>
          <w:sz w:val="20"/>
          <w:szCs w:val="20"/>
          <w:color w:val="auto"/>
        </w:rPr>
        <w:t xml:space="preserve"> shall be subject to an Intercreditor Agreement unless, in the case of any Lien granted to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Indebtedness incurred in reliance on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the holders of such Indebtedness and the Administrative Agent have not requested or required an intercreditor arrangement;</w:t>
      </w:r>
    </w:p>
    <w:p>
      <w:pPr>
        <w:spacing w:after="0" w:line="159" w:lineRule="exact"/>
        <w:rPr>
          <w:sz w:val="20"/>
          <w:szCs w:val="20"/>
          <w:color w:val="auto"/>
        </w:rPr>
      </w:pPr>
    </w:p>
    <w:p>
      <w:pPr>
        <w:ind w:left="1160" w:hanging="403"/>
        <w:spacing w:after="0"/>
        <w:tabs>
          <w:tab w:leader="none" w:pos="11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securing Indebtedness or other obligations in an aggregate principal amount at any time outstanding not to exceed the greater of $</w:t>
      </w:r>
      <w:r>
        <w:rPr>
          <w:rFonts w:ascii="Times New Roman" w:cs="Times New Roman" w:eastAsia="Times New Roman" w:hAnsi="Times New Roman"/>
          <w:sz w:val="20"/>
          <w:szCs w:val="20"/>
          <w:color w:val="FF0000"/>
          <w:strike w:val="1"/>
        </w:rPr>
        <w:t>42,500,000</w:t>
      </w:r>
      <w:r>
        <w:rPr>
          <w:rFonts w:ascii="Times New Roman" w:cs="Times New Roman" w:eastAsia="Times New Roman" w:hAnsi="Times New Roman"/>
          <w:sz w:val="20"/>
          <w:szCs w:val="20"/>
          <w:u w:val="single" w:color="auto"/>
          <w:color w:val="0000FF"/>
        </w:rPr>
        <w:t>45,000,000</w:t>
      </w:r>
      <w:r>
        <w:rPr>
          <w:rFonts w:ascii="Times New Roman" w:cs="Times New Roman" w:eastAsia="Times New Roman" w:hAnsi="Times New Roman"/>
          <w:sz w:val="20"/>
          <w:szCs w:val="20"/>
          <w:color w:val="auto"/>
        </w:rPr>
        <w:t xml:space="preserve"> and 50% of Consolidated Adjusted EBITDA as of the last day of the most recently ended Test Period, in each case, subject, in the case of any Lien on the Collateral, at the request of the relevant lender, to an Intercreditor Agreement;</w:t>
      </w:r>
    </w:p>
    <w:p>
      <w:pPr>
        <w:spacing w:after="0" w:line="170" w:lineRule="exact"/>
        <w:rPr>
          <w:rFonts w:ascii="Times New Roman" w:cs="Times New Roman" w:eastAsia="Times New Roman" w:hAnsi="Times New Roman"/>
          <w:sz w:val="20"/>
          <w:szCs w:val="20"/>
          <w:color w:val="auto"/>
        </w:rPr>
      </w:pPr>
    </w:p>
    <w:p>
      <w:pPr>
        <w:jc w:val="both"/>
        <w:ind w:firstLine="757"/>
        <w:spacing w:after="0" w:line="256"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on assets securing judgments, awards, attachments and/or decrees and notices of </w:t>
      </w:r>
      <w:r>
        <w:rPr>
          <w:rFonts w:ascii="Times New Roman" w:cs="Times New Roman" w:eastAsia="Times New Roman" w:hAnsi="Times New Roman"/>
          <w:sz w:val="20"/>
          <w:szCs w:val="20"/>
          <w:i w:val="1"/>
          <w:iCs w:val="1"/>
          <w:color w:val="auto"/>
        </w:rPr>
        <w:t>lis pendens</w:t>
      </w:r>
      <w:r>
        <w:rPr>
          <w:rFonts w:ascii="Times New Roman" w:cs="Times New Roman" w:eastAsia="Times New Roman" w:hAnsi="Times New Roman"/>
          <w:sz w:val="20"/>
          <w:szCs w:val="20"/>
          <w:color w:val="auto"/>
        </w:rPr>
        <w:t xml:space="preserve"> and associated rights relating to litigation being contested in good faith not constituting an Event of Default under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and (ii) any pledge and/or deposit securing any settlement of litigation;</w:t>
      </w:r>
    </w:p>
    <w:p>
      <w:pPr>
        <w:spacing w:after="0" w:line="172"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leases, licenses, subleases or sublicenses in the ordinary course of business which do not secure any Indebtedness and (ii) ground leases in respect of real property on which facilities owned or leased by the Borrower or any of its subsidiaries are located;</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Securities that are the subject of repurchase agreements constituting Investments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arising out of such repurchase transaction;</w:t>
      </w:r>
    </w:p>
    <w:p>
      <w:pPr>
        <w:spacing w:after="0" w:line="159"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20"/>
          <w:szCs w:val="20"/>
          <w:u w:val="single" w:color="auto"/>
          <w:color w:val="auto"/>
        </w:rPr>
        <w:t>Sections 6.01(d)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(cc)</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74" w:lineRule="exact"/>
        <w:rPr>
          <w:sz w:val="20"/>
          <w:szCs w:val="20"/>
          <w:color w:val="auto"/>
        </w:rPr>
      </w:pPr>
    </w:p>
    <w:p>
      <w:pPr>
        <w:ind w:right="20" w:firstLine="757"/>
        <w:spacing w:after="0" w:line="295" w:lineRule="auto"/>
        <w:tabs>
          <w:tab w:leader="none" w:pos="1145"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 in favor of any Loan Party and/or (ii) granted by any non-Loan Party in favor of any Restricted Subsidiary that is not a Loan Party, in the case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securing intercompany Indebtedness permitted (or not restricted) under </w:t>
      </w:r>
      <w:r>
        <w:rPr>
          <w:rFonts w:ascii="Times New Roman" w:cs="Times New Roman" w:eastAsia="Times New Roman" w:hAnsi="Times New Roman"/>
          <w:sz w:val="19"/>
          <w:szCs w:val="19"/>
          <w:u w:val="single" w:color="auto"/>
          <w:color w:val="auto"/>
        </w:rPr>
        <w:t>Section 5.16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6.01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receipt of progress payments and advances from customers in the ordinary course of business to the extent the same creates a Lien on the related inventory and proceeds thereof and (ii)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 obligations of the type described in </w:t>
      </w:r>
      <w:r>
        <w:rPr>
          <w:rFonts w:ascii="Times New Roman" w:cs="Times New Roman" w:eastAsia="Times New Roman" w:hAnsi="Times New Roman"/>
          <w:sz w:val="20"/>
          <w:szCs w:val="20"/>
          <w:u w:val="single" w:color="auto"/>
          <w:color w:val="auto"/>
        </w:rPr>
        <w:t>Section 6.01(f)</w:t>
      </w:r>
      <w:r>
        <w:rPr>
          <w:rFonts w:ascii="Times New Roman" w:cs="Times New Roman" w:eastAsia="Times New Roman" w:hAnsi="Times New Roman"/>
          <w:sz w:val="20"/>
          <w:szCs w:val="20"/>
          <w:color w:val="auto"/>
        </w:rPr>
        <w:t xml:space="preserve"> and/or (ii) obligations of the type described in </w:t>
      </w:r>
      <w:r>
        <w:rPr>
          <w:rFonts w:ascii="Times New Roman" w:cs="Times New Roman" w:eastAsia="Times New Roman" w:hAnsi="Times New Roman"/>
          <w:sz w:val="20"/>
          <w:szCs w:val="20"/>
          <w:u w:val="single" w:color="auto"/>
          <w:color w:val="auto"/>
        </w:rPr>
        <w:t>Section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6.01(s)</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Capital Stock of (A) joint ventures securing capital contributions to, or obligations of, such Persons and/or (B) Unrestricted Subsidiaries and (ii) customary rights of first refusal and tag, drag and similar rights in joint venture agreements and agreements with respect to non-Wholly-Owned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Cash Equivalents arising in connection with the defeasance, discharge or redemption of Indebtedness;</w:t>
      </w:r>
    </w:p>
    <w:p>
      <w:pPr>
        <w:spacing w:after="0" w:line="215"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the prior rights of consignees and their lenders under consignment arrangements entered into in the ordinary course of business;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under </w:t>
      </w:r>
      <w:r>
        <w:rPr>
          <w:rFonts w:ascii="Times New Roman" w:cs="Times New Roman" w:eastAsia="Times New Roman" w:hAnsi="Times New Roman"/>
          <w:sz w:val="20"/>
          <w:szCs w:val="20"/>
          <w:u w:val="single" w:color="auto"/>
          <w:color w:val="auto"/>
        </w:rPr>
        <w:t>Section 6.01(hh)</w:t>
      </w:r>
      <w:r>
        <w:rPr>
          <w:rFonts w:ascii="Times New Roman" w:cs="Times New Roman" w:eastAsia="Times New Roman" w:hAnsi="Times New Roman"/>
          <w:sz w:val="20"/>
          <w:szCs w:val="20"/>
          <w:color w:val="auto"/>
        </w:rPr>
        <w:t>, in each case, subject, in the case of any Lien on the Collateral, at the request of the relevant issuing bank, to an Intercreditor Agreement;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the Borrower or any of its Subsidiaries are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(i) any reservation, limitation, proviso and/or condition, if any, expressed in any original grant from the Crown of any real property or any interest therein and/or (ii) any right of expropriation, access, or user or any other right conferred or vested by statutes of Canada or any applicable province;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do not secure Indebtedness for borrowed money and are customary in the operation of the business of the Borrower and its Restricted Subsidiaries;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5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Receivables Facility Assets or the equity interest of any Receivables Subsidiary that are granted or arise (or are deemed to have been granted or arisen) in connection with any Receivables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outstanding principal amount of the obligations secured by such Liens shall not exceed $</w:t>
      </w:r>
      <w:r>
        <w:rPr>
          <w:rFonts w:ascii="Times New Roman" w:cs="Times New Roman" w:eastAsia="Times New Roman" w:hAnsi="Times New Roman"/>
          <w:sz w:val="20"/>
          <w:szCs w:val="20"/>
          <w:color w:val="FF0000"/>
          <w:strike w:val="1"/>
        </w:rPr>
        <w:t>25,000,000</w:t>
      </w:r>
      <w:r>
        <w:rPr>
          <w:rFonts w:ascii="Times New Roman" w:cs="Times New Roman" w:eastAsia="Times New Roman" w:hAnsi="Times New Roman"/>
          <w:sz w:val="20"/>
          <w:szCs w:val="20"/>
          <w:u w:val="single" w:color="auto"/>
          <w:color w:val="0000FF"/>
        </w:rPr>
        <w:t>30,000,000</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connection with escrow arrangements established in connection with the Transactions.</w:t>
      </w:r>
    </w:p>
    <w:p>
      <w:pPr>
        <w:spacing w:after="0" w:line="21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if the proceeds of any Indebtedness the Liens securing which are required or permitted to be subject to an Intercreditor Agreement are funded into Escrow, at the election of the Borrower, either (x) the relevant Intercreditor Agreement shall not be required to be entered into or become effective until the release and/or termination of the relevant Escrow arrangement, so long as, prior to such release and/or termination, the relevant Indebtedness is secured only by a Lien on such proceeds so funded into Escrow or (y) the property subject to the applicable Escrow arrangement is not required to be subject to the relevant Intercreditor Agreement.</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6.03.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64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6.04.  Restricted Payments; Restricted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24949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spacing w:after="0" w:line="196" w:lineRule="exact"/>
        <w:rPr>
          <w:sz w:val="20"/>
          <w:szCs w:val="20"/>
          <w:color w:val="auto"/>
        </w:rPr>
      </w:pPr>
    </w:p>
    <w:p>
      <w:pPr>
        <w:ind w:left="1160" w:hanging="403"/>
        <w:spacing w:after="0"/>
        <w:tabs>
          <w:tab w:leader="none" w:pos="11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pay or make any Restricted Payment, except that: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directly or indirectly, Restricted Payments to the extent necessary to permit any Parent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93"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general administrative and operating costs and expenses (including corporate overhead, legal or similar expenses and customary salary, bonus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 xml:space="preserve">benefits payable to any director, officer, employee, member of management, manager and/or consultant of any Parent Company) and franchise Taxes, and similar fees and expenses required to maintain the organizational existence or qualification to do business of such Parent Company, in each case, which are reasonable and customary and incurred in the ordinary course of business,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any reasonable and customary indemnification claim made by any director, officer, member of management, manager, employee and/or consultant of any Parent Company, in each case, to the extent attributable to the ownership or operations of any Parent Company and/or its subsidiaries (but excluding, for the avoidance of doubt, the portion of any such amount, if any, that is attributable to the ownership or operations of any subsidiary of any Parent Company other than Holdings, the Borrower and/or its subsidiaries);</w:t>
      </w:r>
    </w:p>
    <w:p>
      <w:pPr>
        <w:spacing w:after="0" w:line="189" w:lineRule="exact"/>
        <w:rPr>
          <w:sz w:val="20"/>
          <w:szCs w:val="20"/>
          <w:color w:val="auto"/>
        </w:rPr>
      </w:pPr>
    </w:p>
    <w:p>
      <w:pPr>
        <w:jc w:val="both"/>
        <w:ind w:left="380" w:firstLine="754"/>
        <w:spacing w:after="0" w:line="253" w:lineRule="auto"/>
        <w:tabs>
          <w:tab w:leader="none" w:pos="152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for any taxable period (or part thereof) for which Holdings is a corporation (or a disregarded entity directly or indirectly owned by a corporation) for U.S. federal income tax purposes that is included in a consolidated, combined, unitary or similar group tax return, any distribution to Holdings to pay (or to make any distribution to any direct or indirect parent of Holdings to pay) the aggregate amount of consolidated, combined, unitary or similar group tax liabilities attributable to the income of Holdings, the Borrower and its subsidiaries; provided, that the amount of such payments does not exceed the amounts that Holdings, the Borrower, and its subsidiaries would have been required to pay had Holdings, the Borrower, and its subsidiaries been a stand-alone group for applicable tax purposes; </w:t>
      </w:r>
      <w:r>
        <w:rPr>
          <w:rFonts w:ascii="Times New Roman" w:cs="Times New Roman" w:eastAsia="Times New Roman" w:hAnsi="Times New Roman"/>
          <w:sz w:val="19"/>
          <w:szCs w:val="19"/>
          <w:u w:val="single" w:color="auto"/>
          <w:color w:val="0000FF"/>
        </w:rPr>
        <w:t>and</w:t>
      </w:r>
      <w:r>
        <w:rPr>
          <w:rFonts w:ascii="Times New Roman" w:cs="Times New Roman" w:eastAsia="Times New Roman" w:hAnsi="Times New Roman"/>
          <w:sz w:val="19"/>
          <w:szCs w:val="19"/>
          <w:color w:val="auto"/>
        </w:rPr>
        <w:t xml:space="preserve"> (ii) for any taxable period (or part thereof) for which Holdings is a partnership or disregarded entity (other than wholly-owned by a corporation) for US federal income tax purposes, any distributions from the Borrower and Holdings in an amount sufficient to permit AIDH TopCo, LLC, a Delaware limited liability company (or such other direct or indirect parent partnership), to make pro rata distributions (in accordance with percentage interests) to its equity owners in an amount sufficient for each of them (or their direct or indirect owners) to pay their U.S. federal, state, and local taxes (including estimated taxes) with respect to income of the Borrower and its subsidiaries for such taxable period or part thereof (determined without regard to any adjustments under Section 743(b) or 734(b) of the Code), based on an assumed tax rate equal to the highest combined U.S. federal, state, and local tax rate applicable to an individual or corporation (whichever is higher) resident in New York, taking into account (A) the character and type of income earned (and for the avoidance of doubt, without regard to any reduction in rate attributable to Section 199A of the Code), (B) Medicare taxes, and (C) any applicable limitations with respect to any deductions and not taking into account any allocations under Section 704(c) of the Code and the Treasury Regulations thereunder to the extent such allocations are made under a remedial allocation method; provided, that any amounts distributed under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as applicable, in respect of any taxes attributable to the income of Unrestricted Subsidiaries may be made only to the extent that (x) such subsidiaries have made cash payments to any Loan Party or Restricted Subsidiary in at least the amount of such taxes or (y) the Borrower and its Restricted Subsidiaries with respect to making such a distribution are deemed to have made an Investment in the amount of such taxes in the relevant Unrestricted Subsidiary and such Investment complies with the requirements of </w:t>
      </w:r>
      <w:r>
        <w:rPr>
          <w:rFonts w:ascii="Times New Roman" w:cs="Times New Roman" w:eastAsia="Times New Roman" w:hAnsi="Times New Roman"/>
          <w:sz w:val="19"/>
          <w:szCs w:val="19"/>
          <w:u w:val="single" w:color="auto"/>
          <w:color w:val="auto"/>
        </w:rPr>
        <w:t>Section 6.06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and (iii) distributions by the Borrower and Holdings to fund payments to satisfy obligations of the Parent under the tax receivable agreement entered into in connection with the IPO; </w:t>
      </w:r>
      <w:r>
        <w:rPr>
          <w:rFonts w:ascii="Times New Roman" w:cs="Times New Roman" w:eastAsia="Times New Roman" w:hAnsi="Times New Roman"/>
          <w:sz w:val="19"/>
          <w:szCs w:val="19"/>
          <w:u w:val="single" w:color="auto"/>
          <w:color w:val="FF0000"/>
          <w:strike w:val="1"/>
        </w:rPr>
        <w:t>provided</w:t>
      </w:r>
      <w:r>
        <w:rPr>
          <w:rFonts w:ascii="Times New Roman" w:cs="Times New Roman" w:eastAsia="Times New Roman" w:hAnsi="Times New Roman"/>
          <w:sz w:val="19"/>
          <w:szCs w:val="19"/>
          <w:color w:val="FF0000"/>
          <w:strike w:val="1"/>
        </w:rPr>
        <w:t xml:space="preserve">, that distributions under this </w:t>
      </w:r>
      <w:r>
        <w:rPr>
          <w:rFonts w:ascii="Times New Roman" w:cs="Times New Roman" w:eastAsia="Times New Roman" w:hAnsi="Times New Roman"/>
          <w:sz w:val="19"/>
          <w:szCs w:val="19"/>
          <w:u w:val="single" w:color="auto"/>
          <w:color w:val="FF0000"/>
          <w:strike w:val="1"/>
        </w:rPr>
        <w:t>clause (iii)</w:t>
      </w:r>
      <w:r>
        <w:rPr>
          <w:rFonts w:ascii="Times New Roman" w:cs="Times New Roman" w:eastAsia="Times New Roman" w:hAnsi="Times New Roman"/>
          <w:sz w:val="19"/>
          <w:szCs w:val="19"/>
          <w:color w:val="FF0000"/>
          <w:strike w:val="1"/>
        </w:rPr>
        <w:t xml:space="preserve"> shall be permitted with respect to such taxable period (or part thereof) only to the extent that the payments under </w:t>
      </w:r>
      <w:r>
        <w:rPr>
          <w:rFonts w:ascii="Times New Roman" w:cs="Times New Roman" w:eastAsia="Times New Roman" w:hAnsi="Times New Roman"/>
          <w:sz w:val="19"/>
          <w:szCs w:val="19"/>
          <w:u w:val="single" w:color="auto"/>
          <w:color w:val="FF0000"/>
          <w:strike w:val="1"/>
        </w:rPr>
        <w:t>clauses (i)</w:t>
      </w:r>
      <w:r>
        <w:rPr>
          <w:rFonts w:ascii="Times New Roman" w:cs="Times New Roman" w:eastAsia="Times New Roman" w:hAnsi="Times New Roman"/>
          <w:sz w:val="19"/>
          <w:szCs w:val="19"/>
          <w:color w:val="FF0000"/>
          <w:strike w:val="1"/>
        </w:rPr>
        <w:t xml:space="preserve"> or </w:t>
      </w:r>
      <w:r>
        <w:rPr>
          <w:rFonts w:ascii="Times New Roman" w:cs="Times New Roman" w:eastAsia="Times New Roman" w:hAnsi="Times New Roman"/>
          <w:sz w:val="19"/>
          <w:szCs w:val="19"/>
          <w:u w:val="single" w:color="auto"/>
          <w:color w:val="FF0000"/>
          <w:strike w:val="1"/>
        </w:rPr>
        <w:t>(ii)</w:t>
      </w:r>
      <w:r>
        <w:rPr>
          <w:rFonts w:ascii="Times New Roman" w:cs="Times New Roman" w:eastAsia="Times New Roman" w:hAnsi="Times New Roman"/>
          <w:sz w:val="19"/>
          <w:szCs w:val="19"/>
          <w:color w:val="FF0000"/>
          <w:strike w:val="1"/>
        </w:rPr>
        <w:t>, as applicable, with respect to such taxable period (or part thereof) are insufficient for the Parent to comply with its obligations under such tax receivable agreement after the payment of the actual income tax liability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9" w:name="page180"/>
    <w:bookmarkEnd w:id="179"/>
    <w:p>
      <w:pPr>
        <w:jc w:val="both"/>
        <w:ind w:left="740" w:firstLine="754"/>
        <w:spacing w:after="0" w:line="249" w:lineRule="auto"/>
        <w:tabs>
          <w:tab w:leader="none" w:pos="18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audit and other accounting and reporting expenses of any Parent Company to the extent such expenses are attributable to such Parent Company, the Borrower and its subsidiaries (but excluding, for the avoidance of doubt, the portion of any such expenses, if any, that is attributable to the ownership or operations of any subsidiary of any Parent Company other than Holdings, the Borrower and/or its subsidiaries);</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payment of any insurance premium that is payable by or attributable to any Parent Company, the Borrower and/or its subsidiaries (but excluding, for the avoidance of doubt, the portion of any such premium, if any, that is attributable to the ownership or operations of any subsidiary of any Parent Company other than Holdings, the Borrower and/or its subsidiaries);</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(1) any fee and/or expense related to any debt and/or equity offering and/or the IPO, investment or acquisition (whether or not consummated) and/or any expense of, or indemnification obligation in favor of, any trustee, agent, arranger, underwriter or similar role, and (2) Public Company Costs;</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finance any Investment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Restricted Payment under this </w:t>
      </w:r>
      <w:r>
        <w:rPr>
          <w:rFonts w:ascii="Times New Roman" w:cs="Times New Roman" w:eastAsia="Times New Roman" w:hAnsi="Times New Roman"/>
          <w:sz w:val="20"/>
          <w:szCs w:val="20"/>
          <w:u w:val="single" w:color="auto"/>
          <w:color w:val="auto"/>
        </w:rPr>
        <w:t>clause (a)(i)(F)</w:t>
      </w:r>
      <w:r>
        <w:rPr>
          <w:rFonts w:ascii="Times New Roman" w:cs="Times New Roman" w:eastAsia="Times New Roman" w:hAnsi="Times New Roman"/>
          <w:sz w:val="20"/>
          <w:szCs w:val="20"/>
          <w:color w:val="auto"/>
        </w:rPr>
        <w:t xml:space="preserve"> shall be made substantially concurrently with the closing of such Investment (except with respect to any deferred purchase price or other contingent consideration, the Restricted Payments in respect of which may be made after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as if the relevant Investment was undertaken as a direct Investment by the Borrower or the relevant Restricted Subsidiary); and</w:t>
      </w:r>
    </w:p>
    <w:p>
      <w:pPr>
        <w:spacing w:after="0" w:line="185"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Borrower and/or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so long as such Parent Company applies the amount of any such Restricted Payment for such purpose;</w:t>
      </w:r>
    </w:p>
    <w:p>
      <w:pPr>
        <w:spacing w:after="0" w:line="108" w:lineRule="exact"/>
        <w:rPr>
          <w:sz w:val="20"/>
          <w:szCs w:val="20"/>
          <w:color w:val="auto"/>
        </w:rPr>
      </w:pPr>
    </w:p>
    <w:p>
      <w:pPr>
        <w:jc w:val="both"/>
        <w:ind w:firstLine="745"/>
        <w:spacing w:after="0" w:line="249" w:lineRule="auto"/>
        <w:tabs>
          <w:tab w:leader="none" w:pos="114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45" w:lineRule="auto"/>
        <w:tabs>
          <w:tab w:leader="none" w:pos="188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80" w:name="page181"/>
    <w:bookmarkEnd w:id="180"/>
    <w:p>
      <w:pPr>
        <w:ind w:left="380"/>
        <w:spacing w:after="0" w:line="269" w:lineRule="auto"/>
        <w:rPr>
          <w:sz w:val="20"/>
          <w:szCs w:val="20"/>
          <w:color w:val="auto"/>
        </w:rPr>
      </w:pPr>
      <w:r>
        <w:rPr>
          <w:rFonts w:ascii="Times New Roman" w:cs="Times New Roman" w:eastAsia="Times New Roman" w:hAnsi="Times New Roman"/>
          <w:sz w:val="20"/>
          <w:szCs w:val="20"/>
          <w:color w:val="auto"/>
        </w:rPr>
        <w:t xml:space="preserve">$17,500,000 and </w:t>
      </w:r>
      <w:r>
        <w:rPr>
          <w:rFonts w:ascii="Times New Roman" w:cs="Times New Roman" w:eastAsia="Times New Roman" w:hAnsi="Times New Roman"/>
          <w:sz w:val="20"/>
          <w:szCs w:val="20"/>
          <w:color w:val="FF0000"/>
          <w:strike w:val="1"/>
        </w:rPr>
        <w:t>20</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auto"/>
        </w:rPr>
        <w:t>% of Consolidated Adjusted EBITDA as of the last day of the most recently ended Test Period, in each case, which, if not used in such Fiscal Year, shall be carried forward to the next Fiscal Year;</w:t>
      </w:r>
    </w:p>
    <w:p>
      <w:pPr>
        <w:spacing w:after="0" w:line="159" w:lineRule="exact"/>
        <w:rPr>
          <w:sz w:val="20"/>
          <w:szCs w:val="20"/>
          <w:color w:val="auto"/>
        </w:rPr>
      </w:pPr>
    </w:p>
    <w:p>
      <w:pPr>
        <w:jc w:val="both"/>
        <w:ind w:left="380" w:right="20" w:firstLine="754"/>
        <w:spacing w:after="0" w:line="254" w:lineRule="auto"/>
        <w:tabs>
          <w:tab w:leader="none" w:pos="1524"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proceeds of any sale or issuance of, or any capital contribution in respect of, the Capital Stock of the Borrower or any Parent Company that are Not Otherwise Applied (to the extent such proceeds are contributed in respect of Qualified Capital Stock to the Borrower or any Restricted Subsidiary); and/or</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net proceeds of any key-man life insurance policy;</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an amount not to exceed (A) the portion, if any, of the Available Amount on such date that the Borrower elects to apply to this </w:t>
      </w:r>
      <w:r>
        <w:rPr>
          <w:rFonts w:ascii="Times New Roman" w:cs="Times New Roman" w:eastAsia="Times New Roman" w:hAnsi="Times New Roman"/>
          <w:sz w:val="20"/>
          <w:szCs w:val="20"/>
          <w:u w:val="single" w:color="auto"/>
          <w:color w:val="auto"/>
        </w:rPr>
        <w:t>clause (iii)(A)</w:t>
      </w:r>
      <w:r>
        <w:rPr>
          <w:rFonts w:ascii="Times New Roman" w:cs="Times New Roman" w:eastAsia="Times New Roman" w:hAnsi="Times New Roman"/>
          <w:sz w:val="20"/>
          <w:szCs w:val="20"/>
          <w:color w:val="auto"/>
        </w:rPr>
        <w:t xml:space="preserve"> and/or (B) 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(iii)(B)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consisting of (1) payments made or expected to be made in respect of withholding or similar Taxes payable by any future, present or former officers, directors, employees, members of management, managers or consultants of the Borrower, any subsidiary of the Borrower or Parent Company or any of their respective Immediate Family Members, (2) payments or other adjustments to outstanding Capital Stock in accordance with any management equity plan, stock option plan or any other similar employee benefit or incentive plan, agreement or arrangement in connection with any Restricted Payment and/or (3) repurchases of Capital Stock in consideration of the payments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including demand repurchases, in connection with the exercise or vesting of stock options, restricted stock units or similar incentive interests;</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17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the proceeds of which are applied (A) to effect the consummation of the Transactions and (B) to pay Transaction Costs;</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18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(i) redeem, repurchase, retire or otherwise acquire any (A) Capital Stock (“</w:t>
      </w:r>
      <w:r>
        <w:rPr>
          <w:rFonts w:ascii="Times New Roman" w:cs="Times New Roman" w:eastAsia="Times New Roman" w:hAnsi="Times New Roman"/>
          <w:sz w:val="20"/>
          <w:szCs w:val="20"/>
          <w:u w:val="single" w:color="auto"/>
          <w:color w:val="auto"/>
        </w:rPr>
        <w:t>Treasury Capital Stock</w:t>
      </w:r>
      <w:r>
        <w:rPr>
          <w:rFonts w:ascii="Times New Roman" w:cs="Times New Roman" w:eastAsia="Times New Roman" w:hAnsi="Times New Roman"/>
          <w:sz w:val="20"/>
          <w:szCs w:val="20"/>
          <w:color w:val="auto"/>
        </w:rPr>
        <w:t xml:space="preserve">”) of the Borrower and/or any Restricted Subsidiary or (B) Capital Stock of any Parent Company, in the case of each of </w:t>
      </w:r>
      <w:r>
        <w:rPr>
          <w:rFonts w:ascii="Times New Roman" w:cs="Times New Roman" w:eastAsia="Times New Roman" w:hAnsi="Times New Roman"/>
          <w:sz w:val="20"/>
          <w:szCs w:val="20"/>
          <w:u w:val="single" w:color="auto"/>
          <w:color w:val="auto"/>
        </w:rPr>
        <w:t>subclauses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 exchange for, or out of the proceeds of the substantially concurrent sale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1" w:name="page182"/>
    <w:bookmarkEnd w:id="181"/>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Times New Roman" w:cs="Times New Roman" w:eastAsia="Times New Roman" w:hAnsi="Times New Roman"/>
          <w:sz w:val="20"/>
          <w:szCs w:val="20"/>
          <w:u w:val="single" w:color="auto"/>
          <w:color w:val="auto"/>
        </w:rPr>
        <w:t>Refunding Capital Stock</w:t>
      </w:r>
      <w:r>
        <w:rPr>
          <w:rFonts w:ascii="Times New Roman" w:cs="Times New Roman" w:eastAsia="Times New Roman" w:hAnsi="Times New Roman"/>
          <w:sz w:val="20"/>
          <w:szCs w:val="20"/>
          <w:color w:val="auto"/>
        </w:rPr>
        <w:t>”) to the extent such proceeds are Not Otherwise Applied and (ii) declare and pay dividends on any Treasury Capital Stock out of the proceeds of the substantially concurrent sale (other than to the Borrower or a Restricted Subsidiary) of any Refunding Capital Stock;</w:t>
      </w:r>
    </w:p>
    <w:p>
      <w:pPr>
        <w:spacing w:after="0" w:line="185" w:lineRule="exact"/>
        <w:rPr>
          <w:sz w:val="20"/>
          <w:szCs w:val="20"/>
          <w:color w:val="auto"/>
        </w:rPr>
      </w:pPr>
    </w:p>
    <w:p>
      <w:pPr>
        <w:jc w:val="both"/>
        <w:ind w:left="760" w:firstLine="745"/>
        <w:spacing w:after="0" w:line="250" w:lineRule="auto"/>
        <w:tabs>
          <w:tab w:leader="none" w:pos="190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Restricted Payment, the Borrower may consummate any transaction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5.16(d)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6.06(j)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w:t>
      </w:r>
    </w:p>
    <w:p>
      <w:pPr>
        <w:spacing w:after="0" w:line="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6.07(g)</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the Borrower may make Restricted Payments in an aggregate amount not to exceed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95" w:lineRule="auto"/>
        <w:tabs>
          <w:tab w:leader="none" w:pos="190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Event of Default exists, the Borrower may make Restricted Payments so long as the Total Net Leverage Ratio, calculated on a Pro Forma Basis, would not exceed 2.25:1.00 as of the last day of the most recently ended Test Period;</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declare and make dividend payments or other Restricted Payments payable solely in the Capital Stock of the Borrower or of any Parent Company;</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3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(other than in the form of Cash and Cash Equivalents) in connection with and/or relating to any internal reorganization or restructuring activities (including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activities do not result in any Capital Stock of the Borrower becoming an Excluded Asset;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3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payments or distributions to satisfy dissenters’ or appraisal rights, pursuant to or in connection with a consolidation, amalgamation, merger or transfer of assets that complies with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color w:val="FF0000"/>
          <w:strike w:val="1"/>
        </w:rPr>
        <w:t>and/or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3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in connection with (or to allow the Parent to make any payment in connection with) (A) any Permitted Bond Hedge Transaction and/or (B) the settlement of any Permitted Warrant Transaction by (1) delivery of shares of the Parent’s common equity upon settlement thereof or (2) by (x) set-off against the related Permitted Bond Hedge Transaction or (y) payment of an early termination amount in common equity upon any early termination thereof, in each case, shall be permitted</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327" w:val="left"/>
        </w:tabs>
        <w:numPr>
          <w:ilvl w:val="0"/>
          <w:numId w:val="22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may make Restricted Payments to allow the Parent to repurchase, redeem, retire or otherwise acquire or retire for value Capital Stock of the Parent in connection with the stock repurchase program authorized by the Parent’s board of directors on November 1, 2024 in an aggregate amount not exceeding $60,000,000.</w:t>
      </w:r>
    </w:p>
    <w:p>
      <w:pPr>
        <w:spacing w:after="0" w:line="174"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 xml:space="preserve">It is understood and agreed that, for purposes of this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any determination of the value of any asset other than Cash shall be made by the Borrower in good faith.</w:t>
      </w:r>
    </w:p>
    <w:p>
      <w:pPr>
        <w:spacing w:after="0" w:line="51" w:lineRule="exact"/>
        <w:rPr>
          <w:sz w:val="20"/>
          <w:szCs w:val="20"/>
          <w:color w:val="auto"/>
        </w:rPr>
      </w:pPr>
    </w:p>
    <w:p>
      <w:pPr>
        <w:ind w:right="20" w:firstLine="757"/>
        <w:spacing w:after="0" w:line="269" w:lineRule="auto"/>
        <w:tabs>
          <w:tab w:leader="none" w:pos="114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nor shall it permit any Restricted Subsidiary to make any voluntary prepayment in respect of principal outstanding of Restricted Debt, including any sinking fund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both"/>
        <w:spacing w:after="0" w:line="254" w:lineRule="auto"/>
        <w:rPr>
          <w:sz w:val="20"/>
          <w:szCs w:val="20"/>
          <w:color w:val="auto"/>
        </w:rPr>
      </w:pPr>
      <w:r>
        <w:rPr>
          <w:rFonts w:ascii="Times New Roman" w:cs="Times New Roman" w:eastAsia="Times New Roman" w:hAnsi="Times New Roman"/>
          <w:sz w:val="20"/>
          <w:szCs w:val="20"/>
          <w:color w:val="auto"/>
        </w:rPr>
        <w:t>deposit, on account of the voluntary prepayment, repurchase, purchase, redemption, retirement, acquisition, cancellation or termination of any Restricted Debt, in each case, more than one year prior to the scheduled maturity date thereof (collectively, “</w:t>
      </w:r>
      <w:r>
        <w:rPr>
          <w:rFonts w:ascii="Times New Roman" w:cs="Times New Roman" w:eastAsia="Times New Roman" w:hAnsi="Times New Roman"/>
          <w:sz w:val="20"/>
          <w:szCs w:val="20"/>
          <w:u w:val="single" w:color="auto"/>
          <w:color w:val="auto"/>
        </w:rPr>
        <w:t>Restricted Debt Payments</w:t>
      </w:r>
      <w:r>
        <w:rPr>
          <w:rFonts w:ascii="Times New Roman" w:cs="Times New Roman" w:eastAsia="Times New Roman" w:hAnsi="Times New Roman"/>
          <w:sz w:val="20"/>
          <w:szCs w:val="20"/>
          <w:color w:val="auto"/>
        </w:rPr>
        <w:t>”), except:</w:t>
      </w:r>
    </w:p>
    <w:p>
      <w:pPr>
        <w:spacing w:after="0" w:line="174" w:lineRule="exact"/>
        <w:rPr>
          <w:sz w:val="20"/>
          <w:szCs w:val="20"/>
          <w:color w:val="auto"/>
        </w:rPr>
      </w:pPr>
    </w:p>
    <w:p>
      <w:pPr>
        <w:jc w:val="both"/>
        <w:ind w:left="760" w:firstLine="745"/>
        <w:spacing w:after="0" w:line="254"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purchase, defeasance, redemption, refinancing repurchase, repayment or other acquisition or retirement thereof made by exchange for, or out of the proceeds of,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constitutes Restricted Debt;</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an applicable high yield discount obligation catch-up payment;</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regularly scheduled principal or regularly scheduled interest (including any penalty interest, if applicable) and payments of fees, expenses and indemnification obligations as and when due (other than payments that are prohibited by the subordination provisions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Restricted Debt Payments in an aggregate amount not to exceed (A)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auto"/>
        </w:rPr>
        <w:t xml:space="preserve">% of Consolidated Adjusted EBITDA as of the last day of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at the election of the Borrower, the amount of Restricted Payments then permitted to be made by the Borrower in reliance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6.04(a)(x)</w:t>
      </w:r>
      <w:r>
        <w:rPr>
          <w:rFonts w:ascii="Times New Roman" w:cs="Times New Roman" w:eastAsia="Times New Roman" w:hAnsi="Times New Roman"/>
          <w:sz w:val="20"/>
          <w:szCs w:val="20"/>
          <w:color w:val="auto"/>
        </w:rPr>
        <w:t xml:space="preserve"> (it being understood that any amount utilized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make a Restricted Debt Payment shall result in a reduction in the amount available under </w:t>
      </w:r>
      <w:r>
        <w:rPr>
          <w:rFonts w:ascii="Times New Roman" w:cs="Times New Roman" w:eastAsia="Times New Roman" w:hAnsi="Times New Roman"/>
          <w:sz w:val="20"/>
          <w:szCs w:val="20"/>
          <w:u w:val="single" w:color="auto"/>
          <w:color w:val="auto"/>
        </w:rPr>
        <w:t>Section 6.04(a)(x)</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Restricted Debt Payments in exchange for, or with proceeds of any issuance of, Capital Stock of any Parent Company or Qualified Capital Stock of the Borrower and/or any capital contribution in respect of Qualified Capital Stock of the Borrower, in each case, that are Not Otherwise Applied, (B) Restricted Debt Payments as a result of the conversion of all or any portion of any Restricted Debt into Qualified Capital Stock of the Borrower or the Capital Stock of any Parent Company and (C) to the extent constituting a Restricted Debt Payment, payment-in-kind interest with respect to any Restricted Debt that is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Debt Payments in an aggregate amount not to exceed (A) the portion, if any, of the Available Amount on such date that the Borrower elects to apply to this </w:t>
      </w:r>
      <w:r>
        <w:rPr>
          <w:rFonts w:ascii="Times New Roman" w:cs="Times New Roman" w:eastAsia="Times New Roman" w:hAnsi="Times New Roman"/>
          <w:sz w:val="20"/>
          <w:szCs w:val="20"/>
          <w:u w:val="single" w:color="auto"/>
          <w:color w:val="auto"/>
        </w:rPr>
        <w:t>clause (vi)(A)</w:t>
      </w:r>
      <w:r>
        <w:rPr>
          <w:rFonts w:ascii="Times New Roman" w:cs="Times New Roman" w:eastAsia="Times New Roman" w:hAnsi="Times New Roman"/>
          <w:sz w:val="20"/>
          <w:szCs w:val="20"/>
          <w:color w:val="auto"/>
        </w:rPr>
        <w:t xml:space="preserve"> and/or (B) 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(vi)(B)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Restricted Debt Payments in an unlimited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after giving effect thereto the Total Net Leverage Ratio, calculated on a Pro Forma Basis, would not exceed 2.50:1.00 as of the last day of the most recently ended Test Period; and/or</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mandatory prepayments of Restricted Debt (and related payments of interest) made with Declined Proceeds (it being understood that any Declined Proceeds applied to make Restricted Debt Payments in reliance on this </w:t>
      </w:r>
      <w:r>
        <w:rPr>
          <w:rFonts w:ascii="Times New Roman" w:cs="Times New Roman" w:eastAsia="Times New Roman" w:hAnsi="Times New Roman"/>
          <w:sz w:val="20"/>
          <w:szCs w:val="20"/>
          <w:u w:val="single" w:color="auto"/>
          <w:color w:val="auto"/>
        </w:rPr>
        <w:t>Section 6.04(b)(viii)</w:t>
      </w:r>
      <w:r>
        <w:rPr>
          <w:rFonts w:ascii="Times New Roman" w:cs="Times New Roman" w:eastAsia="Times New Roman" w:hAnsi="Times New Roman"/>
          <w:sz w:val="20"/>
          <w:szCs w:val="20"/>
          <w:color w:val="auto"/>
        </w:rPr>
        <w:t xml:space="preserve"> shall not increase the amount available under </w:t>
      </w:r>
      <w:r>
        <w:rPr>
          <w:rFonts w:ascii="Times New Roman" w:cs="Times New Roman" w:eastAsia="Times New Roman" w:hAnsi="Times New Roman"/>
          <w:sz w:val="20"/>
          <w:szCs w:val="20"/>
          <w:u w:val="single" w:color="auto"/>
          <w:color w:val="auto"/>
        </w:rPr>
        <w:t>clause (a)(ix)</w:t>
      </w:r>
      <w:r>
        <w:rPr>
          <w:rFonts w:ascii="Times New Roman" w:cs="Times New Roman" w:eastAsia="Times New Roman" w:hAnsi="Times New Roman"/>
          <w:sz w:val="20"/>
          <w:szCs w:val="20"/>
          <w:color w:val="auto"/>
        </w:rPr>
        <w:t xml:space="preserve"> of the definition of “Available Amount” to the extent so applied).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Burdensome Agreements</w:t>
      </w:r>
      <w:r>
        <w:rPr>
          <w:rFonts w:ascii="Times New Roman" w:cs="Times New Roman" w:eastAsia="Times New Roman" w:hAnsi="Times New Roman"/>
          <w:sz w:val="20"/>
          <w:szCs w:val="20"/>
          <w:color w:val="auto"/>
        </w:rPr>
        <w:t xml:space="preserve">. Except as provided herein or in any other Loan Document, any document with respect to any Incremental Equivalent Debt and/or in any agreement with respect to any refinancing, renewal or replacement of any such Indebtedness that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the Borrower shall not, nor shall it permit any of its Restricted Subsidiaries to, enter into or cause to exist any agreement (any such agreement, a “</w:t>
      </w:r>
      <w:r>
        <w:rPr>
          <w:rFonts w:ascii="Times New Roman" w:cs="Times New Roman" w:eastAsia="Times New Roman" w:hAnsi="Times New Roman"/>
          <w:sz w:val="20"/>
          <w:szCs w:val="20"/>
          <w:u w:val="single" w:color="auto"/>
          <w:color w:val="auto"/>
        </w:rPr>
        <w:t>Burdensome Agreement</w:t>
      </w:r>
      <w:r>
        <w:rPr>
          <w:rFonts w:ascii="Times New Roman" w:cs="Times New Roman" w:eastAsia="Times New Roman" w:hAnsi="Times New Roman"/>
          <w:sz w:val="20"/>
          <w:szCs w:val="20"/>
          <w:color w:val="auto"/>
        </w:rPr>
        <w:t>”) restricting the ability of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spacing w:after="0" w:line="269" w:lineRule="auto"/>
        <w:rPr>
          <w:sz w:val="20"/>
          <w:szCs w:val="20"/>
          <w:color w:val="auto"/>
        </w:rPr>
      </w:pPr>
      <w:r>
        <w:rPr>
          <w:rFonts w:ascii="Times New Roman" w:cs="Times New Roman" w:eastAsia="Times New Roman" w:hAnsi="Times New Roman"/>
          <w:sz w:val="20"/>
          <w:szCs w:val="20"/>
          <w:color w:val="auto"/>
        </w:rPr>
        <w:t>Party to create, permit or grant a Lien on any of its properties or assets to secure the Secured Obligations (after giving effect to the applicable anti-assignment provisions of the UCC and/or any other applicable Requirement of Law), except restrictions:</w:t>
      </w:r>
    </w:p>
    <w:p>
      <w:pPr>
        <w:spacing w:after="0" w:line="159" w:lineRule="exact"/>
        <w:rPr>
          <w:sz w:val="20"/>
          <w:szCs w:val="20"/>
          <w:color w:val="auto"/>
        </w:rPr>
      </w:pPr>
    </w:p>
    <w:p>
      <w:pPr>
        <w:jc w:val="both"/>
        <w:ind w:firstLine="757"/>
        <w:spacing w:after="0" w:line="246"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in any agreement governing (i) Indebtedness of a Restricted Subsidiary that is not a Loan Party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(ii)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Times New Roman" w:cs="Times New Roman" w:eastAsia="Times New Roman" w:hAnsi="Times New Roman"/>
          <w:sz w:val="20"/>
          <w:szCs w:val="20"/>
          <w:u w:val="single" w:color="auto"/>
          <w:color w:val="auto"/>
        </w:rPr>
        <w:t>clauses (j)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(as it relates to Indebtedness in respect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or were created by virtue of any Lien granted upon, transfer of, agreement to transfer or grant of, any option or right with respect to any assets or Capital Stock not otherwise prohibited under this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74"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provisions in agreements or instruments which prohibit the payment of dividends or the making of other distributions with respect to any class of Capital Stock of a Person other than on a pro rata basis;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imposed by customary provisions in partnership agreements, limited liability company organizational governance documents, joint venture agreements and other similar agreements;</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in documents which exist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w:t>
      </w:r>
    </w:p>
    <w:p>
      <w:pPr>
        <w:spacing w:after="0" w:line="215"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arising under or as a result of applicable Requirements of Law or the terms of any license, authorization, concession or permit;</w:t>
      </w:r>
    </w:p>
    <w:p>
      <w:pPr>
        <w:spacing w:after="0" w:line="227" w:lineRule="exact"/>
        <w:rPr>
          <w:rFonts w:ascii="Times New Roman" w:cs="Times New Roman" w:eastAsia="Times New Roman" w:hAnsi="Times New Roman"/>
          <w:sz w:val="19"/>
          <w:szCs w:val="19"/>
          <w:color w:val="auto"/>
        </w:rPr>
      </w:pPr>
    </w:p>
    <w:p>
      <w:pPr>
        <w:ind w:right="40" w:firstLine="757"/>
        <w:spacing w:after="0" w:line="269" w:lineRule="auto"/>
        <w:tabs>
          <w:tab w:leader="none" w:pos="114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in any Hedge Agreement and/or any agreement or arrangement relating to any Banking Services and/or any other obligation of the type permitted under </w:t>
      </w:r>
      <w:r>
        <w:rPr>
          <w:rFonts w:ascii="Times New Roman" w:cs="Times New Roman" w:eastAsia="Times New Roman" w:hAnsi="Times New Roman"/>
          <w:sz w:val="20"/>
          <w:szCs w:val="20"/>
          <w:u w:val="single" w:color="auto"/>
          <w:color w:val="auto"/>
        </w:rPr>
        <w:t>Section 6.01(f)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ind w:firstLine="757"/>
        <w:spacing w:after="0" w:line="249" w:lineRule="auto"/>
        <w:tabs>
          <w:tab w:leader="none" w:pos="114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 or that would result in the occurrence of the Termination Date;</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in any agreement relating to any Permitted Lien that limits the right of the Borrower and/or any Restricted Subsidiary to Dispose of or encumber the assets subject thereto;</w:t>
      </w:r>
    </w:p>
    <w:p>
      <w:pPr>
        <w:spacing w:after="0" w:line="159"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subordination and/or subrogation provisions set forth in guaranty or similar documentation (not relating to Indebtedness for borrowed money) that is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 created in connection with any factoring program implemented in the ordinary course of business, so long as in the case of any prohibition on Liens, the relevant restriction relates solely to assets subject to such factoring program and the Capital Stock of any Person participating in such factoring program; and/or</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imposed by any amendment, modification, restatement, renewal, increase, supplement, refunding, replacement or refinancing of any contract, instrument or obligation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  The Borrower shall not, nor shall it permit any of its Restricted Subsidiaries to, make or own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in any other Person except:</w:t>
      </w:r>
    </w:p>
    <w:p>
      <w:pPr>
        <w:spacing w:after="0" w:line="194" w:lineRule="exact"/>
        <w:rPr>
          <w:sz w:val="20"/>
          <w:szCs w:val="20"/>
          <w:color w:val="auto"/>
        </w:rPr>
      </w:pPr>
    </w:p>
    <w:p>
      <w:pPr>
        <w:ind w:left="1160" w:hanging="403"/>
        <w:spacing w:after="0"/>
        <w:tabs>
          <w:tab w:leader="none" w:pos="11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Investments that were Cash Equivalents at the time made;</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the Closing Date in the Borrower or in any subsidiary, (ii) Investments made after the Closing Date among the Borrower and/or one or more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amount of Investments by any Loan Party in any Restricted Subsidiary that is not a Loan Party in reliance on this </w:t>
      </w:r>
      <w:r>
        <w:rPr>
          <w:rFonts w:ascii="Times New Roman" w:cs="Times New Roman" w:eastAsia="Times New Roman" w:hAnsi="Times New Roman"/>
          <w:sz w:val="20"/>
          <w:szCs w:val="20"/>
          <w:u w:val="single" w:color="auto"/>
          <w:color w:val="auto"/>
        </w:rPr>
        <w:t>Section 6.06(b)(ii)</w:t>
      </w:r>
      <w:r>
        <w:rPr>
          <w:rFonts w:ascii="Times New Roman" w:cs="Times New Roman" w:eastAsia="Times New Roman" w:hAnsi="Times New Roman"/>
          <w:sz w:val="20"/>
          <w:szCs w:val="20"/>
          <w:color w:val="auto"/>
        </w:rPr>
        <w:t xml:space="preserve"> shall not exceed the greater of $32,500,000 and </w:t>
      </w:r>
      <w:r>
        <w:rPr>
          <w:rFonts w:ascii="Times New Roman" w:cs="Times New Roman" w:eastAsia="Times New Roman" w:hAnsi="Times New Roman"/>
          <w:sz w:val="20"/>
          <w:szCs w:val="20"/>
          <w:color w:val="FF0000"/>
          <w:strike w:val="1"/>
        </w:rPr>
        <w:t>50</w:t>
      </w:r>
      <w:r>
        <w:rPr>
          <w:rFonts w:ascii="Times New Roman" w:cs="Times New Roman" w:eastAsia="Times New Roman" w:hAnsi="Times New Roman"/>
          <w:sz w:val="20"/>
          <w:szCs w:val="20"/>
          <w:u w:val="single" w:color="auto"/>
          <w:color w:val="0000FF"/>
        </w:rPr>
        <w:t>25</w:t>
      </w:r>
      <w:r>
        <w:rPr>
          <w:rFonts w:ascii="Times New Roman" w:cs="Times New Roman" w:eastAsia="Times New Roman" w:hAnsi="Times New Roman"/>
          <w:sz w:val="20"/>
          <w:szCs w:val="20"/>
          <w:color w:val="auto"/>
        </w:rPr>
        <w:t xml:space="preserve">% of Consolidated Adjusted EBITDA as of the last day of the most recently ended Test Period, (iii) any Investment made after the Closing Date among the Borrower and/or one or more Restricted Subsidiaries in connection with cash management and (iv) Investments in any Restricted Subsidiary in the form of any contribution or Disposition of the Capital Stock of any Person that is not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there is a bona fide business purpose for such contribution or Disposition or (y) such contribution or Disposition is not consummated solely for the purpose of obtaining a release of the Collateral in respect of the Capital Stock in such Person, in the case of the foregoing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as determined in good faith by the Borrower;</w:t>
      </w:r>
    </w:p>
    <w:p>
      <w:pPr>
        <w:spacing w:after="0" w:line="185"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145"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constituting deposits, prepayments, trade credits and/or credits to suppliers, (ii) made in connection with obtaining, maintaining or renewing client and customer contracts or (iii) made in distributors, suppliers, licensors and licensees, in each case, in the ordinary course of business or,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to the extent necessary to maintain the ordinary course of supplies to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both"/>
        <w:ind w:firstLine="757"/>
        <w:spacing w:after="0" w:line="249"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in joint ventures in an aggregate outstanding amount not to exceed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25</w:t>
      </w:r>
      <w:r>
        <w:rPr>
          <w:rFonts w:ascii="Times New Roman" w:cs="Times New Roman" w:eastAsia="Times New Roman" w:hAnsi="Times New Roman"/>
          <w:sz w:val="20"/>
          <w:szCs w:val="20"/>
          <w:color w:val="auto"/>
        </w:rPr>
        <w:t xml:space="preserve">% of Consolidated Adjusted EBITDA as of the last day of the most recently ended Test Period and (ii) 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Investments in Unrestricted Subsidiaries in an aggregate outstanding amount not to exceed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25</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Permitted Acquisitions and (ii) any Investment in any Restricted Subsidiary that is not a Loan Party in an amount required to permit such Restricted Subsidiary to directly, or indirectly through one or more other Restricted Subsidiaries, consummate a Permitted Acquisition, which amount is applied, by such Restricted Subsidiary, directly or indirectly, through one or more other Restricted Subsidiaries to consummate such Permitted Acquisition;</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or contractually committed to or contemplated as of, the Closing Date and (ii) any modification, replacement, renewal or extension of any Investment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so long as no such modification, renewal or extension increases the amount of such Investment except by the terms thereof or as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received in lieu of Cash in connection with any Disposition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or any other disposition of assets not constituting a Disposition;</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45"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or the Borrower, either (i) in an aggregate principal amount not to exceed $2,500,000 at any one time outstanding or (ii) so long as the proceeds of such loan or advance are substantially contemporaneously contributed (or deemed to have been contributed) to the Borrower for the purchase of such Capital Stock;</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(or resulting from)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Indebtedness permitted under </w:t>
      </w:r>
      <w:r>
        <w:rPr>
          <w:rFonts w:ascii="Times New Roman" w:cs="Times New Roman" w:eastAsia="Times New Roman" w:hAnsi="Times New Roman"/>
          <w:sz w:val="20"/>
          <w:szCs w:val="20"/>
          <w:u w:val="single" w:color="auto"/>
          <w:color w:val="auto"/>
        </w:rPr>
        <w:t>Sections 6.01(b)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Permitted Liens, Restricted Payments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6.04(a)(ix)</w:t>
      </w:r>
      <w:r>
        <w:rPr>
          <w:rFonts w:ascii="Times New Roman" w:cs="Times New Roman" w:eastAsia="Times New Roman" w:hAnsi="Times New Roman"/>
          <w:sz w:val="20"/>
          <w:szCs w:val="20"/>
          <w:color w:val="auto"/>
        </w:rPr>
        <w:t xml:space="preserve">), Restricted Debt Payments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mergers, consolidations, amalgamations, liquidations, windings up, dissolutions or Dispositions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6.07(a)</w:t>
      </w:r>
      <w:r>
        <w:rPr>
          <w:rFonts w:ascii="Times New Roman" w:cs="Times New Roman" w:eastAsia="Times New Roman" w:hAnsi="Times New Roman"/>
          <w:sz w:val="20"/>
          <w:szCs w:val="20"/>
          <w:color w:val="auto"/>
        </w:rPr>
        <w:t xml:space="preserve"> (if made in reliance on </w:t>
      </w:r>
      <w:r>
        <w:rPr>
          <w:rFonts w:ascii="Times New Roman" w:cs="Times New Roman" w:eastAsia="Times New Roman" w:hAnsi="Times New Roman"/>
          <w:sz w:val="20"/>
          <w:szCs w:val="20"/>
          <w:u w:val="single" w:color="auto"/>
          <w:color w:val="auto"/>
        </w:rPr>
        <w:t>subclause (ii)(B)</w:t>
      </w:r>
      <w:r>
        <w:rPr>
          <w:rFonts w:ascii="Times New Roman" w:cs="Times New Roman" w:eastAsia="Times New Roman" w:hAnsi="Times New Roman"/>
          <w:sz w:val="20"/>
          <w:szCs w:val="20"/>
          <w:color w:val="auto"/>
        </w:rPr>
        <w:t xml:space="preserve"> of the proviso thereto),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6.07(c)(ii)</w:t>
      </w:r>
      <w:r>
        <w:rPr>
          <w:rFonts w:ascii="Times New Roman" w:cs="Times New Roman" w:eastAsia="Times New Roman" w:hAnsi="Times New Roman"/>
          <w:sz w:val="20"/>
          <w:szCs w:val="20"/>
          <w:color w:val="auto"/>
        </w:rPr>
        <w:t xml:space="preserve"> (if made in reliance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therein) and </w:t>
      </w:r>
      <w:r>
        <w:rPr>
          <w:rFonts w:ascii="Times New Roman" w:cs="Times New Roman" w:eastAsia="Times New Roman" w:hAnsi="Times New Roman"/>
          <w:sz w:val="20"/>
          <w:szCs w:val="20"/>
          <w:u w:val="single" w:color="auto"/>
          <w:color w:val="auto"/>
        </w:rPr>
        <w:t>Section 6.07(g)</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in the ordinary course of business consisting of endorsements for collection or deposit and customary trade arrangements with customers, (ii) in the ordinary course of business and/or consistent with industry practice consisting of loans or advances made to distributors and/or (iii) consisting of residual equity in any Receivables Subsidiary;</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ind w:firstLine="757"/>
        <w:spacing w:after="0" w:line="246" w:lineRule="auto"/>
        <w:tabs>
          <w:tab w:leader="none" w:pos="114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to the extent that payment therefor is made with Capital Stock of any Parent Company or Qualified Capital Stock of the Borrower or any Restricted Subsidiary that are Not Otherwise Applied, in each case, to the extent not resulting in a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such Investment, any payment (or portion thereof) not made with Capital Stock of any Parent Company or Qualified Capital Stock of the Borrower or any Restricted Subsidiary must otherwise be permitted under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6.06(o)</w:t>
      </w:r>
      <w:r>
        <w:rPr>
          <w:rFonts w:ascii="Times New Roman" w:cs="Times New Roman" w:eastAsia="Times New Roman" w:hAnsi="Times New Roman"/>
          <w:sz w:val="20"/>
          <w:szCs w:val="20"/>
          <w:color w:val="auto"/>
        </w:rPr>
        <w:t xml:space="preserve"> so long as no such modification, replacement, renewal or extension thereof increases the original amount of such Investment, except as otherwise permitted by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the Transactions;</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the Borrower and/or any of its Restricted Subsidiaries in an aggregate amount at any time outstanding not to exceed: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2"/>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(A)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25</w:t>
      </w:r>
      <w:r>
        <w:rPr>
          <w:rFonts w:ascii="Times New Roman" w:cs="Times New Roman" w:eastAsia="Times New Roman" w:hAnsi="Times New Roman"/>
          <w:sz w:val="20"/>
          <w:szCs w:val="20"/>
          <w:color w:val="auto"/>
        </w:rPr>
        <w:t xml:space="preserve">% of Consolidated Adjusted EBITDA as of the last day of the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at the election of the Borrower, the amount of Restricted Payments then permitted to be made by the Borrower in reliance on </w:t>
      </w:r>
      <w:r>
        <w:rPr>
          <w:rFonts w:ascii="Times New Roman" w:cs="Times New Roman" w:eastAsia="Times New Roman" w:hAnsi="Times New Roman"/>
          <w:sz w:val="20"/>
          <w:szCs w:val="20"/>
          <w:u w:val="single" w:color="auto"/>
          <w:color w:val="auto"/>
        </w:rPr>
        <w:t>Section 6.04(a)(x)</w:t>
      </w:r>
      <w:r>
        <w:rPr>
          <w:rFonts w:ascii="Times New Roman" w:cs="Times New Roman" w:eastAsia="Times New Roman" w:hAnsi="Times New Roman"/>
          <w:sz w:val="20"/>
          <w:szCs w:val="20"/>
          <w:color w:val="auto"/>
        </w:rPr>
        <w:t xml:space="preserve"> (it being understood that any amount utilized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make an Investment shall result in a reduction in the amount available under </w:t>
      </w:r>
      <w:r>
        <w:rPr>
          <w:rFonts w:ascii="Times New Roman" w:cs="Times New Roman" w:eastAsia="Times New Roman" w:hAnsi="Times New Roman"/>
          <w:sz w:val="20"/>
          <w:szCs w:val="20"/>
          <w:u w:val="single" w:color="auto"/>
          <w:color w:val="auto"/>
        </w:rPr>
        <w:t>Section 6.04(a)(x)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at the election of the Borrower, the amount of Restricted Debt Payments then permitted to be made by the Borrower or any Restricted Subsidiary in reliance on </w:t>
      </w:r>
      <w:r>
        <w:rPr>
          <w:rFonts w:ascii="Times New Roman" w:cs="Times New Roman" w:eastAsia="Times New Roman" w:hAnsi="Times New Roman"/>
          <w:sz w:val="20"/>
          <w:szCs w:val="20"/>
          <w:u w:val="single" w:color="auto"/>
          <w:color w:val="auto"/>
        </w:rPr>
        <w:t>Section 6.04(b)(iv)(A)</w:t>
      </w:r>
      <w:r>
        <w:rPr>
          <w:rFonts w:ascii="Times New Roman" w:cs="Times New Roman" w:eastAsia="Times New Roman" w:hAnsi="Times New Roman"/>
          <w:sz w:val="20"/>
          <w:szCs w:val="20"/>
          <w:color w:val="auto"/>
        </w:rPr>
        <w:t xml:space="preserve"> (it being understood that any amount utilized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to make an Investment shall result in a reduction in the amount available under </w:t>
      </w:r>
      <w:r>
        <w:rPr>
          <w:rFonts w:ascii="Times New Roman" w:cs="Times New Roman" w:eastAsia="Times New Roman" w:hAnsi="Times New Roman"/>
          <w:sz w:val="20"/>
          <w:szCs w:val="20"/>
          <w:u w:val="single" w:color="auto"/>
          <w:color w:val="auto"/>
        </w:rPr>
        <w:t>Section 6.04(b)(iv)</w:t>
      </w:r>
    </w:p>
    <w:p>
      <w:pPr>
        <w:spacing w:after="0" w:line="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2"/>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74" w:lineRule="exact"/>
        <w:rPr>
          <w:rFonts w:ascii="Times New Roman" w:cs="Times New Roman" w:eastAsia="Times New Roman" w:hAnsi="Times New Roman"/>
          <w:sz w:val="20"/>
          <w:szCs w:val="20"/>
          <w:color w:val="auto"/>
        </w:rPr>
      </w:pPr>
    </w:p>
    <w:p>
      <w:pPr>
        <w:jc w:val="both"/>
        <w:ind w:right="20" w:firstLine="757"/>
        <w:spacing w:after="0" w:line="264" w:lineRule="auto"/>
        <w:tabs>
          <w:tab w:leader="none" w:pos="1145"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cs="Times New Roman" w:eastAsia="Times New Roman" w:hAnsi="Times New Roman"/>
          <w:sz w:val="19"/>
          <w:szCs w:val="19"/>
          <w:u w:val="single" w:color="auto"/>
          <w:color w:val="auto"/>
        </w:rPr>
        <w:t>clause (r)(i)</w:t>
      </w:r>
      <w:r>
        <w:rPr>
          <w:rFonts w:ascii="Times New Roman" w:cs="Times New Roman" w:eastAsia="Times New Roman" w:hAnsi="Times New Roman"/>
          <w:sz w:val="19"/>
          <w:szCs w:val="19"/>
          <w:color w:val="auto"/>
        </w:rPr>
        <w:t xml:space="preserve"> and/or</w:t>
      </w:r>
    </w:p>
    <w:p>
      <w:pPr>
        <w:ind w:left="300" w:hanging="292"/>
        <w:spacing w:after="0"/>
        <w:tabs>
          <w:tab w:leader="none" w:pos="3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portion, if any, of the Available Excluded Contribution Amount on such date that the Borrower elects to apply to this </w:t>
      </w:r>
      <w:r>
        <w:rPr>
          <w:rFonts w:ascii="Times New Roman" w:cs="Times New Roman" w:eastAsia="Times New Roman" w:hAnsi="Times New Roman"/>
          <w:sz w:val="20"/>
          <w:szCs w:val="20"/>
          <w:u w:val="single" w:color="auto"/>
          <w:color w:val="auto"/>
        </w:rPr>
        <w:t>clause (r)(ii)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ind w:right="20" w:firstLine="757"/>
        <w:spacing w:after="0" w:line="254"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Parent Company in amounts and for purposes for which Restricted Payments to such Parent Company are permitted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Investment made as provided above in lieu of any such Restricted Payment shall reduce availability under the applicable Restricted Payment basket under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Similar Businesses in an aggregate outstanding amount not to exceed the greater of $30,000,000 and </w:t>
      </w:r>
      <w:r>
        <w:rPr>
          <w:rFonts w:ascii="Times New Roman" w:cs="Times New Roman" w:eastAsia="Times New Roman" w:hAnsi="Times New Roman"/>
          <w:sz w:val="20"/>
          <w:szCs w:val="20"/>
          <w:color w:val="FF0000"/>
          <w:strike w:val="1"/>
        </w:rPr>
        <w:t>35</w:t>
      </w:r>
      <w:r>
        <w:rPr>
          <w:rFonts w:ascii="Times New Roman" w:cs="Times New Roman" w:eastAsia="Times New Roman" w:hAnsi="Times New Roman"/>
          <w:sz w:val="20"/>
          <w:szCs w:val="20"/>
          <w:u w:val="single" w:color="auto"/>
          <w:color w:val="0000FF"/>
        </w:rPr>
        <w:t>25</w:t>
      </w:r>
      <w:r>
        <w:rPr>
          <w:rFonts w:ascii="Times New Roman" w:cs="Times New Roman" w:eastAsia="Times New Roman" w:hAnsi="Times New Roman"/>
          <w:sz w:val="20"/>
          <w:szCs w:val="20"/>
          <w:color w:val="auto"/>
        </w:rPr>
        <w:t>% of Consolidated Adjusted EBITDA as of the last day of the most recently ended Test Period;</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Borrower and/or any Restricted Subsidiary in connection with internal reorganizations and/or restructurings and/or activities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under Derivative Transactions of the type permitted under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its subsidiaries and/or any joint venture;</w:t>
      </w:r>
    </w:p>
    <w:p>
      <w:pPr>
        <w:spacing w:after="0" w:line="174" w:lineRule="exact"/>
        <w:rPr>
          <w:sz w:val="20"/>
          <w:szCs w:val="20"/>
          <w:color w:val="auto"/>
        </w:rPr>
      </w:pPr>
    </w:p>
    <w:p>
      <w:pPr>
        <w:ind w:right="80" w:firstLine="757"/>
        <w:spacing w:after="0" w:line="269" w:lineRule="auto"/>
        <w:tabs>
          <w:tab w:leader="none" w:pos="11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Borrower, any Restricted Subsidiary and/or joint venture in connection with intercompany cash management arrangements and related activities in the ordinary course of business;</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any Investment so long as, after giving effect thereto on a Pro Forma Basis, the Total Net Leverage Ratio does not exceed 2.75:1.00 as of the last day of the most recently ended Test Period;</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made or committed to be made by any Unrestricted Subsidiary prior to the date on which such Unrestricted Subsidiary is designated as a Restricted Subsidiary so long as the relevant Investment was not made or committed to be made in contemplation of the designation of such Unrestricted Subsidiary as a Restricted Subsidiary;</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licensing, sublicensing or contribution of IP Rights, including pursuant to joint marketing, collaboration or joint development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and/or advance to any Parent Company not in excess of the amount (after giving effect to any other loan, advance or Restricted Payment in respect thereof) of Restricted Payments that are permitted to be made to such Parent Company in accordance with </w:t>
      </w:r>
      <w:r>
        <w:rPr>
          <w:rFonts w:ascii="Times New Roman" w:cs="Times New Roman" w:eastAsia="Times New Roman" w:hAnsi="Times New Roman"/>
          <w:sz w:val="20"/>
          <w:szCs w:val="20"/>
          <w:u w:val="single" w:color="auto"/>
          <w:color w:val="auto"/>
        </w:rPr>
        <w:t>Section 6.04(a)(i)</w:t>
      </w:r>
      <w:r>
        <w:rPr>
          <w:rFonts w:ascii="Times New Roman" w:cs="Times New Roman" w:eastAsia="Times New Roman" w:hAnsi="Times New Roman"/>
          <w:sz w:val="20"/>
          <w:szCs w:val="20"/>
          <w:color w:val="auto"/>
        </w:rPr>
        <w:t>, such Investment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spacing w:after="0" w:line="269" w:lineRule="auto"/>
        <w:rPr>
          <w:sz w:val="20"/>
          <w:szCs w:val="20"/>
          <w:color w:val="auto"/>
        </w:rPr>
      </w:pPr>
      <w:r>
        <w:rPr>
          <w:rFonts w:ascii="Times New Roman" w:cs="Times New Roman" w:eastAsia="Times New Roman" w:hAnsi="Times New Roman"/>
          <w:sz w:val="20"/>
          <w:szCs w:val="20"/>
          <w:color w:val="auto"/>
        </w:rPr>
        <w:t xml:space="preserve">treated for purposes of the applicable provision of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including any limitation, as a Restricted Payment made pursuant to such clause;</w:t>
      </w:r>
    </w:p>
    <w:p>
      <w:pPr>
        <w:spacing w:after="0" w:line="159" w:lineRule="exact"/>
        <w:rPr>
          <w:sz w:val="20"/>
          <w:szCs w:val="20"/>
          <w:color w:val="auto"/>
        </w:rPr>
      </w:pPr>
    </w:p>
    <w:p>
      <w:pPr>
        <w:ind w:left="1160" w:hanging="403"/>
        <w:spacing w:after="0"/>
        <w:tabs>
          <w:tab w:leader="none" w:pos="11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of Receivables Facility Assets in connection with any Receivables Facility and/or (ii) necessary to permit the payment of fees, expenses and/or indemnification obligations and/or the satisfaction of any repurchase obligation in connection with any Receivables Facility;</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any Restricted Subsidiary that is not a Loan Party with the proceeds received by such Restricted Subsidiary from an Investment permitted to be made by any Loan Party in such Restricted Subsidiary pursuant to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any Investment made pursuant to (x) </w:t>
      </w:r>
      <w:r>
        <w:rPr>
          <w:rFonts w:ascii="Times New Roman" w:cs="Times New Roman" w:eastAsia="Times New Roman" w:hAnsi="Times New Roman"/>
          <w:sz w:val="20"/>
          <w:szCs w:val="20"/>
          <w:u w:val="single" w:color="auto"/>
          <w:color w:val="auto"/>
        </w:rPr>
        <w:t>Section 6.06(b)(ii)</w:t>
      </w:r>
      <w:r>
        <w:rPr>
          <w:rFonts w:ascii="Times New Roman" w:cs="Times New Roman" w:eastAsia="Times New Roman" w:hAnsi="Times New Roman"/>
          <w:sz w:val="20"/>
          <w:szCs w:val="20"/>
          <w:color w:val="auto"/>
        </w:rPr>
        <w:t xml:space="preserve">, solely to the extent the proceeds thereof are to be used to make an Investment in any Unrestricted Subsidiary and/or (y) </w:t>
      </w:r>
      <w:r>
        <w:rPr>
          <w:rFonts w:ascii="Times New Roman" w:cs="Times New Roman" w:eastAsia="Times New Roman" w:hAnsi="Times New Roman"/>
          <w:sz w:val="20"/>
          <w:szCs w:val="20"/>
          <w:u w:val="single" w:color="auto"/>
          <w:color w:val="auto"/>
        </w:rPr>
        <w:t>Section 6.06(e)(ii)</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and/or</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Bond Hedge Transaction;</w:t>
      </w:r>
    </w:p>
    <w:p>
      <w:pPr>
        <w:spacing w:after="0" w:line="215"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prepaid expenses, negotiable instruments held for collection and lease, utility and workers’ compensation, performance and other similar deposits;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receivables owing to the Borrower and/or any Restricted Subsidiary in the ordinary course of business on customary trade terms, including such concessionary trade terms as the Borrower or the relevant Restricted Subsidiary may deem reasonable under the applicable circumstances; and/or</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5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contribution to a “rabbi” trust for the benefit of any employee, director, consultant, independent contractor or other service provider or any other grantor trust.</w:t>
      </w:r>
    </w:p>
    <w:p>
      <w:pPr>
        <w:spacing w:after="0" w:line="15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it is understood and agreed that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shall not permit an IP Separation Transaction </w:t>
      </w:r>
      <w:r>
        <w:rPr>
          <w:rFonts w:ascii="Times New Roman" w:cs="Times New Roman" w:eastAsia="Times New Roman" w:hAnsi="Times New Roman"/>
          <w:sz w:val="20"/>
          <w:szCs w:val="20"/>
          <w:color w:val="0000FF"/>
        </w:rPr>
        <w:t>and (y)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any Investments in Unrestricted Subsidiaries may only be made pursuant to Section 6.06(d)(ii)</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6536055</wp:posOffset>
            </wp:positionH>
            <wp:positionV relativeFrom="paragraph">
              <wp:posOffset>-192405</wp:posOffset>
            </wp:positionV>
            <wp:extent cx="4222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3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Fundamental Changes; Disposition of Assets</w:t>
      </w:r>
      <w:r>
        <w:rPr>
          <w:rFonts w:ascii="Times New Roman" w:cs="Times New Roman" w:eastAsia="Times New Roman" w:hAnsi="Times New Roman"/>
          <w:sz w:val="20"/>
          <w:szCs w:val="20"/>
          <w:color w:val="auto"/>
        </w:rPr>
        <w:t xml:space="preserve"> . The Borrower shall not, nor shall it permit any of its Restricted Subsidiaries to, merge, consolidate, amalgamate, or liquidate, wind up or dissolve themselves (or suffer any liquidation or dissolution), or make any voluntary Disposition of assets outside the ordinary course of business having a fair market value in excess of the greater of $</w:t>
      </w:r>
      <w:r>
        <w:rPr>
          <w:rFonts w:ascii="Times New Roman" w:cs="Times New Roman" w:eastAsia="Times New Roman" w:hAnsi="Times New Roman"/>
          <w:sz w:val="20"/>
          <w:szCs w:val="20"/>
          <w:color w:val="FF0000"/>
          <w:strike w:val="1"/>
        </w:rPr>
        <w:t>17,500,000</w:t>
      </w:r>
      <w:r>
        <w:rPr>
          <w:rFonts w:ascii="Times New Roman" w:cs="Times New Roman" w:eastAsia="Times New Roman" w:hAnsi="Times New Roman"/>
          <w:sz w:val="20"/>
          <w:szCs w:val="20"/>
          <w:u w:val="single" w:color="auto"/>
          <w:color w:val="0000FF"/>
        </w:rPr>
        <w:t>18,000,000</w:t>
      </w:r>
      <w:r>
        <w:rPr>
          <w:rFonts w:ascii="Times New Roman" w:cs="Times New Roman" w:eastAsia="Times New Roman" w:hAnsi="Times New Roman"/>
          <w:sz w:val="20"/>
          <w:szCs w:val="20"/>
          <w:color w:val="auto"/>
        </w:rPr>
        <w:t xml:space="preserve"> and 20% of Consolidated Adjusted EBITDA as of the last day of the most recently ended Test Period in any single transaction or series of related transactions (including, in each case, pursuant to a Delaware LLC Division), except:</w:t>
      </w:r>
    </w:p>
    <w:p>
      <w:pPr>
        <w:spacing w:after="0" w:line="185" w:lineRule="exact"/>
        <w:rPr>
          <w:sz w:val="20"/>
          <w:szCs w:val="20"/>
          <w:color w:val="auto"/>
        </w:rPr>
      </w:pPr>
    </w:p>
    <w:p>
      <w:pPr>
        <w:jc w:val="both"/>
        <w:ind w:firstLine="757"/>
        <w:spacing w:after="0" w:line="254" w:lineRule="auto"/>
        <w:tabs>
          <w:tab w:leader="none" w:pos="1145"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Subsidiary Guarantor may be merged, consolidated or amalgamated with another Person or, if applicable, effect a Delaware LLC Division, or any Restricted Subsidiary may be merged, consolidated or amalgamated with or into the Borrower or any Restricted Subsidiary or, if applicable, effect a Delaware LLC Division;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such merger, consolidation or amalgamation with or into the Borrower or any Delaware LLC Division relating to the Borrower, (A) the Borrower shall be the continuing or surviving Person or (B) if the Person formed by or surviving any such merger, consolidation, amalgamation or Delaware LLC Division is not the Borrower (any such Person, the “</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(1) the Successor Borrower shall be an entity organized or existing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ind w:left="760"/>
        <w:spacing w:after="0" w:line="260" w:lineRule="auto"/>
        <w:rPr>
          <w:sz w:val="20"/>
          <w:szCs w:val="20"/>
          <w:color w:val="auto"/>
        </w:rPr>
      </w:pPr>
      <w:r>
        <w:rPr>
          <w:rFonts w:ascii="Times New Roman" w:cs="Times New Roman" w:eastAsia="Times New Roman" w:hAnsi="Times New Roman"/>
          <w:sz w:val="19"/>
          <w:szCs w:val="19"/>
          <w:color w:val="auto"/>
        </w:rPr>
        <w:t xml:space="preserve">the law of the US, any state thereof or the District of Columbia, (2) the Successor Borrower shall expressly assume the Obligations of the Borrower in a manner reasonably satisfactory to the Administrative Agent and (3)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Times New Roman" w:cs="Times New Roman" w:eastAsia="Times New Roman" w:hAnsi="Times New Roman"/>
          <w:sz w:val="19"/>
          <w:szCs w:val="19"/>
          <w:u w:val="single" w:color="auto"/>
          <w:color w:val="auto"/>
        </w:rPr>
        <w:t>clauses (1)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are satisfied, the Successor Borrower will succeed to, and be substituted for, the Borrower under this Agreement and the other Loan Documents, and</w:t>
      </w:r>
    </w:p>
    <w:p>
      <w:pPr>
        <w:spacing w:after="0" w:line="173" w:lineRule="exact"/>
        <w:rPr>
          <w:sz w:val="20"/>
          <w:szCs w:val="20"/>
          <w:color w:val="auto"/>
        </w:rPr>
      </w:pPr>
    </w:p>
    <w:p>
      <w:pPr>
        <w:jc w:val="both"/>
        <w:ind w:left="760" w:firstLine="745"/>
        <w:spacing w:after="0" w:line="246" w:lineRule="auto"/>
        <w:tabs>
          <w:tab w:leader="none" w:pos="1904"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merger, consolidation or amalgamation with or into any Subsidiary Guarantor or any Delaware LLC Division relating to any Subsidiary Guarantor, either (A) the Borrower or a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(including of Capital Stock) among the Borrower and/or any Restricted Subsidiary (upon voluntary liquidation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relevant Disposition is to a Restricted Subsidiary that is not a Loan Party, the relevant transaction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liquidation, dissolution or Delaware LLC Division of any Restricted Subsidiary if the Borrower determines in good faith that (A) such liquidation, dissolution or Delaware LLC Division is in the best interests of the Borrower and (B) is not materially disadvantageous to the Lenders (taken as a whole) and (ii) the Borrower or any Restricted Subsidiary receives the assets (if any) of the relevant liquidated, dissolved or divided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liquidation, dissolution or Delaware LLC Division of any Loan Party that results in a distribution of assets to any Restricted Subsidiary that is not a Loan Party, such distribution shall be treated as an Investment and shall comply with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in reliance on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thereof); (ii) any merger, amalgamation, dissolution, liquidation, consolidation or Delaware LLC Division, the purpose of which is to effect (A) any Disposition otherwise permitted under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or (B) any Investment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6.06(j)</w:t>
      </w:r>
      <w:r>
        <w:rPr>
          <w:rFonts w:ascii="Times New Roman" w:cs="Times New Roman" w:eastAsia="Times New Roman" w:hAnsi="Times New Roman"/>
          <w:sz w:val="20"/>
          <w:szCs w:val="20"/>
          <w:color w:val="auto"/>
        </w:rPr>
        <w:t>); and (iii) the conversion of the Borrower or any Restricted Subsidiary into another form of entity, so long as such conversion does not, in the good faith determination of the Borrower, adversely affect the value of the Loan Guaranty or Collateral, if any;</w:t>
      </w:r>
    </w:p>
    <w:p>
      <w:pPr>
        <w:spacing w:after="0" w:line="192" w:lineRule="exact"/>
        <w:rPr>
          <w:rFonts w:ascii="Times New Roman" w:cs="Times New Roman" w:eastAsia="Times New Roman" w:hAnsi="Times New Roman"/>
          <w:sz w:val="20"/>
          <w:szCs w:val="20"/>
          <w:color w:val="auto"/>
        </w:rPr>
      </w:pPr>
    </w:p>
    <w:p>
      <w:pPr>
        <w:ind w:right="60" w:firstLine="757"/>
        <w:spacing w:after="0" w:line="269" w:lineRule="auto"/>
        <w:tabs>
          <w:tab w:leader="none" w:pos="114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inventory or equipment or immaterial assets in the ordinary course of business (including on an intercompany basis) and (ii) the leasing or subleasing of real property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surplus, obsolete, used or worn out property or other property that, in the good faith judgment of the Borrower, is (i) no longer useful in its business (or in the business of any Restricted Subsidiary of the Borrower) or (ii) otherwise economically impracticable to maintain, including any property abandoned in connection with the termination of any lease;</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and/or Cash Equivalents and/or other assets that were Cash Equivalents when the relevant original Investment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ind w:firstLine="757"/>
        <w:spacing w:after="0" w:line="254" w:lineRule="auto"/>
        <w:tabs>
          <w:tab w:leader="none" w:pos="1145"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mergers, amalgamations, consolidations or conveyances that constitute (or would result in) (i) Investments permitted pursuant to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6.06(j)</w:t>
      </w:r>
      <w:r>
        <w:rPr>
          <w:rFonts w:ascii="Times New Roman" w:cs="Times New Roman" w:eastAsia="Times New Roman" w:hAnsi="Times New Roman"/>
          <w:sz w:val="20"/>
          <w:szCs w:val="20"/>
          <w:color w:val="auto"/>
        </w:rPr>
        <w:t xml:space="preserve">), (ii) Permitted Liens and (iii) Restricted Payments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6.04(a)(ix)</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for fair market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Disposition (other than any Permitted Asset Swap) with a purchase price in excess of the greater of $10,000,000 and 10% of Consolidated Adjusted EBITDA as of the last day of the most recently ended Test Period, at least 75% of the consideration for such Disposition (other than the portion of any such Disposition consisting of a Permitted Asset Swap) shall consist of Cash or Cash Equivalents;</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75% Cash consideration requirement described immediately above:</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Restricted Subsidiary have been validly released by all relevant creditors in writing,</w:t>
      </w:r>
    </w:p>
    <w:p>
      <w:pPr>
        <w:spacing w:after="0" w:line="184"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trade-in value applied to the purchase price of any replacement assets acquired in connection with such Disposition,</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received by the Borrower or any Restricted Subsidiary from such transferee that will be converted by such Person into Cash or Cash Equivalents (to the extent of the Cash or Cash Equivalents received) within 180 days following the closing of the applicable Disposition,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that is at that time outstanding, not in excess of the greater of $</w:t>
      </w:r>
      <w:r>
        <w:rPr>
          <w:rFonts w:ascii="Times New Roman" w:cs="Times New Roman" w:eastAsia="Times New Roman" w:hAnsi="Times New Roman"/>
          <w:sz w:val="20"/>
          <w:szCs w:val="20"/>
          <w:color w:val="FF0000"/>
          <w:strike w:val="1"/>
        </w:rPr>
        <w:t>25,000,000</w:t>
      </w:r>
      <w:r>
        <w:rPr>
          <w:rFonts w:ascii="Times New Roman" w:cs="Times New Roman" w:eastAsia="Times New Roman" w:hAnsi="Times New Roman"/>
          <w:sz w:val="20"/>
          <w:szCs w:val="20"/>
          <w:u w:val="single" w:color="auto"/>
          <w:color w:val="0000FF"/>
        </w:rPr>
        <w:t>27,000,000</w:t>
      </w:r>
      <w:r>
        <w:rPr>
          <w:rFonts w:ascii="Times New Roman" w:cs="Times New Roman" w:eastAsia="Times New Roman" w:hAnsi="Times New Roman"/>
          <w:sz w:val="20"/>
          <w:szCs w:val="20"/>
          <w:color w:val="auto"/>
        </w:rPr>
        <w:t xml:space="preserve"> and 30% of Consolidated Adjusted EBITDA as of the last day of the most recently ended Test Period,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 each case, shall be deemed to be Cash.</w:t>
      </w:r>
    </w:p>
    <w:p>
      <w:pPr>
        <w:spacing w:after="0" w:line="216" w:lineRule="exact"/>
        <w:rPr>
          <w:sz w:val="20"/>
          <w:szCs w:val="20"/>
          <w:color w:val="auto"/>
        </w:rPr>
      </w:pPr>
    </w:p>
    <w:p>
      <w:pPr>
        <w:ind w:firstLine="757"/>
        <w:spacing w:after="0" w:line="295" w:lineRule="auto"/>
        <w:tabs>
          <w:tab w:leader="none" w:pos="1145"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37" w:lineRule="exact"/>
        <w:rPr>
          <w:rFonts w:ascii="Times New Roman" w:cs="Times New Roman" w:eastAsia="Times New Roman" w:hAnsi="Times New Roman"/>
          <w:sz w:val="19"/>
          <w:szCs w:val="19"/>
          <w:color w:val="auto"/>
        </w:rPr>
      </w:pPr>
    </w:p>
    <w:p>
      <w:pPr>
        <w:ind w:right="20" w:firstLine="757"/>
        <w:spacing w:after="0" w:line="269" w:lineRule="auto"/>
        <w:tabs>
          <w:tab w:leader="none" w:pos="114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both"/>
        <w:ind w:left="-20" w:firstLine="757"/>
        <w:spacing w:after="0" w:line="254"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(taken as a whole) or (ii) which relate to closed facilities or the discontinuation of any product line;</w:t>
      </w:r>
    </w:p>
    <w:p>
      <w:pPr>
        <w:spacing w:after="0" w:line="174" w:lineRule="exact"/>
        <w:rPr>
          <w:rFonts w:ascii="Times New Roman" w:cs="Times New Roman" w:eastAsia="Times New Roman" w:hAnsi="Times New Roman"/>
          <w:sz w:val="20"/>
          <w:szCs w:val="20"/>
          <w:color w:val="auto"/>
        </w:rPr>
      </w:pPr>
    </w:p>
    <w:p>
      <w:pPr>
        <w:jc w:val="both"/>
        <w:ind w:left="-20" w:firstLine="757"/>
        <w:spacing w:after="0" w:line="254"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74" w:lineRule="exact"/>
        <w:rPr>
          <w:rFonts w:ascii="Times New Roman" w:cs="Times New Roman" w:eastAsia="Times New Roman" w:hAnsi="Times New Roman"/>
          <w:sz w:val="20"/>
          <w:szCs w:val="20"/>
          <w:color w:val="auto"/>
        </w:rPr>
      </w:pPr>
    </w:p>
    <w:p>
      <w:pPr>
        <w:ind w:left="-20" w:right="40" w:firstLine="757"/>
        <w:spacing w:after="0" w:line="269"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foreclosure, casualty, eminent domain or condemnation proceedings (including in lieu thereof or any similar proceeding);</w:t>
      </w:r>
    </w:p>
    <w:p>
      <w:pPr>
        <w:spacing w:after="0" w:line="159" w:lineRule="exact"/>
        <w:rPr>
          <w:rFonts w:ascii="Times New Roman" w:cs="Times New Roman" w:eastAsia="Times New Roman" w:hAnsi="Times New Roman"/>
          <w:sz w:val="20"/>
          <w:szCs w:val="20"/>
          <w:color w:val="auto"/>
        </w:rPr>
      </w:pPr>
    </w:p>
    <w:p>
      <w:pPr>
        <w:ind w:left="-20" w:right="40" w:firstLine="757"/>
        <w:spacing w:after="0" w:line="269"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consignments of equipment, inventory or other assets (including leasehold interests in real property) with respect to facilities that are temporarily not in use, held for sale or closed;</w:t>
      </w:r>
    </w:p>
    <w:p>
      <w:pPr>
        <w:spacing w:after="0" w:line="159"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20" w:firstLine="757"/>
        <w:spacing w:after="0" w:line="249"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 determined by the Borrower in good faith) assets acquired in connection with any acquisition or other Investment permitted hereunder and sales of Real Estate Assets acquired in any acquisition or other Investment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exists on the date on which the definitive agreement governing the relevant Disposition is executed;</w:t>
      </w:r>
    </w:p>
    <w:p>
      <w:pPr>
        <w:spacing w:after="0" w:line="179" w:lineRule="exact"/>
        <w:rPr>
          <w:rFonts w:ascii="Times New Roman" w:cs="Times New Roman" w:eastAsia="Times New Roman" w:hAnsi="Times New Roman"/>
          <w:sz w:val="20"/>
          <w:szCs w:val="20"/>
          <w:color w:val="auto"/>
        </w:rPr>
      </w:pPr>
    </w:p>
    <w:p>
      <w:pPr>
        <w:jc w:val="both"/>
        <w:ind w:left="-20" w:firstLine="757"/>
        <w:spacing w:after="0" w:line="254"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exchanges or swaps, including transactions covered by Section 1031 of the Code (or any comparable provision of any foreign jurisdiction), of assets so long as any such exchange or swap is made for fair value (as determined by the Borrower in good faith) for like assets (including Related Business Assets);</w:t>
      </w:r>
    </w:p>
    <w:p>
      <w:pPr>
        <w:spacing w:after="0" w:line="174"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that do not constitute Collateral for fair market value;</w:t>
      </w:r>
    </w:p>
    <w:p>
      <w:pPr>
        <w:spacing w:after="0" w:line="215" w:lineRule="exact"/>
        <w:rPr>
          <w:rFonts w:ascii="Times New Roman" w:cs="Times New Roman" w:eastAsia="Times New Roman" w:hAnsi="Times New Roman"/>
          <w:sz w:val="20"/>
          <w:szCs w:val="20"/>
          <w:color w:val="auto"/>
        </w:rPr>
      </w:pPr>
    </w:p>
    <w:p>
      <w:pPr>
        <w:jc w:val="both"/>
        <w:ind w:left="-20" w:firstLine="757"/>
        <w:spacing w:after="0" w:line="246"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Disposition, licensing, sublicensing and/or cross-licensing arrangement involving any technology or IP Right of the Borrower or any Restricted Subsidiary in the ordinary course of business, and (ii) any Disposition, abandonment, cancellation or lapse of any IP Right, or any issuance or registration, or application for issuance or registration, of any IP Right, which, in the good faith determination of the Borrower is not material to the conduct of the business of the Borrower and its Restricted Subsidiaries, taken as a whole, or is no longer economical to maintain in light of its use;</w:t>
      </w:r>
    </w:p>
    <w:p>
      <w:pPr>
        <w:spacing w:after="0" w:line="184"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termination or unwind of Derivative Transactions or Banking Services Obligations;</w:t>
      </w:r>
    </w:p>
    <w:p>
      <w:pPr>
        <w:spacing w:after="0" w:line="215"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of, or sales of Indebtedness or other Securities of, Unrestricted Subsidiaries;</w:t>
      </w:r>
    </w:p>
    <w:p>
      <w:pPr>
        <w:spacing w:after="0" w:line="215" w:lineRule="exact"/>
        <w:rPr>
          <w:rFonts w:ascii="Times New Roman" w:cs="Times New Roman" w:eastAsia="Times New Roman" w:hAnsi="Times New Roman"/>
          <w:sz w:val="20"/>
          <w:szCs w:val="20"/>
          <w:color w:val="auto"/>
        </w:rPr>
      </w:pPr>
    </w:p>
    <w:p>
      <w:pPr>
        <w:jc w:val="both"/>
        <w:ind w:left="-20" w:firstLine="757"/>
        <w:spacing w:after="0" w:line="254"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74" w:lineRule="exact"/>
        <w:rPr>
          <w:rFonts w:ascii="Times New Roman" w:cs="Times New Roman" w:eastAsia="Times New Roman" w:hAnsi="Times New Roman"/>
          <w:sz w:val="20"/>
          <w:szCs w:val="20"/>
          <w:color w:val="auto"/>
        </w:rPr>
      </w:pPr>
    </w:p>
    <w:p>
      <w:pPr>
        <w:ind w:left="-20" w:firstLine="757"/>
        <w:spacing w:after="0" w:line="269" w:lineRule="auto"/>
        <w:tabs>
          <w:tab w:leader="none" w:pos="112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made to comply with any order of any Governmental Authority or any applicable Requirement of Law (including as a condition to, or in connection with,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306705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92" w:name="page193"/>
    <w:bookmarkEnd w:id="192"/>
    <w:p>
      <w:pPr>
        <w:ind w:firstLine="757"/>
        <w:spacing w:after="0" w:line="269" w:lineRule="auto"/>
        <w:tabs>
          <w:tab w:leader="none" w:pos="1145"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Disposition or conveyance the purpose of which is to reincorporate or reorganize (i) any Restricted Subsidiary in another jurisdiction in the US and/or (ii) any Foreign Subsidiary in the US or any other jurisdiction;</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motor vehicles and information technology equipment purchased at the end of an operating lease and resold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w:t>
      </w:r>
    </w:p>
    <w:p>
      <w:pPr>
        <w:spacing w:after="0" w:line="194" w:lineRule="exact"/>
        <w:rPr>
          <w:sz w:val="20"/>
          <w:szCs w:val="20"/>
          <w:color w:val="auto"/>
        </w:rPr>
      </w:pPr>
    </w:p>
    <w:p>
      <w:pPr>
        <w:jc w:val="both"/>
        <w:ind w:firstLine="757"/>
        <w:spacing w:after="0" w:line="254" w:lineRule="auto"/>
        <w:tabs>
          <w:tab w:leader="none" w:pos="114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involving assets having a fair market value of not more than the greater of $10,000,000 and 10% of Consolidated Adjusted EBITDA as of the last day of the most recently ended Test Period in any Fiscal Year, which, if not used in such Fiscal Year, shall be carried forward to the next Fiscal Year;</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 connection with reorganizations and/or restructurings and/or activities related to tax planning;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assets in connection with the closing or sale of an office in the ordinary course of business of the Borrower and the Restricted Subsidiaries, which consist of leasehold interests in the premises of such office, the equipment and fixtures located at such premises and the books and records relating exclusively and directly to the operations of such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shall be at a commercially reasonable price and on commercially reasonable terms in a bona fide arm’s-length transaction;</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 and 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the fair market value of all property so Disposed of after the Closing Date shall not exceed the greater of $</w:t>
      </w:r>
      <w:r>
        <w:rPr>
          <w:rFonts w:ascii="Times New Roman" w:cs="Times New Roman" w:eastAsia="Times New Roman" w:hAnsi="Times New Roman"/>
          <w:sz w:val="20"/>
          <w:szCs w:val="20"/>
          <w:color w:val="FF0000"/>
          <w:strike w:val="1"/>
        </w:rPr>
        <w:t>30,000,000</w:t>
      </w:r>
      <w:r>
        <w:rPr>
          <w:rFonts w:ascii="Times New Roman" w:cs="Times New Roman" w:eastAsia="Times New Roman" w:hAnsi="Times New Roman"/>
          <w:sz w:val="20"/>
          <w:szCs w:val="20"/>
          <w:u w:val="single" w:color="auto"/>
          <w:color w:val="0000FF"/>
        </w:rPr>
        <w:t>31,500,000</w:t>
      </w:r>
      <w:r>
        <w:rPr>
          <w:rFonts w:ascii="Times New Roman" w:cs="Times New Roman" w:eastAsia="Times New Roman" w:hAnsi="Times New Roman"/>
          <w:sz w:val="20"/>
          <w:szCs w:val="20"/>
          <w:color w:val="auto"/>
        </w:rPr>
        <w:t xml:space="preserve"> and 35% of Consolidated Adjusted EBITDA as of the last day of the most recently ended Test Period;</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any Receivables Facility Asset (and/or any participation therein) in connection with any Receivables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80" w:firstLine="757"/>
        <w:spacing w:after="0" w:line="269" w:lineRule="auto"/>
        <w:tabs>
          <w:tab w:leader="none" w:pos="114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or early termination of any Permitted Bond Hedge Transaction and/or any related Permitted Warrant Transaction;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any asset acquired with the proceeds of an Available Excluded Contribution Amount.</w:t>
      </w:r>
    </w:p>
    <w:p>
      <w:pPr>
        <w:spacing w:after="0" w:line="2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 xml:space="preserve">It is understood and agreed that (a) to the extent that any Collateral is Disposed of as permitted by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such Collateral shall be Disposed of free and clear of the Liens created by the Loan Documents, which Liens shall be automatically released upon the consummation of such Disposition, and the Administrative Agent shall be authorized to take, and shall take, any action reasonably requested by the Borrower in order to effect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 Disposition made to any Loan Party, the relevant transferred assets shall become part of the Collateral of the transferee Loan Party (except to the extent such assets constitute Excluded Assets), (b) any determination of the fair market value of any asset other than Cash for purposes of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shall be made by the Borrower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ind w:right="400"/>
        <w:spacing w:after="0" w:line="254" w:lineRule="auto"/>
        <w:rPr>
          <w:sz w:val="20"/>
          <w:szCs w:val="20"/>
          <w:color w:val="auto"/>
        </w:rPr>
      </w:pPr>
      <w:r>
        <w:rPr>
          <w:rFonts w:ascii="Times New Roman" w:cs="Times New Roman" w:eastAsia="Times New Roman" w:hAnsi="Times New Roman"/>
          <w:sz w:val="20"/>
          <w:szCs w:val="20"/>
          <w:color w:val="auto"/>
        </w:rPr>
        <w:t xml:space="preserve">good faith at its election either (1) at the time of the execution of the definitive agreement governing such Disposition or (2) the date on which such Disposition is consummated and (c) notwithstanding the foregoing provisions of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shall not permit an IP Separation Transaction.</w:t>
      </w:r>
    </w:p>
    <w:p>
      <w:pPr>
        <w:spacing w:after="0" w:line="6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Amendments of or Waivers with Respect to Restricted Debt</w:t>
      </w:r>
      <w:r>
        <w:rPr>
          <w:rFonts w:ascii="Times New Roman" w:cs="Times New Roman" w:eastAsia="Times New Roman" w:hAnsi="Times New Roman"/>
          <w:sz w:val="20"/>
          <w:szCs w:val="20"/>
          <w:color w:val="auto"/>
        </w:rPr>
        <w:t xml:space="preserve">. The Borrower shall not, nor shall it permit any of its Restricted Subsidiaries to, amend or otherwise modify the subordination terms set forth in the documentation governing any Restricted Debt if the effect of such amendment or modification, together with all other amendments or modifications made, is, in the good faith determination of the Borrower, materially adverse to the interests of the Lenders (in their capacities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otherwise permitted to be incurred under this Agreement in respect thereof.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6.09.  Holdings. Holdings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5549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5" w:lineRule="auto"/>
        <w:tabs>
          <w:tab w:leader="none" w:pos="1145"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or suffer to exist any Lien on any asset now owned or hereafter acquired by it other than (i) the Liens created under the Collateral Documents to which it is a party, (ii) any other Lien created in connection with the Transactions, (iii) Liens on the Collateral that are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with the Secured Obligations, so long as such Liens secure Guarantees of Indebtedness or other obligations of the Borrower and/or any Restricted Subsidiary that are otherwise permitted hereunder and the underlying Indebtedness subject to such Guarantees is of the type permitted to be secured on the same basis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(iv) Liens of the type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(other than in respect of Indebtedness for borrowed money); or</w:t>
      </w:r>
    </w:p>
    <w:p>
      <w:pPr>
        <w:spacing w:after="0" w:line="18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 or amalgamate with, or merge with or into, or convey, sell or otherwise Dispose of all or substantially all of its assets to, any Person or dissolve or cancel its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Holdings may consolidate or amalgamate with, or merge with or into, any other Person so long as, to the extent after giving effect to such consolidation, amalgamation or merger (x) Holdings is the continuing or surviving Person or (y) if the Person formed by or surviving any such consolidation, amalgamation or merger is not Holdings and such Person is the direct Parent Company of the Borrower (any such surviving or successor Person, together with any Person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and any immediate Parent Company of the Borrower referred to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Successor Holdings</w:t>
      </w:r>
      <w:r>
        <w:rPr>
          <w:rFonts w:ascii="Times New Roman" w:cs="Times New Roman" w:eastAsia="Times New Roman" w:hAnsi="Times New Roman"/>
          <w:sz w:val="20"/>
          <w:szCs w:val="20"/>
          <w:color w:val="auto"/>
        </w:rPr>
        <w:t xml:space="preserve">”), (i) Successor Holdings shall be an entity organized or existing under the law of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 (B) Holdings may otherwise convey, sell or otherwise transfer all or substantially all of its assets to any other Person (other than the Borrower and any of its Subsidiaries) so long as (x) no Change of Control results therefrom, (y) Successor Holdings shall be an entity organized or existing under the law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and (C) Holdings may dissolve or otherwise cancel its existence, so long as the immediate Parent Company of the Borrower (if any) after giving effect to such dissolution or cancellation, becomes Successor Holdings and complies with the requirements of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applicable to Successor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(1) if the conditions set forth in the preceding proviso are satisfied, Successor Holdings will succeed to, and be substituted for, Holdings under this Agreement, (2) it is understood and agreed that Holdings may convert into another form of entity organized or existing under the law of the US, any state thereof or the District of Columbia so long as such conversion does not adversely affect the value of its Loan Guaranty or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ind w:left="760"/>
        <w:spacing w:after="0"/>
        <w:rPr>
          <w:sz w:val="20"/>
          <w:szCs w:val="20"/>
          <w:color w:val="auto"/>
        </w:rPr>
      </w:pPr>
      <w:r>
        <w:rPr>
          <w:rFonts w:ascii="Times New Roman" w:cs="Times New Roman" w:eastAsia="Times New Roman" w:hAnsi="Times New Roman"/>
          <w:sz w:val="20"/>
          <w:szCs w:val="20"/>
          <w:color w:val="auto"/>
        </w:rPr>
        <w:t>Section 6.10.  Financial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0744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(i) On the last day of any Test Period (commencing with the Test Period ending </w:t>
      </w:r>
      <w:r>
        <w:rPr>
          <w:rFonts w:ascii="Times New Roman" w:cs="Times New Roman" w:eastAsia="Times New Roman" w:hAnsi="Times New Roman"/>
          <w:sz w:val="20"/>
          <w:szCs w:val="20"/>
          <w:color w:val="FF0000"/>
          <w:strike w:val="1"/>
        </w:rPr>
        <w:t>December</w:t>
      </w:r>
      <w:r>
        <w:rPr>
          <w:rFonts w:ascii="Times New Roman" w:cs="Times New Roman" w:eastAsia="Times New Roman" w:hAnsi="Times New Roman"/>
          <w:sz w:val="20"/>
          <w:szCs w:val="20"/>
          <w:u w:val="single" w:color="auto"/>
          <w:color w:val="0000FF"/>
        </w:rPr>
        <w:t>March</w:t>
      </w:r>
      <w:r>
        <w:rPr>
          <w:rFonts w:ascii="Times New Roman" w:cs="Times New Roman" w:eastAsia="Times New Roman" w:hAnsi="Times New Roman"/>
          <w:sz w:val="20"/>
          <w:szCs w:val="20"/>
          <w:color w:val="auto"/>
        </w:rPr>
        <w:t xml:space="preserve"> 31, </w:t>
      </w:r>
      <w:r>
        <w:rPr>
          <w:rFonts w:ascii="Times New Roman" w:cs="Times New Roman" w:eastAsia="Times New Roman" w:hAnsi="Times New Roman"/>
          <w:sz w:val="20"/>
          <w:szCs w:val="20"/>
          <w:color w:val="FF0000"/>
          <w:strike w:val="1"/>
        </w:rPr>
        <w:t>2021</w:t>
      </w:r>
      <w:r>
        <w:rPr>
          <w:rFonts w:ascii="Times New Roman" w:cs="Times New Roman" w:eastAsia="Times New Roman" w:hAnsi="Times New Roman"/>
          <w:sz w:val="20"/>
          <w:szCs w:val="20"/>
          <w:u w:val="single" w:color="auto"/>
          <w:color w:val="0000FF"/>
        </w:rPr>
        <w:t>2025</w:t>
      </w:r>
      <w:r>
        <w:rPr>
          <w:rFonts w:ascii="Times New Roman" w:cs="Times New Roman" w:eastAsia="Times New Roman" w:hAnsi="Times New Roman"/>
          <w:sz w:val="20"/>
          <w:szCs w:val="20"/>
          <w:color w:val="auto"/>
        </w:rPr>
        <w:t xml:space="preserve">), the Borrower shall not permit the Total Net Leverage Ratio to be greater than </w:t>
      </w:r>
      <w:r>
        <w:rPr>
          <w:rFonts w:ascii="Times New Roman" w:cs="Times New Roman" w:eastAsia="Times New Roman" w:hAnsi="Times New Roman"/>
          <w:sz w:val="20"/>
          <w:szCs w:val="20"/>
          <w:color w:val="FF0000"/>
          <w:strike w:val="1"/>
        </w:rPr>
        <w:t>(A) from the Test Period ending on December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31, 2021 to, and including, the Test Period ending on September 30, 2022, 5.25:1.00, and (C) from the Test Period ending on December 31, 2022 and each Test Period thereafter, 4.50</w:t>
      </w:r>
      <w:r>
        <w:rPr>
          <w:rFonts w:ascii="Times New Roman" w:cs="Times New Roman" w:eastAsia="Times New Roman" w:hAnsi="Times New Roman"/>
          <w:sz w:val="20"/>
          <w:szCs w:val="20"/>
          <w:u w:val="single" w:color="auto"/>
          <w:color w:val="0000FF"/>
          <w:strike w:val="1"/>
        </w:rPr>
        <w:t>3.50</w:t>
      </w:r>
      <w:r>
        <w:rPr>
          <w:rFonts w:ascii="Times New Roman" w:cs="Times New Roman" w:eastAsia="Times New Roman" w:hAnsi="Times New Roman"/>
          <w:sz w:val="20"/>
          <w:szCs w:val="20"/>
          <w:color w:val="000000"/>
          <w:strike w:val="1"/>
        </w:rPr>
        <w:t>:1.00;</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000000"/>
          <w:strike w:val="1"/>
        </w:rPr>
        <w:t>, that upon the consummation of a Material Acquisition, for the Fiscal Quarter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in which such Material Acquisition is consummated and the three full Fiscal Quarters ending immediately thereafter (such period, the “</w:t>
      </w:r>
      <w:r>
        <w:rPr>
          <w:rFonts w:ascii="Times New Roman" w:cs="Times New Roman" w:eastAsia="Times New Roman" w:hAnsi="Times New Roman"/>
          <w:sz w:val="20"/>
          <w:szCs w:val="20"/>
          <w:u w:val="single" w:color="auto"/>
          <w:color w:val="000000"/>
          <w:strike w:val="1"/>
        </w:rPr>
        <w:t>Covenant Acquisition Increase Period</w:t>
      </w:r>
      <w:r>
        <w:rPr>
          <w:rFonts w:ascii="Times New Roman" w:cs="Times New Roman" w:eastAsia="Times New Roman" w:hAnsi="Times New Roman"/>
          <w:sz w:val="20"/>
          <w:szCs w:val="20"/>
          <w:color w:val="000000"/>
          <w:strike w:val="1"/>
        </w:rPr>
        <w:t>”), the ratios set forth above applicable to each such Fiscal Quarter shall be increased by 0.50:1.00 (such increase, the “</w:t>
      </w:r>
      <w:r>
        <w:rPr>
          <w:rFonts w:ascii="Times New Roman" w:cs="Times New Roman" w:eastAsia="Times New Roman" w:hAnsi="Times New Roman"/>
          <w:sz w:val="20"/>
          <w:szCs w:val="20"/>
          <w:u w:val="single" w:color="auto"/>
          <w:color w:val="000000"/>
          <w:strike w:val="1"/>
        </w:rPr>
        <w:t>Covenant Acquisition Increase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00"/>
          <w:strike w:val="1"/>
        </w:rPr>
        <w:t>further</w:t>
      </w:r>
      <w:r>
        <w:rPr>
          <w:rFonts w:ascii="Times New Roman" w:cs="Times New Roman" w:eastAsia="Times New Roman" w:hAnsi="Times New Roman"/>
          <w:sz w:val="20"/>
          <w:szCs w:val="20"/>
          <w:color w:val="000000"/>
          <w:strike w:val="1"/>
        </w:rPr>
        <w:t>, that notwithstanding the foregoing, there shall be at least one Fiscal Quarter in which no Covenant Acquisition Increase is in effect between successive Covenant Acquisition Increase Periods (which, for the avoidance of doubt, may result in the delay of the commencement of a Covenant Acquisition Increase Period with respect to any Material Acquisition that occurs during another Covenant Acquisition Increase Period or such one Fiscal Quarter period);</w:t>
      </w:r>
    </w:p>
    <w:p>
      <w:pPr>
        <w:spacing w:after="0" w:line="192"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(including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upon any failure by the Borrower to comply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above for the Test Period ending on the last day of any Fiscal Quarter, the Borrower shall have the right (the “</w:t>
      </w: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w:t>
      </w:r>
      <w:r>
        <w:rPr>
          <w:rFonts w:ascii="Times New Roman" w:cs="Times New Roman" w:eastAsia="Times New Roman" w:hAnsi="Times New Roman"/>
          <w:sz w:val="20"/>
          <w:szCs w:val="20"/>
          <w:color w:val="auto"/>
        </w:rPr>
        <w:t xml:space="preserve">”) at any time during such Fiscal Quarter or thereafter until the date that is 15 Business Days after the date on which financial statements for such Fiscal Quarter are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to issue Qualified Capital Stock or other equity (such other equity to be on terms reasonably acceptable to the Administrative Agent) for Cash or otherwise receive Cash contributions in respect of its Qualified Capital Stock or other equity (such other equity to be on terms reasonably acceptable to the Administrative Agent)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and thereupon the Borrower’s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shall be recalculated giving effect to a pro forma increase in the amount of Consolidated Adjusted EBITDA in an amount equal to the Cure Amount (notwithstanding the absence of a related addback in the definition of “Consolidated Adjusted EBITDA”) solely for the purpose of determining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would be satisfied, then the requirements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shall be deemed to have been satisfied as of the end of the relevant Fiscal Quarter (and Test Period) with the same effect as though there had been no failure to comply therewith at such date. Notwithstanding anything herein to the contrary:</w:t>
      </w:r>
    </w:p>
    <w:p>
      <w:pPr>
        <w:spacing w:after="0" w:line="19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each four consecutive Fiscal Quarter period there shall be at least two Fiscal Quarters in which the Cure Right is not exercised (it being understood that, subject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Cure Right may be exercised in consecutive Fiscal Quarters),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the Cure Right shall not be exercised more than five times,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Cure Amount shall be no greater than the amount required for the purpose of complying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shall be no pro forma or other reduction of the amount of Indebtedness by the amount of any Cure Amount for purposes of determining compliance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for the Fiscal Quarter in respect of which the Cure Right was exercised (other than, with respect to any future period, to the extent of any portion of such Cure Amount that is actually applied to prepay Indebtedness (including by way of buyback or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both"/>
        <w:ind w:left="760" w:firstLine="745"/>
        <w:spacing w:after="0" w:line="249" w:lineRule="auto"/>
        <w:tabs>
          <w:tab w:leader="none" w:pos="190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 forma adjustment to Consolidated Adjusted EBITDA resulting from any Cure Amount shall be disregarded for purposes of determining (A) whether any financial ratio-based condition to the availability of any carve-out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of this Agreement has been satisfied or (B) the Applicable Rate or the Commitment Fee Rate, in each case during each Fiscal Quarter in which the pro forma adjustment applies,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Revolving Lender or Issuing Bank shall be required to make any Revolving Loan or issue, amend or increase the face amount of any Letter of Credit from and after the date on which a Compliance Certificate demonstrating a failure to comply with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for the Test Period ending on the last day of any Fiscal Quarter is (or would be required to be)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until the date on which the Borrower receives the relevant Cure Amount.</w:t>
      </w:r>
    </w:p>
    <w:p>
      <w:pPr>
        <w:spacing w:after="0" w:line="1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7.01.  Events of Default. If any of the following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9804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4"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17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58"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by the Borrower or any Restricted Subsidiary to pay when due any principal of or interest on or any other amount payable in respect of one or more items of Indebtedness for borrowed money of the Borrower or such Restricted Subsidiary (other than (x) Indebtedness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(y) intercompany Indebtedness) with an individual outstanding principal amount exceeding the Threshold Amount, in each case beyond the grace period, if any, provided therefor; or (ii) breach or default by the Borrower or any Restricted Subsidiary with respect to any other term of (A) one or more items of third-party Indebtedness for borrowed money of the Borrower or such Restricted Subsidiary (other than (x) Indebtedness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(y) intercompany Indebtedness) with an individual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the Borrower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not apply to secured Indebtedness that becomes due as a result of the voluntary sale or transfer of the property securing such Indebtedness if such sale or transfer is permitted hereunder, (II) any failure described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is unremedied and is not waived by the holders of such Indebtedness prior to any termination of the Commitments or acceleration of the Loans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(III) [reserved] and (IV) it is understood and agreed that the occurrence of any event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spacing w:after="0" w:line="269" w:lineRule="auto"/>
        <w:rPr>
          <w:sz w:val="20"/>
          <w:szCs w:val="20"/>
          <w:color w:val="auto"/>
        </w:rPr>
      </w:pPr>
      <w:r>
        <w:rPr>
          <w:rFonts w:ascii="Times New Roman" w:cs="Times New Roman" w:eastAsia="Times New Roman" w:hAnsi="Times New Roman"/>
          <w:sz w:val="20"/>
          <w:szCs w:val="20"/>
          <w:color w:val="auto"/>
        </w:rPr>
        <w:t>stated maturity of any underlying obligation, as the case may be, will not result in a Default or Event of Default under this Agreement prior to the expiration of such grace period; or</w:t>
      </w:r>
    </w:p>
    <w:p>
      <w:pPr>
        <w:spacing w:after="0" w:line="159" w:lineRule="exact"/>
        <w:rPr>
          <w:sz w:val="20"/>
          <w:szCs w:val="20"/>
          <w:color w:val="auto"/>
        </w:rPr>
      </w:pPr>
    </w:p>
    <w:p>
      <w:pPr>
        <w:jc w:val="both"/>
        <w:ind w:firstLine="757"/>
        <w:spacing w:after="0" w:line="245" w:lineRule="auto"/>
        <w:tabs>
          <w:tab w:leader="none" w:pos="115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Failure of any Loan Party, as required by the relevant provision, to perform or comply with </w:t>
      </w:r>
      <w:r>
        <w:rPr>
          <w:rFonts w:ascii="Times New Roman" w:cs="Times New Roman" w:eastAsia="Times New Roman" w:hAnsi="Times New Roman"/>
          <w:sz w:val="20"/>
          <w:szCs w:val="20"/>
          <w:u w:val="single" w:color="auto"/>
          <w:color w:val="auto"/>
        </w:rPr>
        <w:t>Section 5.01(e)(i)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Event of Default arising from a failure to perform or comply with </w:t>
      </w:r>
      <w:r>
        <w:rPr>
          <w:rFonts w:ascii="Times New Roman" w:cs="Times New Roman" w:eastAsia="Times New Roman" w:hAnsi="Times New Roman"/>
          <w:sz w:val="20"/>
          <w:szCs w:val="20"/>
          <w:u w:val="single" w:color="auto"/>
          <w:color w:val="auto"/>
        </w:rPr>
        <w:t>Section 5.01(e)(i)</w:t>
      </w:r>
      <w:r>
        <w:rPr>
          <w:rFonts w:ascii="Times New Roman" w:cs="Times New Roman" w:eastAsia="Times New Roman" w:hAnsi="Times New Roman"/>
          <w:sz w:val="20"/>
          <w:szCs w:val="20"/>
          <w:color w:val="auto"/>
        </w:rPr>
        <w:t xml:space="preserve"> shall automatically be deemed to have been cured (and no longer continuing) immediately upon the earlier to occur of (x) the delivery of notice of the relevant Default or Event of Default and (y) the cessation of the existence of the underlying Default or Event of Default), in either case unless a Responsible Officer of the Borrower had knowledge of the underlying Default or Event of Default),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(as it applies to the preservation of the existence of the Borrower), 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is subject to cure as provided in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may arise under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until the 15th Business Day after the date on which financial statements are required to be delivered for the relevant Fiscal Quarter under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(unless the Cure Right has previously been exercised in excess of the aggregate cap on Cure Rights contemplated by </w:t>
      </w:r>
      <w:r>
        <w:rPr>
          <w:rFonts w:ascii="Times New Roman" w:cs="Times New Roman" w:eastAsia="Times New Roman" w:hAnsi="Times New Roman"/>
          <w:sz w:val="20"/>
          <w:szCs w:val="20"/>
          <w:u w:val="single" w:color="auto"/>
          <w:color w:val="auto"/>
        </w:rPr>
        <w:t>Section 6.10(b)</w:t>
      </w:r>
      <w:r>
        <w:rPr>
          <w:rFonts w:ascii="Times New Roman" w:cs="Times New Roman" w:eastAsia="Times New Roman" w:hAnsi="Times New Roman"/>
          <w:sz w:val="20"/>
          <w:szCs w:val="20"/>
          <w:color w:val="auto"/>
        </w:rPr>
        <w:t xml:space="preserve"> over the life of this Agreement and/or the Cure Right has previously been exercised twice in the applicable four consecutive Fiscal Quarter period), and then only to the extent the Cure Amount has not been received on or prior to such date; or</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 (i) any breach of any representation, warranty or certification resulting from the failure of the Administrative Agent to file any Uniform Commercial Code financing statement, amendment and/or continuation statement or the failure of the Administrative Agent to maintain possession of any Collateral actually delivered to it shall not result in an Event of Default under this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 xml:space="preserve"> or any other provision of any Loan Document and (ii) if the relevant representation and warranty is capable of being cured (including by the delivery of a restated certification or calculation or restated financial statements), no Default or Event of Default may arise under this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 xml:space="preserve"> with respect to such representation and warranty unless such representation and warranty remains incorrect in any material respect for a period of 30 days following the delivery of a written notice by the Administrative Agent of the relevant inaccuracy to the Borrower; or</w:t>
      </w:r>
    </w:p>
    <w:p>
      <w:pPr>
        <w:spacing w:after="0" w:line="19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71"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Default by any Loan Party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which default has not been remedied or waived within 30 days after receipt by the Borrower of written notice thereof from the Administrative Agent; or</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4"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Appointment of Receiver, Etc</w:t>
      </w:r>
      <w:r>
        <w:rPr>
          <w:rFonts w:ascii="Times New Roman" w:cs="Times New Roman" w:eastAsia="Times New Roman" w:hAnsi="Times New Roman"/>
          <w:sz w:val="20"/>
          <w:szCs w:val="20"/>
          <w:color w:val="auto"/>
        </w:rPr>
        <w:t>. (i) The entry by a court of competent jurisdiction of a decree or order for relief in respect of Holdings, the Borrower or any Restricted Subsidiary (other than any Immaterial Subsidiary) in an involuntary case under any Debtor Relief Law now or hereafter in effect, which decree or order is not stayed; or any other similar relief in respect of Holdings, the Borrower or any Restricted Subsidiary (other than any Immaterial Subsidiary) shall be granted under any applicable Requirements of Law, which relief is not stayed; or (ii) the commencement of an involuntary case against Holdings, the Borrower or any Restricted Subsidiary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Borrower or any Restricted Subsidiary (other than any Immaterial Subsidiary), or over all or a material part of its property; or the involuntary appointment of an interim receiver, trustee or other custodian of Holdings, the Borrower or any Restricted Subsidiary (other than any Immaterial Subsidiary) for all or a material part of its property, which remains, in any case under this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undismissed, unvacated, unbounded or unstayed pending appeal for 60 consecutive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the occurrence of any event described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will not result in a Default or Event of Default under this Agreement prior to the expiration of such 60 consecutive day period; or</w:t>
      </w:r>
    </w:p>
    <w:p>
      <w:pPr>
        <w:spacing w:after="0" w:line="184" w:lineRule="exact"/>
        <w:rPr>
          <w:sz w:val="20"/>
          <w:szCs w:val="20"/>
          <w:color w:val="auto"/>
        </w:rPr>
      </w:pPr>
    </w:p>
    <w:p>
      <w:pPr>
        <w:jc w:val="both"/>
        <w:ind w:firstLine="757"/>
        <w:spacing w:after="0" w:line="242" w:lineRule="auto"/>
        <w:tabs>
          <w:tab w:leader="none" w:pos="1185"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(i) The entry against Holdings, the Borrower or any Restricted Subsidiary (other than any Immaterial Subsidiary) of an order for relief in, or the commencement by Holdings, the Borrower or any Restricted Subsidiary (other than any Immaterial Subsidiary) of, a voluntary case under any Debtor Relief Law, or the consent by Holdings, the Borrower or any Restricted Subsidiary (other than any Immaterial Subsidiary) to the entry of an order for relief in an involuntary case or to the conversion of an involuntary case to a voluntary case, under any Debtor Relief Law, or the consent by Holdings, the Borrower or any Restricted Subsidiary (other than any Immaterial Subsidiary) to the appointment of or taking possession by a receiver, receiver and manager, insolvency receiver, liquidator, sequestrator, trustee, administrator, custodian or other like official for or in respect of itself or for all or a material part of the property of Holdings, the Borrower and any Restricted Subsidiary (other taken any Immaterial Subsidiary), taken as a whole or (ii) the making by Holdings, the Borrower or any Restricted Subsidiary (other than any Immaterial Subsidiary) of a general assignment for the benefit of creditors; or</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xml:space="preserve">. The entry or filing of one or more final money judgments, writs or warrants of attachment or similar process against the Borrower or any Restricted Subsidiary (other than any Immaterial Subsidiary) individually or any of its assets involving in the aggregate at any time an amount in excess of the Threshold Amount (in either case, to the extent not adequately covered by indemnity from a third party (including any escrow arrangement), by self-insurance (if applicable) or by insurance as to which, in the case of any such third party insurance, the relevant third party insurance company has been notified and not denied coverage), which judgment, writ, warrant or similar process remains unpaid, undischarged, unvacated, unbonded or unstayed pending appeal for a period of 60 consecutive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the occurrence of any event described in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will not result in a Default or Event of Default under this Agreement prior to the expiration of such 60 consecutive day period; or</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71"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The occurrence of one or more ERISA Events with respect to the Borrower or any Restricted Subsidiary (other than any Immaterial Subsidiary), which individually or in the aggregate result in liability of any Loan Party in an aggregate amount which would reasonably be expected to result in a Material Adverse Effect; or</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 occurrence of a Change of Control; or</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solely by reason of (1)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color w:val="auto"/>
        </w:rPr>
        <w:t>perfection not being required pursuant to the Collateral and Guarantee Requirement, the Collateral Documents, this Agreement or otherwise,</w:t>
      </w:r>
    </w:p>
    <w:p>
      <w:pPr>
        <w:spacing w:after="0" w:line="33" w:lineRule="exact"/>
        <w:rPr>
          <w:sz w:val="20"/>
          <w:szCs w:val="20"/>
          <w:color w:val="auto"/>
        </w:rPr>
      </w:pPr>
    </w:p>
    <w:p>
      <w:pPr>
        <w:jc w:val="both"/>
        <w:ind w:firstLine="8"/>
        <w:spacing w:after="0" w:line="254" w:lineRule="auto"/>
        <w:tabs>
          <w:tab w:leader="none" w:pos="28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failure of the Administrative Agent to maintain possession of any Collateral actually delivered to it or the failure of the Administrative Agent to file Uniform Commercial Code financing statements, amendments or continuation statements, (3) a release of Collateral in accordance with the terms hereof or thereof or (4)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and/or maintain possession of any physical Collateral shall not result in an Event of Default under this </w:t>
      </w:r>
      <w:r>
        <w:rPr>
          <w:rFonts w:ascii="Times New Roman" w:cs="Times New Roman" w:eastAsia="Times New Roman" w:hAnsi="Times New Roman"/>
          <w:sz w:val="19"/>
          <w:szCs w:val="19"/>
          <w:u w:val="single" w:color="auto"/>
          <w:color w:val="auto"/>
        </w:rPr>
        <w:t>Section 7.01(k)</w:t>
      </w:r>
      <w:r>
        <w:rPr>
          <w:rFonts w:ascii="Times New Roman" w:cs="Times New Roman" w:eastAsia="Times New Roman" w:hAnsi="Times New Roman"/>
          <w:sz w:val="19"/>
          <w:szCs w:val="19"/>
          <w:color w:val="auto"/>
        </w:rPr>
        <w:t xml:space="preserve"> or any other provision of any Loan Document;</w:t>
      </w:r>
    </w:p>
    <w:p>
      <w:pPr>
        <w:spacing w:after="0" w:line="175" w:lineRule="exact"/>
        <w:rPr>
          <w:rFonts w:ascii="Times New Roman" w:cs="Times New Roman" w:eastAsia="Times New Roman" w:hAnsi="Times New Roman"/>
          <w:sz w:val="19"/>
          <w:szCs w:val="19"/>
          <w:color w:val="auto"/>
        </w:rPr>
      </w:pPr>
    </w:p>
    <w:p>
      <w:pPr>
        <w:jc w:val="both"/>
        <w:ind w:firstLine="757"/>
        <w:spacing w:after="0" w:line="246" w:lineRule="auto"/>
        <w:tabs>
          <w:tab w:leader="none" w:pos="1144"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Subordination</w:t>
      </w:r>
      <w:r>
        <w:rPr>
          <w:rFonts w:ascii="Times New Roman" w:cs="Times New Roman" w:eastAsia="Times New Roman" w:hAnsi="Times New Roman"/>
          <w:sz w:val="20"/>
          <w:szCs w:val="20"/>
          <w:color w:val="auto"/>
        </w:rPr>
        <w:t>. The Obligations ceasing or the assertion in writing by any Loan Party that the Obligations cease to constitute senior indebtedness under the subordination provisions of any document or instrument evidencing any Restricted Debt that is required to be subordinated pursuant to the terms of this Agreement or any such subordination provision being invalidated by a court of competent jurisdiction in a final non-appealable order, or otherwise ceasing, for any reason, to be valid, binding and enforceable obligations of the parties thereto;</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7.01(g)</w:t>
      </w:r>
      <w:r>
        <w:rPr>
          <w:rFonts w:ascii="Times New Roman" w:cs="Times New Roman" w:eastAsia="Times New Roman" w:hAnsi="Times New Roman"/>
          <w:sz w:val="20"/>
          <w:szCs w:val="20"/>
          <w:color w:val="auto"/>
        </w:rPr>
        <w:t>) at any time thereafter during the continuance of such event, the Administrative Agent may and at the request of the Required Lenders, shall by notice to the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then on deposit in the LC Collateral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described in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7.01(g)</w:t>
      </w:r>
      <w:r>
        <w:rPr>
          <w:rFonts w:ascii="Times New Roman" w:cs="Times New Roman" w:eastAsia="Times New Roman" w:hAnsi="Times New Roman"/>
          <w:sz w:val="20"/>
          <w:szCs w:val="20"/>
          <w:color w:val="auto"/>
        </w:rPr>
        <w:t>,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center"/>
        <w:ind w:right="220"/>
        <w:spacing w:after="0"/>
        <w:rPr>
          <w:sz w:val="20"/>
          <w:szCs w:val="20"/>
          <w:color w:val="auto"/>
        </w:rPr>
      </w:pPr>
      <w:r>
        <w:rPr>
          <w:rFonts w:ascii="Times New Roman" w:cs="Times New Roman" w:eastAsia="Times New Roman" w:hAnsi="Times New Roman"/>
          <w:sz w:val="20"/>
          <w:szCs w:val="20"/>
          <w:color w:val="auto"/>
        </w:rPr>
        <w:t>ARTICLE 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Appointment and Authorization of Administrative Agent</w:t>
      </w:r>
      <w:r>
        <w:rPr>
          <w:rFonts w:ascii="Times New Roman" w:cs="Times New Roman" w:eastAsia="Times New Roman" w:hAnsi="Times New Roman"/>
          <w:sz w:val="20"/>
          <w:szCs w:val="20"/>
          <w:color w:val="auto"/>
        </w:rPr>
        <w:t>. Each of the Lenders and the Issuing Banks, on behalf of itself and its applicable Affiliates in their respective capacities as such and as counterparties under Hedge Agreements and/or providers of Banking Services, as applicable, hereby irrevocably appoint Bank of America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8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Section 8.02. Rights as a Lender. 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-1202055</wp:posOffset>
            </wp:positionV>
            <wp:extent cx="10325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5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xml:space="preserve"> . The Administrative Agent shall not have any duties or obligations except those expressly set forth in the Loan Documents. Without limiting the generality of the foregoing:</w:t>
      </w:r>
    </w:p>
    <w:p>
      <w:pPr>
        <w:spacing w:after="0" w:line="159" w:lineRule="exact"/>
        <w:rPr>
          <w:sz w:val="20"/>
          <w:szCs w:val="20"/>
          <w:color w:val="auto"/>
        </w:rPr>
      </w:pPr>
    </w:p>
    <w:p>
      <w:pPr>
        <w:jc w:val="both"/>
        <w:ind w:firstLine="757"/>
        <w:spacing w:after="0" w:line="246" w:lineRule="auto"/>
        <w:tabs>
          <w:tab w:leader="none" w:pos="11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Administrative Agent shall not be required to take any such action that, in its opinion or the opinion of its counsel, may expose the Administrative Agent to liability or that is contrary to any Loan Document or applicable Requirements of Law;</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the Loan Documents, the Administrative Agent shall not have any duty or responsibility to disclose, and shall not be liable for the failure to disclose to any Lender or Issuing Bank, any credit or other information concerning the business, prospects, operations, property, financial and other condition or creditworthiness of any of the Loan Parties or any of their Affiliates or relating to Holdings, the Borrower or any of its Restricted Subsidiaries that is communicated to or obtained by or in the possession of any Person serving as Administrative Agent, an Arranger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Affiliates and Related Parties in any capacity, except for notices, reports and other documents expressly required to be furnished to the Lenders by the Administrative Agent herein; it being understood that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or in the absence of its own gross negligence or willful misconduct, as determined by the final judgment of a court of competent jurisdiction, in connection with its duties expressly set forth herein; and</w:t>
      </w:r>
    </w:p>
    <w:p>
      <w:pPr>
        <w:spacing w:after="0" w:line="173" w:lineRule="exact"/>
        <w:rPr>
          <w:sz w:val="20"/>
          <w:szCs w:val="20"/>
          <w:color w:val="auto"/>
        </w:rPr>
      </w:pPr>
    </w:p>
    <w:p>
      <w:pPr>
        <w:jc w:val="both"/>
        <w:ind w:firstLine="757"/>
        <w:spacing w:after="0" w:line="242" w:lineRule="auto"/>
        <w:tabs>
          <w:tab w:leader="none" w:pos="114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deemed to have knowledge of any Default or Event of Default unless and until written notice thereof is given to the Administrative Agent by the Borrower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18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Section 8.04. Exclusive Right to Enforce Rights and Remedies. Notwithstanding anything to the contrary contained herein or in any of the other Loan Documents, the Borrower, the Administrative Agent and each Secured Party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26092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139" w:lineRule="exact"/>
        <w:rPr>
          <w:sz w:val="20"/>
          <w:szCs w:val="20"/>
          <w:color w:val="auto"/>
        </w:rPr>
      </w:pPr>
    </w:p>
    <w:p>
      <w:pPr>
        <w:jc w:val="both"/>
        <w:ind w:firstLine="757"/>
        <w:spacing w:after="0" w:line="241" w:lineRule="auto"/>
        <w:tabs>
          <w:tab w:leader="none" w:pos="1145"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Secured Party shall have any right individually to realize upon any of the Collateral or to enforce the provisions of any Loan Document, including this Agreement, the Security Agreement and/or the Loan Guaranty; it being understood that any right to enforce any such provision (including to realize upon the Collateral or enforce any Loan Guaranty) against any Loan Party pursuant hereto or pursuant to any other Loan Document may be exercised solely by the Administrative Agent on behalf of the Secured Parties in accordance with the terms hereof or thereof, (ii) each Lender, each Issuing Bank, the Swingline Lender and/or each counterparty to a Hedge Agreement and/or any agreement governing any Banking Services Obligation that is a Secured Party, in each case in their respective capacities as such, waives its right to commence any action, suit or litigation against any Loan Party in connection with the Loan Documents without the consent of the Required Lenders and (iii)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w:t>
      </w:r>
    </w:p>
    <w:p>
      <w:pPr>
        <w:spacing w:after="0" w:line="195" w:lineRule="exact"/>
        <w:rPr>
          <w:rFonts w:ascii="Times New Roman" w:cs="Times New Roman" w:eastAsia="Times New Roman" w:hAnsi="Times New Roman"/>
          <w:sz w:val="20"/>
          <w:szCs w:val="20"/>
          <w:color w:val="auto"/>
        </w:rPr>
      </w:pPr>
    </w:p>
    <w:p>
      <w:pPr>
        <w:ind w:right="20" w:firstLine="757"/>
        <w:spacing w:after="0" w:line="295" w:lineRule="auto"/>
        <w:tabs>
          <w:tab w:leader="none" w:pos="1145"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holder of any Secured Hedging Obligation or Banking Services Obligation in its respective capacity as such shall have any rights in connection with the management or release of any Collateral or of the obligations of any Loan Party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ind w:firstLine="757"/>
        <w:spacing w:after="0" w:line="269" w:lineRule="auto"/>
        <w:tabs>
          <w:tab w:leader="none" w:pos="1145"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Secured Party agrees that the Administrative Agent may in its sole discretion, but is under no obligation to credit bid any part of the Secured Obligations or to purchase or retain or acquire any portion of the Collateral.</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8.05.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-1484630</wp:posOffset>
            </wp:positionV>
            <wp:extent cx="18313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31340" cy="8890"/>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8.06. Delegation of Duties . The Administrative Agent may perform any and all of its duties and exercise its rights and powers by or through any one or more sub-agents appointed by it, or any of its Affiliates (in each case, other than any Disqualified Institution). The Administrative Agent and any such sub-agent or Affiliate may perform any and all of their respective duties and exercise their respective rights and powers through their respective Related Parties. The exculpatory provisions of this Article shall apply to any such sub-agent, Affiliate and to the Related Parties of the Administrative Agent and any such sub-agent or Affiliate and shall apply to their respective activities in connection with the syndication of the credit facilities provided for herein as well as activities 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-904240</wp:posOffset>
            </wp:positionV>
            <wp:extent cx="11664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8.07.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7202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20215"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1" w:lineRule="auto"/>
        <w:tabs>
          <w:tab w:leader="none" w:pos="114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resign at any time by giving 30 days’ prior written notice to the Lenders, the Issuing Banks and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successor agent is appointed in accordance with the terms set forth below within such 30-day period, the Administrative Agent’s resignation shall not be effective until the earlier to occur of (i) the date of the appointment of the successor agent (and acceptance thereof by such successor Administrative Agent) or (ii) the date that is specified in such notice (which shall be no earlier than 30 days after the date thereof) (or such later date as the resigning Administrative Agent may agree). The retiring Agent shall be automatically and unconditionally discharged from its duties and obligations hereunder and under the other Loan Documents (other than any duty or obligation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in its capacity as Issuing Bank and Swingline Lender. If the Administrative Agent is a Defaulting Lender or an Affiliate of a Defaulting Lender, either the Required Lenders or the Borrower may, upon ten days’ notice, remove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successor agent is appointed in accordance with the terms set forth below within such 30-day period, the Administrative Agent’s removal shall, at the option of the Borrower, not be effective until the earlier to occur of (A) the date of the appointment of the successor agent or (B) the last day of such 30-day period (or such later date as the Borrower may agree).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trust company or other Person acceptable to the Borrower, in each case, with offices in the US having combined capital and surplus in excess of $1,000,000,000;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the existence of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with respect to the Borrower,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no consent of the Borrower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jc w:val="both"/>
        <w:ind w:firstLine="757"/>
        <w:spacing w:after="0" w:line="241" w:lineRule="auto"/>
        <w:tabs>
          <w:tab w:leader="none" w:pos="11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 successor has been appointed as provided above and accepted such appointment within 30 days after the resigning Administrative Agent gives notice of its resignation or the Administrative Agent receives notice of removal (or such later date as the resigning Administrative Agent may agree), then (i) in the case of a resignation, the resigning Administrative Agent may (but shall not be obligated to), on behalf of the Lenders and the Issuing Banks, appoint a successor Administrative Agent meeting the qualifications set forth above (including, for the avoidance of doubt, the consent of the Borrower) or (ii) in the case of a removal, the Borrower may, after consulting with the Required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 the case of a resignation, if the Administrative Agent notifies the Borrower, the Lenders and the Issuing Banks that no qualifying Person has accepted such appointment or (B) in the case of a removal, the Borrower notifies the Required Lenders that no qualifying Person has accepted such appointment, then, in each case, such resignation or removal shall nonetheless become effective in accordance with the provisos to the first two sentences in </w:t>
      </w:r>
      <w:r>
        <w:rPr>
          <w:rFonts w:ascii="Times New Roman" w:cs="Times New Roman" w:eastAsia="Times New Roman" w:hAnsi="Times New Roman"/>
          <w:sz w:val="20"/>
          <w:szCs w:val="20"/>
          <w:u w:val="single" w:color="auto"/>
          <w:color w:val="auto"/>
        </w:rPr>
        <w:t>Section 8.07(a)</w:t>
      </w:r>
      <w:r>
        <w:rPr>
          <w:rFonts w:ascii="Times New Roman" w:cs="Times New Roman" w:eastAsia="Times New Roman" w:hAnsi="Times New Roman"/>
          <w:sz w:val="20"/>
          <w:szCs w:val="20"/>
          <w:color w:val="auto"/>
        </w:rPr>
        <w:t xml:space="preserve">, as applicable (unless the resigning Administrative Agent has agreed in its sole discretion to extend the effectiveness of its resignation) and (1) the resigning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resigning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w:t>
      </w:r>
      <w:r>
        <w:rPr>
          <w:rFonts w:ascii="Times New Roman" w:cs="Times New Roman" w:eastAsia="Times New Roman" w:hAnsi="Times New Roman"/>
          <w:sz w:val="20"/>
          <w:szCs w:val="20"/>
          <w:u w:val="single" w:color="auto"/>
          <w:color w:val="auto"/>
        </w:rPr>
        <w:t>Section 8.07</w:t>
      </w:r>
      <w:r>
        <w:rPr>
          <w:rFonts w:ascii="Times New Roman" w:cs="Times New Roman" w:eastAsia="Times New Roman" w:hAnsi="Times New Roman"/>
          <w:sz w:val="20"/>
          <w:szCs w:val="20"/>
          <w:color w:val="auto"/>
        </w:rPr>
        <w:t xml:space="preserve">) (other than its obligations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hereof).</w:t>
      </w:r>
    </w:p>
    <w:p>
      <w:pPr>
        <w:spacing w:after="0" w:line="18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fees payable by the Borrower to any successor Administrative Agent shall not be greater than those payable to its predecessor unless otherwise expressly agreed in writing between the Borrower and such successor Administrative Agent.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Administrative Agent’s resignation or removal hereunder, the provisions of this Article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continue in effect for the benefit of such resigning or removed Administrative Agent, its sub-agents and their respective Related Parties in respect of any action taken or omitted to be taken by any of them (i) while the relevant Person was acting as Administrative Agent (including for this purpose holding any collateral security following the resignation or removal of the Administrative Agent) and (ii) after such resignation or removal, solely to the extent that such outgoing Administrative Agent (x) continues to act as collateral agent or otherwise holds any collateral security on behalf of the Lenders or (y) takes any actions in connection with transferring the agency to any successor Administrative Agent.</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Disqualified Institution (nor any Affiliate thereof) may be appointed as a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Section 8.08. Non-Reliance on Administrative Agent, the Arrangers or the Other Lenders. Each of each Lender and each Issuing Bank represents and warrants and acknowledges that it has, independently and without reliance upon the Administrative Agent, the Arrangers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extend credit to the Borrower hereunder. Each of each Lender and each Issuing Bank expressly acknowledges 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any Arranger to any Lender or each Issuing Bank as to any matter, including whether the Administrative Agent or the Arrangers have disclosed material information in their (or their Related Parties’) possession Each of each Lender and each Issuing Bank also acknowledges that it will, independently and without reliance upon the Administrative Agent, the Arrangers or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-2654300</wp:posOffset>
            </wp:positionV>
            <wp:extent cx="39484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48430" cy="8255"/>
                    </a:xfrm>
                    <a:prstGeom prst="rect">
                      <a:avLst/>
                    </a:prstGeom>
                    <a:noFill/>
                  </pic:spPr>
                </pic:pic>
              </a:graphicData>
            </a:graphic>
          </wp:anchor>
        </w:drawing>
      </w:r>
    </w:p>
    <w:p>
      <w:pPr>
        <w:spacing w:after="0" w:line="1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Each Lender and each Issuing Bank represents and warrants that (i) the Loan Documents set forth the terms of a commercial lending facility and (ii) it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65"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the Arrangers shall not have any right, power, obligation, liability, responsibility or duty under this Agreement, except in their respective capacities as the Administrative Agent, an Issuing Bank or a Lender hereunder, as applicable.</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8.09.  Collateral and Guaranty Matters. Each Lender and each other Secured Party irrevocably authorizes and instructs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7246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to, and the Administrative Agent shall:</w:t>
      </w:r>
    </w:p>
    <w:p>
      <w:pPr>
        <w:spacing w:after="0" w:line="194" w:lineRule="exact"/>
        <w:rPr>
          <w:sz w:val="20"/>
          <w:szCs w:val="20"/>
          <w:color w:val="auto"/>
        </w:rPr>
      </w:pPr>
    </w:p>
    <w:p>
      <w:pPr>
        <w:jc w:val="both"/>
        <w:ind w:firstLine="757"/>
        <w:spacing w:after="0" w:line="245" w:lineRule="auto"/>
        <w:tabs>
          <w:tab w:leader="none" w:pos="1145"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(or evidence the release of) any Lien on any property granted to or held by the Administrative Agent under any Loan Document (i) upon the occurrence of the Termination Date, (ii) that is sold or otherwise Disposed of (or to be sold or otherwise Disposed of) as part of or in connection with any Disposition permitted under (or not restricted by) the Loan Documents (subject to the last paragraph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4" w:name="page205"/>
    <w:bookmarkEnd w:id="204"/>
    <w:p>
      <w:pPr>
        <w:spacing w:after="0" w:line="269" w:lineRule="auto"/>
        <w:rPr>
          <w:sz w:val="20"/>
          <w:szCs w:val="20"/>
          <w:color w:val="auto"/>
        </w:rPr>
      </w:pPr>
      <w:r>
        <w:rPr>
          <w:rFonts w:ascii="Times New Roman" w:cs="Times New Roman" w:eastAsia="Times New Roman" w:hAnsi="Times New Roman"/>
          <w:sz w:val="20"/>
          <w:szCs w:val="20"/>
          <w:color w:val="auto"/>
        </w:rPr>
        <w:t xml:space="preserve">Documents, (v) as required under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 (vi) pursuant to the provisions of any applicable Loan Document or (vii)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56" w:lineRule="auto"/>
        <w:tabs>
          <w:tab w:leader="none" w:pos="1145"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9.22</w:t>
      </w:r>
      <w:r>
        <w:rPr>
          <w:rFonts w:ascii="Times New Roman" w:cs="Times New Roman" w:eastAsia="Times New Roman" w:hAnsi="Times New Roman"/>
          <w:sz w:val="19"/>
          <w:szCs w:val="19"/>
          <w:color w:val="auto"/>
        </w:rPr>
        <w:t xml:space="preserve">, release (or evidence the release of) any Subsidiary Guarantor from its obligations under the Loan Guaranty (i) if such Person ceases to be a Restricted Subsidiary (or is or becomes an Excluded Subsidiary as a result of a single transaction or series of related transactions not prohibited hereunder), (ii) on the Termination Date and/or (iii) in the case of any Discretionary Guarantor, at the election of the Borrower, upon notice from the Borrower to the Administrative Agent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Subsidiary Guarantor ceases to constitute a Wholly-Owned Subsidiary, such Subsidiary Guarantor shall not be released from its Loan Guaranty unless</w:t>
      </w:r>
    </w:p>
    <w:p>
      <w:pPr>
        <w:spacing w:after="0" w:line="4" w:lineRule="exact"/>
        <w:rPr>
          <w:rFonts w:ascii="Times New Roman" w:cs="Times New Roman" w:eastAsia="Times New Roman" w:hAnsi="Times New Roman"/>
          <w:sz w:val="19"/>
          <w:szCs w:val="19"/>
          <w:color w:val="auto"/>
        </w:rPr>
      </w:pPr>
    </w:p>
    <w:p>
      <w:pPr>
        <w:jc w:val="both"/>
        <w:ind w:firstLine="8"/>
        <w:spacing w:after="0"/>
        <w:tabs>
          <w:tab w:leader="none" w:pos="335"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Guarantor is no longer a direct or indirect subsidiary of the Borrower, (B) after giving pro forma effect to such release and the consummation of the relevant transaction, the Borrower is deemed to have made a new Investment in such Person (as if such Person was then newly acquired) and such Investment is permitted by the Loan Documents or (C) such Dispositions of Capital Stock is a good faith Disposition to a bona fide unaffiliated third party (as determined by the Borrower in good faith) for fair market value and for a bona fide business purpose (as determined by the Borrower in good faith); it being understood that this proviso shall not limit the release of any Subsidiary Guarantor that otherwise constitutes an Excluded Subsidiary for any reason other than not constituting a Wholly-Owned Subsidiary of the Borrower (this proviso, the “</w:t>
      </w:r>
      <w:r>
        <w:rPr>
          <w:rFonts w:ascii="Times New Roman" w:cs="Times New Roman" w:eastAsia="Times New Roman" w:hAnsi="Times New Roman"/>
          <w:sz w:val="20"/>
          <w:szCs w:val="20"/>
          <w:u w:val="single" w:color="auto"/>
          <w:color w:val="auto"/>
        </w:rPr>
        <w:t>Specified Guarantor Release Provision</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6.02(d)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6.02(g)(i)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6.02(o)</w:t>
      </w:r>
      <w:r>
        <w:rPr>
          <w:rFonts w:ascii="Times New Roman" w:cs="Times New Roman" w:eastAsia="Times New Roman" w:hAnsi="Times New Roman"/>
          <w:sz w:val="20"/>
          <w:szCs w:val="20"/>
          <w:color w:val="auto"/>
        </w:rPr>
        <w:t xml:space="preserve"> (other than any Lien on the Capital Stock of any Subsidiary Guarantor), </w:t>
      </w:r>
      <w:r>
        <w:rPr>
          <w:rFonts w:ascii="Times New Roman" w:cs="Times New Roman" w:eastAsia="Times New Roman" w:hAnsi="Times New Roman"/>
          <w:sz w:val="20"/>
          <w:szCs w:val="20"/>
          <w:u w:val="single" w:color="auto"/>
          <w:color w:val="auto"/>
        </w:rPr>
        <w:t>6.02(q)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6.02(s)</w:t>
      </w:r>
      <w:r>
        <w:rPr>
          <w:rFonts w:ascii="Times New Roman" w:cs="Times New Roman" w:eastAsia="Times New Roman" w:hAnsi="Times New Roman"/>
          <w:sz w:val="20"/>
          <w:szCs w:val="20"/>
          <w:color w:val="auto"/>
        </w:rPr>
        <w:t xml:space="preserve"> (to the extent the relevant Lien is of the type to which the Lien of the Administrative Agent is otherwise required to be subordinated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pursuant to any of the other exceptions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that are expressly included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6.02(u)</w:t>
      </w:r>
      <w:r>
        <w:rPr>
          <w:rFonts w:ascii="Times New Roman" w:cs="Times New Roman" w:eastAsia="Times New Roman" w:hAnsi="Times New Roman"/>
          <w:sz w:val="20"/>
          <w:szCs w:val="20"/>
          <w:color w:val="auto"/>
        </w:rPr>
        <w:t xml:space="preserve"> (to the extent the relevant Lien is of the type to which the Lien of the Administrative Agent is otherwise required to be subordinated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pursuant to any of the other exceptions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that are expressly included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6.02(z)(i)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6.02(bb)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6.02(cc)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6.02(dd)</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thereof, to the extent the relevant Lien covers cash collateral posted to secure the relevant obligation), </w:t>
      </w:r>
      <w:r>
        <w:rPr>
          <w:rFonts w:ascii="Times New Roman" w:cs="Times New Roman" w:eastAsia="Times New Roman" w:hAnsi="Times New Roman"/>
          <w:sz w:val="20"/>
          <w:szCs w:val="20"/>
          <w:u w:val="single" w:color="auto"/>
          <w:color w:val="auto"/>
        </w:rPr>
        <w:t>6.02(ee)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6.02(gg), 6.02(ii),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6.02(mm)</w:t>
      </w:r>
      <w:r>
        <w:rPr>
          <w:rFonts w:ascii="Times New Roman" w:cs="Times New Roman" w:eastAsia="Times New Roman" w:hAnsi="Times New Roman"/>
          <w:sz w:val="20"/>
          <w:szCs w:val="20"/>
          <w:color w:val="auto"/>
        </w:rPr>
        <w:t xml:space="preserve"> (and, in each case, any Lien securing any Refinancing Indebtedness in respect of any thereof to the extent such Refinancing Indebtedness is permitted to be secured under </w:t>
      </w:r>
      <w:r>
        <w:rPr>
          <w:rFonts w:ascii="Times New Roman" w:cs="Times New Roman" w:eastAsia="Times New Roman" w:hAnsi="Times New Roman"/>
          <w:sz w:val="20"/>
          <w:szCs w:val="20"/>
          <w:u w:val="single" w:color="auto"/>
          <w:color w:val="auto"/>
        </w:rPr>
        <w:t>Section 6.02(k)</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subordination, intercreditor, collateral trust and/or similar agreements (including any Intercreditor Agreement and/or any amendment to any Intercreditor Agreement) with respect to any Indebtedness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 contrary to the provisions of any such agreement; and</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and/or deliver, as applicable, any amendment to any UCC financing statement and/or any other document evidencing the security interest granted pursuant to the Collateral Documents to indicate that Excluded Assets and/or other assets that do not constitute Collateral are not subject to the security interest granted pursuant to the Collateral Documents.</w:t>
      </w:r>
    </w:p>
    <w:p>
      <w:pPr>
        <w:spacing w:after="0" w:line="17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Upon the request of the Administrative Agent at any time, the Required Lenders will confirm in writing the Administrative Agent’s authority to release or subordinate its interest in particular types or items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5" w:name="page206"/>
    <w:bookmarkEnd w:id="205"/>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property, or to release any Loan Party from its obligations under the Loan Guaranty or its Lien on any Collateral pursuant to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the Administrative Agent will (and each Lender, and each Issuing Bank hereby authorizes the Administrative Agent to), without recourse or warranty (other than as to the Administrative Agent’s authority to execute and deliver the same) and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the request of the Administrative Agent, the Borrower shall deliver a certificate of a Responsible Officer certifying that the relevant transaction has been consummated in compliance with the terms of this Agreement.</w:t>
      </w:r>
    </w:p>
    <w:p>
      <w:pPr>
        <w:spacing w:after="0" w:line="78"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or in any other provision of any Loan Document, each Lender and each other Secured Party hereby authorizes the Administrative Agent to, and the Administrative Agent shall, execute and deliver any instruments, documents, consents, acknowledgments, and agreements necessary or desirable to evidence, effectuate or confirm the release of any Subsidiary Guarantor or Collateral or the subordination of any Lien pursuant to the provisions of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w:t>
      </w:r>
    </w:p>
    <w:p>
      <w:pPr>
        <w:spacing w:after="0" w:line="7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It is understood and agreed that, notwithstanding anything to the contrary herein, in any other Loan Document and/or in the documentation governing any Hedge Agreement and/or any agreement governing Banking Services, (a) unless otherwise agreed to by the Borrower and any applicable counterparty to any agreement governing any Secured Hedging Obligation and/or any Banking Service, the obligations of Holdings, the Borrower or any subsidiary under any such agreement shall be secured and guaranteed pursuant to the Collateral Documents and the Loan Guaranty only to the extent that, and for so long as, the Obligations are so secured and guaranteed and (b) any release of any Lien on any Collateral and/or any Loan Guarantor effected in a manner permitted by this Agreement and/or any other Loan Document shall not require the consent of any such counterparty.</w:t>
      </w:r>
    </w:p>
    <w:p>
      <w:pPr>
        <w:spacing w:after="0" w:line="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8.10. Intercreditor Agreements. The Administrative Agent is authorized by the Lenders and each other Secured Party to, and shall, enter into any Intercreditor Agreement and any other intercreditor, subordination, collateral trust or similar agreement contemplated hereby with respect to any (a) Indebtedness (i) that is (A) required or permitted hereunder to be subordinated in right of payment or with respect to security and/or (B) secured by any Lien and (ii) which contemplates an intercreditor, subordination, collateral trust or similar agreement and/or (b) Secured Hedging Obligations and/or Banking Services Obligations, whether or not constituting Indebtedness (any such other intercreditor, subordination, collateral trust and/or similar agreement an “</w:t>
      </w:r>
      <w:r>
        <w:rPr>
          <w:rFonts w:ascii="Times New Roman" w:cs="Times New Roman" w:eastAsia="Times New Roman" w:hAnsi="Times New Roman"/>
          <w:sz w:val="20"/>
          <w:szCs w:val="20"/>
          <w:u w:val="single" w:color="auto"/>
          <w:color w:val="auto"/>
        </w:rPr>
        <w:t>Additional Agreement</w:t>
      </w:r>
      <w:r>
        <w:rPr>
          <w:rFonts w:ascii="Times New Roman" w:cs="Times New Roman" w:eastAsia="Times New Roman" w:hAnsi="Times New Roman"/>
          <w:sz w:val="20"/>
          <w:szCs w:val="20"/>
          <w:color w:val="auto"/>
        </w:rPr>
        <w:t>”), and the Secured Parties party hereto acknowledge that any Intercreditor Agreement and any other Additional Agreement is binding upon them. Each Lender and each other Secured Party hereto hereby (a) agrees that it will be bound by, and will not take any action contrary to, the provisions of any Intercreditor Agreement or any other Additional Agreement and (b) authorizes and instructs the Administrative Agent to enter into any Intercreditor Agreement and/or any other Additional Agreement and to subject the Liens on the Collateral securing the Secured Obligations to the provisions thereof. The foregoing provisions are intended as an inducement to the Lenders and the other Secured Parties to extend credit to the Borrower, and the Lenders and the other Secured Parties are intended third-party beneficiaries of such provisions and the provisions of any Intercreditor Agreement and/or any other Additional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-1771015</wp:posOffset>
            </wp:positionV>
            <wp:extent cx="13690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Indemnification of Administrative Agent</w:t>
      </w:r>
      <w:r>
        <w:rPr>
          <w:rFonts w:ascii="Times New Roman" w:cs="Times New Roman" w:eastAsia="Times New Roman" w:hAnsi="Times New Roman"/>
          <w:sz w:val="20"/>
          <w:szCs w:val="20"/>
          <w:color w:val="auto"/>
        </w:rPr>
        <w:t xml:space="preserve"> . To the extent that the Administrative Agent (or any Affiliate thereof) is not reimbursed and indemnified by the Borrower in accordance with and to the extent required by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6" w:name="page207"/>
    <w:bookmarkEnd w:id="20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losses, damages, penalties, claims, actions, judgments, costs, expenses or disbursements of whatsoever kind or nature, including reasonable attorneys' fees, which may be imposed on, asserted against or incurred by the Administrative Agent (or any Affiliate thereof) in (i) performing its duties hereunder or under any other Loan Document or in any way relating to or arising out of this Agreement or any other Loan Document and/or (ii)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the Administrative Agent, a third party or a Lender or any Related Party of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8.12.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each Lender shall severally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because such Lender failed to notify the Administrative Agent of a change in circumstance that rendered the exemption from, or reduction of withholding Tax ineffective or because such Lender failed to maintain a Participant/SPC Register in the manner required by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 and the Swingline Lender.</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8.13. Administrative Agent May File Proofs of Claim . In case of the pendency of any receivership, insolvency, liquidation, bankruptcy, reorganization, arrangement, adjustment, composition or other judicial proceeding relative to any Loan Party, the Administrative Agent (irrespective of whether the principal of any Loans shall then be due and payable as herein expressed or by declaration or otherwise and irrespective of whether the Administrative Agent shall have made any demand on the Loan Parties)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-613410</wp:posOffset>
            </wp:positionV>
            <wp:extent cx="2731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165" w:lineRule="exact"/>
        <w:rPr>
          <w:sz w:val="20"/>
          <w:szCs w:val="20"/>
          <w:color w:val="auto"/>
        </w:rPr>
      </w:pPr>
    </w:p>
    <w:p>
      <w:pPr>
        <w:jc w:val="both"/>
        <w:ind w:firstLine="757"/>
        <w:spacing w:after="0" w:line="246" w:lineRule="auto"/>
        <w:tabs>
          <w:tab w:leader="none" w:pos="1145"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Secured Parties and the Administrative Agent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8.14.  Erroneous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162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1" w:lineRule="auto"/>
        <w:tabs>
          <w:tab w:leader="none" w:pos="114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conclusive, absent manifest error. If a Payment Recipient receives any payment, prepayment or repayment of principal, interest, fees, distribution or otherwise and does not receive a corresponding payment notice or payment advice from the Administrative Agent, such payment, prepayment or repayment shall be presumed to be in error absent written confirmation from the Administrative Agent to the contrary.</w:t>
      </w:r>
    </w:p>
    <w:p>
      <w:pPr>
        <w:spacing w:after="0" w:line="188"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under the indemnification provisions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60" w:lineRule="auto"/>
        <w:tabs>
          <w:tab w:leader="none" w:pos="114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so long as an Erroneous Payment (or portion thereof) has not been returned by any Payment Recipient who received such Erroneous Payment (or portion thereof)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to the Administrative Agent after demand therefor in accordance with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(i) the Administrative Agent may elect, in its sole discretion upon written notice to the relevant Lender, Issuing Bank or Secured Party, that all rights and claims of such Lender, Issuing Bank or Secured Party with respect to the Loans or other Obligations owed to such Person up to the amount of the corresponding Erroneous Payment Return Deficiency in respect of such Erroneous Payment (the “</w:t>
      </w:r>
      <w:r>
        <w:rPr>
          <w:rFonts w:ascii="Times New Roman" w:cs="Times New Roman" w:eastAsia="Times New Roman" w:hAnsi="Times New Roman"/>
          <w:sz w:val="19"/>
          <w:szCs w:val="19"/>
          <w:u w:val="single" w:color="auto"/>
          <w:color w:val="auto"/>
        </w:rPr>
        <w:t>Corresponding Amount</w:t>
      </w:r>
      <w:r>
        <w:rPr>
          <w:rFonts w:ascii="Times New Roman" w:cs="Times New Roman" w:eastAsia="Times New Roman" w:hAnsi="Times New Roman"/>
          <w:sz w:val="19"/>
          <w:szCs w:val="19"/>
          <w:color w:val="auto"/>
        </w:rPr>
        <w:t>”) shall immediately vest in the Administrative Agent upon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after such election, with respect to Loans, the Administrative Agent (x) may reflect its ownership interest in the relevant Loans in a principal amount equal to the Corresponding Amount in the Register, and (y) upon five Business Days’ written notice to such Lender may sell such Loan (or portion thereof) to an Eligible Assignee in accordance with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in respect of the Corresponding Amount, and upon receipt of the proceeds of such sale, the Erroneous Payment Return Deficiency owing by such Lender shall be reduced by the net proceeds of the sale of such Loan (or portion thereof), and the Administrative Agent shall retain all other rights, remedies and claims against such Lender (and/or against any Payment Recipient that receives funds on its behalf), and (ii) each party hereto agrees that, except to the extent that the Administrative Agent has sold such Loans, and irrespective of whether the Administrative Agent may be equitably subrogated, the Administrative Agent shall be contractually subrogated to all the rights and interests of such Lender, Issuing Bank or Secured Party with respect to the relevant Erroneous Payment Return Deficiency (determined after any reductions as a result of any such vesting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(it being understood and agreed that aggregate Obligations of the Loan Parties shall not be increased as a result of the application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For the avoidance of doubt, no vesting or sale pursuant to this clause (c) will reduce the Commitments of any Lender or the Letter of Credit Commitments of any Issuing Bank and such Commitments and Letter of Credit Commitments shall remain available in accordance with the terms of this Agreement.</w:t>
      </w:r>
    </w:p>
    <w:p>
      <w:pPr>
        <w:spacing w:after="0" w:line="197" w:lineRule="exact"/>
        <w:rPr>
          <w:sz w:val="20"/>
          <w:szCs w:val="20"/>
          <w:color w:val="auto"/>
        </w:rPr>
      </w:pPr>
    </w:p>
    <w:p>
      <w:pPr>
        <w:jc w:val="both"/>
        <w:ind w:firstLine="757"/>
        <w:spacing w:after="0" w:line="249"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Issuing Bank, and the occurrence of the Termination Date.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shall not apply to the disbursement of any proceeds of a Loan to or at the express direction of the Borrower unless otherwise expressly agreed to in writing by the Borrower.</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the Borrower and the Loan Parties shall have no obligations or liabilities for any actions, consequences or remediation (including the repayment of any amounts) contemplated by this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under no circumstances shall this </w:t>
      </w:r>
      <w:r>
        <w:rPr>
          <w:rFonts w:ascii="Times New Roman" w:cs="Times New Roman" w:eastAsia="Times New Roman" w:hAnsi="Times New Roman"/>
          <w:sz w:val="20"/>
          <w:szCs w:val="20"/>
          <w:u w:val="single" w:color="auto"/>
          <w:color w:val="auto"/>
        </w:rPr>
        <w:t>Section 8.14(h)</w:t>
      </w:r>
      <w:r>
        <w:rPr>
          <w:rFonts w:ascii="Times New Roman" w:cs="Times New Roman" w:eastAsia="Times New Roman" w:hAnsi="Times New Roman"/>
          <w:sz w:val="20"/>
          <w:szCs w:val="20"/>
          <w:color w:val="auto"/>
        </w:rPr>
        <w:t xml:space="preserve"> affect the Borrower’s or any Loan Parties’ obligations or liabilities with respect to any Obligations that remain outstanding.</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 such payment) as of the date such payment or other amount is received by the Administrative Agent.</w:t>
      </w:r>
    </w:p>
    <w:p>
      <w:pPr>
        <w:spacing w:after="0" w:line="18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Section 8.15. Banking Services Obligations and Secured Hedging Obligations. Except as otherwise expressly set forth herein or in the Loan Guaranty or any Collateral Document, no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33254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to a Hedge Agreement or agreement governing any Banking Services Obligation that obtains the benefits of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any Loan Guaranty or any Collateral by virtue of the provisions hereof or of the Loan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if applicable,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any obligation arising under a Hedge Agreement or any agreement governing any Banking Services Obligation.</w:t>
      </w:r>
    </w:p>
    <w:p>
      <w:pPr>
        <w:spacing w:after="0" w:line="18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9.01.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4781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96" w:lineRule="exact"/>
        <w:rPr>
          <w:sz w:val="20"/>
          <w:szCs w:val="20"/>
          <w:color w:val="auto"/>
        </w:rPr>
      </w:pPr>
    </w:p>
    <w:p>
      <w:pPr>
        <w:ind w:left="1160" w:hanging="403"/>
        <w:spacing w:after="0"/>
        <w:tabs>
          <w:tab w:leader="none" w:pos="116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notices and other communications expressly permitted to be given by telephone (and subject to </w:t>
      </w:r>
      <w:r>
        <w:rPr>
          <w:rFonts w:ascii="Times New Roman" w:cs="Times New Roman" w:eastAsia="Times New Roman" w:hAnsi="Times New Roman"/>
          <w:sz w:val="19"/>
          <w:szCs w:val="19"/>
          <w:u w:val="single" w:color="auto"/>
          <w:color w:val="auto"/>
        </w:rPr>
        <w:t>paragraph</w:t>
      </w:r>
    </w:p>
    <w:p>
      <w:pPr>
        <w:spacing w:after="0" w:line="33" w:lineRule="exact"/>
        <w:rPr>
          <w:rFonts w:ascii="Times New Roman" w:cs="Times New Roman" w:eastAsia="Times New Roman" w:hAnsi="Times New Roman"/>
          <w:sz w:val="19"/>
          <w:szCs w:val="19"/>
          <w:color w:val="auto"/>
        </w:rPr>
      </w:pPr>
    </w:p>
    <w:p>
      <w:pPr>
        <w:ind w:firstLine="8"/>
        <w:spacing w:after="0" w:line="246" w:lineRule="auto"/>
        <w:tabs>
          <w:tab w:leader="none" w:pos="289"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below), all notices and other communications provided for herein shall be in writing and shall be delivered by hand or overnight courier service, mailed by certified or registered mail or sent by email, as follows:</w:t>
      </w:r>
    </w:p>
    <w:p>
      <w:pPr>
        <w:spacing w:after="0" w:line="182" w:lineRule="exact"/>
        <w:rPr>
          <w:sz w:val="20"/>
          <w:szCs w:val="20"/>
          <w:color w:val="auto"/>
        </w:rPr>
      </w:pPr>
    </w:p>
    <w:p>
      <w:pPr>
        <w:ind w:left="1900" w:hanging="395"/>
        <w:spacing w:after="0"/>
        <w:tabs>
          <w:tab w:leader="none" w:pos="190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such Loan Party in the care of the Borrower at:</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Definitive Healthcare Holdings, LLC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492 Old Connecticut Path, Suite 401, Framingham, MA, 01701</w:t>
      </w:r>
    </w:p>
    <w:p>
      <w:pPr>
        <w:ind w:left="2260"/>
        <w:spacing w:after="0"/>
        <w:rPr>
          <w:sz w:val="20"/>
          <w:szCs w:val="20"/>
          <w:color w:val="auto"/>
        </w:rPr>
      </w:pPr>
      <w:r>
        <w:rPr>
          <w:rFonts w:ascii="Times New Roman" w:cs="Times New Roman" w:eastAsia="Times New Roman" w:hAnsi="Times New Roman"/>
          <w:sz w:val="20"/>
          <w:szCs w:val="20"/>
          <w:color w:val="auto"/>
        </w:rPr>
        <w:t>Attention: Rick Booth</w:t>
      </w:r>
    </w:p>
    <w:p>
      <w:pPr>
        <w:ind w:left="2260"/>
        <w:spacing w:after="0"/>
        <w:rPr>
          <w:sz w:val="20"/>
          <w:szCs w:val="20"/>
          <w:color w:val="auto"/>
        </w:rPr>
      </w:pPr>
      <w:r>
        <w:rPr>
          <w:rFonts w:ascii="Times New Roman" w:cs="Times New Roman" w:eastAsia="Times New Roman" w:hAnsi="Times New Roman"/>
          <w:sz w:val="20"/>
          <w:szCs w:val="20"/>
          <w:color w:val="auto"/>
        </w:rPr>
        <w:t>Email: on file with the Administrative Agent</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with </w:t>
      </w:r>
      <w:r>
        <w:rPr>
          <w:rFonts w:ascii="Times New Roman" w:cs="Times New Roman" w:eastAsia="Times New Roman" w:hAnsi="Times New Roman"/>
          <w:sz w:val="20"/>
          <w:szCs w:val="20"/>
          <w:color w:val="FF0000"/>
          <w:strike w:val="1"/>
        </w:rPr>
        <w:t>copies</w:t>
      </w:r>
      <w:r>
        <w:rPr>
          <w:rFonts w:ascii="Times New Roman" w:cs="Times New Roman" w:eastAsia="Times New Roman" w:hAnsi="Times New Roman"/>
          <w:sz w:val="20"/>
          <w:szCs w:val="20"/>
          <w:u w:val="single" w:color="auto"/>
          <w:color w:val="0000FF"/>
        </w:rPr>
        <w:t>a copy</w:t>
      </w:r>
      <w:r>
        <w:rPr>
          <w:rFonts w:ascii="Times New Roman" w:cs="Times New Roman" w:eastAsia="Times New Roman" w:hAnsi="Times New Roman"/>
          <w:sz w:val="20"/>
          <w:szCs w:val="20"/>
          <w:color w:val="auto"/>
        </w:rPr>
        <w:t xml:space="preserve"> to (which shall not constitute notice to any Loan Party):</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FF0000"/>
          <w:strike w:val="1"/>
        </w:rPr>
        <w:t>Advent International Corporation</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FF0000"/>
          <w:strike w:val="1"/>
        </w:rPr>
        <w:t>12 E. 49th Street, 45th Floor</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FF0000"/>
          <w:strike w:val="1"/>
        </w:rPr>
        <w:t>New York, New York 10017</w:t>
      </w:r>
    </w:p>
    <w:p>
      <w:pPr>
        <w:ind w:left="2260"/>
        <w:spacing w:after="0"/>
        <w:rPr>
          <w:sz w:val="20"/>
          <w:szCs w:val="20"/>
          <w:color w:val="auto"/>
        </w:rPr>
      </w:pPr>
      <w:r>
        <w:rPr>
          <w:rFonts w:ascii="Times New Roman" w:cs="Times New Roman" w:eastAsia="Times New Roman" w:hAnsi="Times New Roman"/>
          <w:sz w:val="20"/>
          <w:szCs w:val="20"/>
          <w:color w:val="FF0000"/>
          <w:strike w:val="1"/>
        </w:rPr>
        <w:t>Attention: Ken Prince</w:t>
      </w:r>
    </w:p>
    <w:p>
      <w:pPr>
        <w:ind w:left="2260"/>
        <w:spacing w:after="0"/>
        <w:rPr>
          <w:sz w:val="20"/>
          <w:szCs w:val="20"/>
          <w:color w:val="auto"/>
        </w:rPr>
      </w:pPr>
      <w:r>
        <w:rPr>
          <w:rFonts w:ascii="Times New Roman" w:cs="Times New Roman" w:eastAsia="Times New Roman" w:hAnsi="Times New Roman"/>
          <w:sz w:val="20"/>
          <w:szCs w:val="20"/>
          <w:color w:val="FF0000"/>
          <w:strike w:val="1"/>
        </w:rPr>
        <w:t>Email: on file with the Administrative Agent</w:t>
      </w: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FF0000"/>
          <w:strike w:val="1"/>
        </w:rPr>
        <w:t>and</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Sidley Austin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787 7th Avenue</w:t>
      </w:r>
    </w:p>
    <w:p>
      <w:pPr>
        <w:ind w:left="2260"/>
        <w:spacing w:after="0"/>
        <w:rPr>
          <w:sz w:val="20"/>
          <w:szCs w:val="20"/>
          <w:color w:val="auto"/>
        </w:rPr>
      </w:pPr>
      <w:r>
        <w:rPr>
          <w:rFonts w:ascii="Times New Roman" w:cs="Times New Roman" w:eastAsia="Times New Roman" w:hAnsi="Times New Roman"/>
          <w:sz w:val="20"/>
          <w:szCs w:val="20"/>
          <w:color w:val="auto"/>
        </w:rPr>
        <w:t>New York, NY 10019</w:t>
      </w:r>
    </w:p>
    <w:p>
      <w:pPr>
        <w:ind w:left="2260"/>
        <w:spacing w:after="0"/>
        <w:rPr>
          <w:sz w:val="20"/>
          <w:szCs w:val="20"/>
          <w:color w:val="auto"/>
        </w:rPr>
      </w:pPr>
      <w:r>
        <w:rPr>
          <w:rFonts w:ascii="Times New Roman" w:cs="Times New Roman" w:eastAsia="Times New Roman" w:hAnsi="Times New Roman"/>
          <w:sz w:val="20"/>
          <w:szCs w:val="20"/>
          <w:color w:val="auto"/>
        </w:rPr>
        <w:t>Attention: Ram Burshtine</w:t>
      </w:r>
    </w:p>
    <w:p>
      <w:pPr>
        <w:ind w:left="2260"/>
        <w:spacing w:after="0"/>
        <w:rPr>
          <w:sz w:val="20"/>
          <w:szCs w:val="20"/>
          <w:color w:val="auto"/>
        </w:rPr>
      </w:pPr>
      <w:r>
        <w:rPr>
          <w:rFonts w:ascii="Times New Roman" w:cs="Times New Roman" w:eastAsia="Times New Roman" w:hAnsi="Times New Roman"/>
          <w:sz w:val="20"/>
          <w:szCs w:val="20"/>
          <w:color w:val="auto"/>
        </w:rPr>
        <w:t>Email: rburshtine@sidley.com</w:t>
      </w:r>
    </w:p>
    <w:p>
      <w:pPr>
        <w:spacing w:after="0" w:line="194" w:lineRule="exact"/>
        <w:rPr>
          <w:sz w:val="20"/>
          <w:szCs w:val="20"/>
          <w:color w:val="auto"/>
        </w:rPr>
      </w:pPr>
    </w:p>
    <w:p>
      <w:pPr>
        <w:ind w:left="2260" w:right="4700" w:hanging="755"/>
        <w:spacing w:after="0" w:line="471" w:lineRule="auto"/>
        <w:tabs>
          <w:tab w:leader="none" w:pos="1907"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or the Swingline Lender, at: For notices regarding Borrowing activity:</w:t>
      </w:r>
    </w:p>
    <w:p>
      <w:pPr>
        <w:spacing w:after="0" w:line="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Gateway Village-900 Building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ind w:left="2260"/>
        <w:spacing w:after="0"/>
        <w:rPr>
          <w:sz w:val="20"/>
          <w:szCs w:val="20"/>
          <w:color w:val="auto"/>
        </w:rPr>
      </w:pPr>
      <w:r>
        <w:rPr>
          <w:rFonts w:ascii="Times New Roman" w:cs="Times New Roman" w:eastAsia="Times New Roman" w:hAnsi="Times New Roman"/>
          <w:sz w:val="20"/>
          <w:szCs w:val="20"/>
          <w:color w:val="auto"/>
        </w:rPr>
        <w:t>900 W Trade Street</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Mail Code: NC1-026-06-04</w:t>
      </w:r>
    </w:p>
    <w:p>
      <w:pPr>
        <w:ind w:left="2260"/>
        <w:spacing w:after="0"/>
        <w:rPr>
          <w:sz w:val="20"/>
          <w:szCs w:val="20"/>
          <w:color w:val="auto"/>
        </w:rPr>
      </w:pPr>
      <w:r>
        <w:rPr>
          <w:rFonts w:ascii="Times New Roman" w:cs="Times New Roman" w:eastAsia="Times New Roman" w:hAnsi="Times New Roman"/>
          <w:sz w:val="20"/>
          <w:szCs w:val="20"/>
          <w:color w:val="auto"/>
        </w:rPr>
        <w:t>Charlotte, NC, 28255</w:t>
      </w:r>
    </w:p>
    <w:p>
      <w:pPr>
        <w:ind w:left="2260"/>
        <w:spacing w:after="0"/>
        <w:rPr>
          <w:sz w:val="20"/>
          <w:szCs w:val="20"/>
          <w:color w:val="auto"/>
        </w:rPr>
      </w:pPr>
      <w:r>
        <w:rPr>
          <w:rFonts w:ascii="Times New Roman" w:cs="Times New Roman" w:eastAsia="Times New Roman" w:hAnsi="Times New Roman"/>
          <w:sz w:val="20"/>
          <w:szCs w:val="20"/>
          <w:color w:val="auto"/>
        </w:rPr>
        <w:t>Phone: 980.387.3614</w:t>
      </w:r>
    </w:p>
    <w:p>
      <w:pPr>
        <w:ind w:left="2260"/>
        <w:spacing w:after="0"/>
        <w:rPr>
          <w:sz w:val="20"/>
          <w:szCs w:val="20"/>
          <w:color w:val="auto"/>
        </w:rPr>
      </w:pPr>
      <w:r>
        <w:rPr>
          <w:rFonts w:ascii="Times New Roman" w:cs="Times New Roman" w:eastAsia="Times New Roman" w:hAnsi="Times New Roman"/>
          <w:sz w:val="20"/>
          <w:szCs w:val="20"/>
          <w:color w:val="auto"/>
        </w:rPr>
        <w:t>Fax: 704.208.3045</w:t>
      </w:r>
    </w:p>
    <w:p>
      <w:pPr>
        <w:ind w:left="2260"/>
        <w:spacing w:after="0"/>
        <w:rPr>
          <w:sz w:val="20"/>
          <w:szCs w:val="20"/>
          <w:color w:val="auto"/>
        </w:rPr>
      </w:pPr>
      <w:r>
        <w:rPr>
          <w:rFonts w:ascii="Times New Roman" w:cs="Times New Roman" w:eastAsia="Times New Roman" w:hAnsi="Times New Roman"/>
          <w:sz w:val="20"/>
          <w:szCs w:val="20"/>
          <w:color w:val="auto"/>
        </w:rPr>
        <w:t>Attention: Smith Bagley</w:t>
      </w:r>
    </w:p>
    <w:p>
      <w:pPr>
        <w:ind w:left="2260"/>
        <w:spacing w:after="0"/>
        <w:rPr>
          <w:sz w:val="20"/>
          <w:szCs w:val="20"/>
          <w:color w:val="auto"/>
        </w:rPr>
      </w:pPr>
      <w:r>
        <w:rPr>
          <w:rFonts w:ascii="Times New Roman" w:cs="Times New Roman" w:eastAsia="Times New Roman" w:hAnsi="Times New Roman"/>
          <w:sz w:val="20"/>
          <w:szCs w:val="20"/>
          <w:color w:val="auto"/>
        </w:rPr>
        <w:t>Email: smith.bagley@bofa.com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For other notices to Administrative Agent:</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555 California, Street, 6th Floor</w:t>
      </w:r>
    </w:p>
    <w:p>
      <w:pPr>
        <w:ind w:left="2260"/>
        <w:spacing w:after="0"/>
        <w:rPr>
          <w:sz w:val="20"/>
          <w:szCs w:val="20"/>
          <w:color w:val="auto"/>
        </w:rPr>
      </w:pPr>
      <w:r>
        <w:rPr>
          <w:rFonts w:ascii="Times New Roman" w:cs="Times New Roman" w:eastAsia="Times New Roman" w:hAnsi="Times New Roman"/>
          <w:sz w:val="20"/>
          <w:szCs w:val="20"/>
          <w:color w:val="auto"/>
        </w:rPr>
        <w:t>Mail Code: CA5-705-04-09</w:t>
      </w:r>
    </w:p>
    <w:p>
      <w:pPr>
        <w:ind w:left="2260"/>
        <w:spacing w:after="0"/>
        <w:rPr>
          <w:sz w:val="20"/>
          <w:szCs w:val="20"/>
          <w:color w:val="auto"/>
        </w:rPr>
      </w:pPr>
      <w:r>
        <w:rPr>
          <w:rFonts w:ascii="Times New Roman" w:cs="Times New Roman" w:eastAsia="Times New Roman" w:hAnsi="Times New Roman"/>
          <w:sz w:val="20"/>
          <w:szCs w:val="20"/>
          <w:color w:val="auto"/>
        </w:rPr>
        <w:t>San Francisco, CA 94104</w:t>
      </w:r>
    </w:p>
    <w:p>
      <w:pPr>
        <w:ind w:left="2260"/>
        <w:spacing w:after="0"/>
        <w:rPr>
          <w:sz w:val="20"/>
          <w:szCs w:val="20"/>
          <w:color w:val="auto"/>
        </w:rPr>
      </w:pPr>
      <w:r>
        <w:rPr>
          <w:rFonts w:ascii="Times New Roman" w:cs="Times New Roman" w:eastAsia="Times New Roman" w:hAnsi="Times New Roman"/>
          <w:sz w:val="20"/>
          <w:szCs w:val="20"/>
          <w:color w:val="auto"/>
        </w:rPr>
        <w:t>Phone: 415 436-3102</w:t>
      </w:r>
    </w:p>
    <w:p>
      <w:pPr>
        <w:ind w:left="2260"/>
        <w:spacing w:after="0"/>
        <w:rPr>
          <w:sz w:val="20"/>
          <w:szCs w:val="20"/>
          <w:color w:val="auto"/>
        </w:rPr>
      </w:pPr>
      <w:r>
        <w:rPr>
          <w:rFonts w:ascii="Times New Roman" w:cs="Times New Roman" w:eastAsia="Times New Roman" w:hAnsi="Times New Roman"/>
          <w:sz w:val="20"/>
          <w:szCs w:val="20"/>
          <w:color w:val="auto"/>
        </w:rPr>
        <w:t>Fax: 415-503-5009</w:t>
      </w:r>
    </w:p>
    <w:p>
      <w:pPr>
        <w:ind w:left="2260"/>
        <w:spacing w:after="0"/>
        <w:rPr>
          <w:sz w:val="20"/>
          <w:szCs w:val="20"/>
          <w:color w:val="auto"/>
        </w:rPr>
      </w:pPr>
      <w:r>
        <w:rPr>
          <w:rFonts w:ascii="Times New Roman" w:cs="Times New Roman" w:eastAsia="Times New Roman" w:hAnsi="Times New Roman"/>
          <w:sz w:val="20"/>
          <w:szCs w:val="20"/>
          <w:color w:val="auto"/>
        </w:rPr>
        <w:t>Attention: Linda Mackey</w:t>
      </w:r>
    </w:p>
    <w:p>
      <w:pPr>
        <w:ind w:left="2260"/>
        <w:spacing w:after="0"/>
        <w:rPr>
          <w:sz w:val="20"/>
          <w:szCs w:val="20"/>
          <w:color w:val="auto"/>
        </w:rPr>
      </w:pPr>
      <w:r>
        <w:rPr>
          <w:rFonts w:ascii="Times New Roman" w:cs="Times New Roman" w:eastAsia="Times New Roman" w:hAnsi="Times New Roman"/>
          <w:sz w:val="20"/>
          <w:szCs w:val="20"/>
          <w:color w:val="auto"/>
        </w:rPr>
        <w:t>Email: linda.z.mackey@bofa.com</w:t>
      </w:r>
    </w:p>
    <w:p>
      <w:pPr>
        <w:spacing w:after="0" w:line="207" w:lineRule="exact"/>
        <w:rPr>
          <w:sz w:val="20"/>
          <w:szCs w:val="20"/>
          <w:color w:val="auto"/>
        </w:rPr>
      </w:pPr>
    </w:p>
    <w:p>
      <w:pPr>
        <w:ind w:left="1900" w:hanging="395"/>
        <w:spacing w:after="0"/>
        <w:tabs>
          <w:tab w:leader="none" w:pos="1900" w:val="left"/>
        </w:tabs>
        <w:numPr>
          <w:ilvl w:val="0"/>
          <w:numId w:val="26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to any Issuing Bank, at:</w:t>
      </w:r>
    </w:p>
    <w:p>
      <w:pPr>
        <w:spacing w:after="0" w:line="215" w:lineRule="exact"/>
        <w:rPr>
          <w:rFonts w:ascii="Times New Roman" w:cs="Times New Roman" w:eastAsia="Times New Roman" w:hAnsi="Times New Roman"/>
          <w:sz w:val="20"/>
          <w:szCs w:val="20"/>
          <w:color w:val="FF0000"/>
          <w:strike w:val="1"/>
        </w:rPr>
      </w:pPr>
    </w:p>
    <w:p>
      <w:pPr>
        <w:ind w:left="2260" w:hanging="754"/>
        <w:spacing w:after="0" w:line="269" w:lineRule="auto"/>
        <w:tabs>
          <w:tab w:leader="none" w:pos="1907" w:val="left"/>
        </w:tabs>
        <w:numPr>
          <w:ilvl w:val="0"/>
          <w:numId w:val="26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if to any </w:t>
      </w:r>
      <w:r>
        <w:rPr>
          <w:rFonts w:ascii="Times New Roman" w:cs="Times New Roman" w:eastAsia="Times New Roman" w:hAnsi="Times New Roman"/>
          <w:sz w:val="20"/>
          <w:szCs w:val="20"/>
          <w:color w:val="FF0000"/>
          <w:strike w:val="1"/>
        </w:rPr>
        <w:t>other</w:t>
      </w:r>
      <w:r>
        <w:rPr>
          <w:rFonts w:ascii="Times New Roman" w:cs="Times New Roman" w:eastAsia="Times New Roman" w:hAnsi="Times New Roman"/>
          <w:sz w:val="20"/>
          <w:szCs w:val="20"/>
          <w:color w:val="auto"/>
        </w:rPr>
        <w:t xml:space="preserve"> Issuing Bank that is an Issuing Bank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Amendment No. 2 Effective</w:t>
      </w:r>
      <w:r>
        <w:rPr>
          <w:rFonts w:ascii="Times New Roman" w:cs="Times New Roman" w:eastAsia="Times New Roman" w:hAnsi="Times New Roman"/>
          <w:sz w:val="20"/>
          <w:szCs w:val="20"/>
          <w:color w:val="auto"/>
        </w:rPr>
        <w:t xml:space="preserve"> Date, the relevant address specified in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w:t>
      </w:r>
    </w:p>
    <w:p>
      <w:pPr>
        <w:spacing w:after="0" w:line="3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or</w:t>
      </w:r>
    </w:p>
    <w:p>
      <w:pPr>
        <w:spacing w:after="0" w:line="229" w:lineRule="exact"/>
        <w:rPr>
          <w:sz w:val="20"/>
          <w:szCs w:val="20"/>
          <w:color w:val="auto"/>
        </w:rPr>
      </w:pPr>
    </w:p>
    <w:p>
      <w:pPr>
        <w:ind w:left="2260" w:right="480"/>
        <w:spacing w:after="0" w:line="269" w:lineRule="auto"/>
        <w:rPr>
          <w:sz w:val="20"/>
          <w:szCs w:val="20"/>
          <w:color w:val="auto"/>
        </w:rPr>
      </w:pPr>
      <w:r>
        <w:rPr>
          <w:rFonts w:ascii="Times New Roman" w:cs="Times New Roman" w:eastAsia="Times New Roman" w:hAnsi="Times New Roman"/>
          <w:sz w:val="20"/>
          <w:szCs w:val="20"/>
          <w:color w:val="auto"/>
        </w:rPr>
        <w:t>if to any other Issuing Bank, such address as may be specified in the documentation pursuant to which such Issuing Bank is appointed in its capacity as such; and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(iv) if to any Lender, to it at its physical address or email address set forth in its Administrative Questionnaire.</w:t>
      </w:r>
    </w:p>
    <w:p>
      <w:pPr>
        <w:spacing w:after="0" w:line="2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or in accordance with the latest unrevoked direction from such party given in accordance with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or (B) sent by facsimile shall be deemed to have been given when sent and when receipt has been confirmed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jc w:val="both"/>
        <w:ind w:firstLine="757"/>
        <w:spacing w:after="0" w:line="254" w:lineRule="auto"/>
        <w:tabs>
          <w:tab w:leader="none" w:pos="114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communications to it hereunder by electronic communications pursuant to procedures set forth herein or otherwise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89" w:lineRule="exact"/>
        <w:rPr>
          <w:sz w:val="20"/>
          <w:szCs w:val="20"/>
          <w:color w:val="auto"/>
        </w:rPr>
      </w:pPr>
    </w:p>
    <w:p>
      <w:pPr>
        <w:jc w:val="both"/>
        <w:ind w:firstLine="757"/>
        <w:spacing w:after="0" w:line="254" w:lineRule="auto"/>
        <w:tabs>
          <w:tab w:leader="none" w:pos="1145"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74" w:lineRule="exact"/>
        <w:rPr>
          <w:rFonts w:ascii="Times New Roman" w:cs="Times New Roman" w:eastAsia="Times New Roman" w:hAnsi="Times New Roman"/>
          <w:sz w:val="20"/>
          <w:szCs w:val="20"/>
          <w:color w:val="auto"/>
        </w:rPr>
      </w:pPr>
    </w:p>
    <w:p>
      <w:pPr>
        <w:jc w:val="both"/>
        <w:ind w:firstLine="757"/>
        <w:spacing w:after="0" w:line="255" w:lineRule="auto"/>
        <w:tabs>
          <w:tab w:leader="none" w:pos="1145"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acknowledges that (a) the Administrative Agent will make available to the Lenders and the Issuing Banks materials and/or information provided by, or on behalf of, Holdings or the Borrower hereunder (collectively,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Materials</w:t>
      </w:r>
      <w:r>
        <w:rPr>
          <w:rFonts w:ascii="Times New Roman" w:cs="Times New Roman" w:eastAsia="Times New Roman" w:hAnsi="Times New Roman"/>
          <w:sz w:val="19"/>
          <w:szCs w:val="19"/>
          <w:color w:val="auto"/>
        </w:rPr>
        <w:t>”) by posting the Borrower Materials on the Platform and (b) certain of the Lenders may be “public-side” Lenders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Lenders that do not wish to receive material nonpublic information within the meaning of the US federal securities laws with respect to Holdings, the Borrower or their respective securities) (each, a “</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At the reasonable request of the Administrative Agent, the Borrower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of a type that (A) is publicly available or (B) would not be material with respect to Holdings, the Borrower, their respective subsidiaries, any of their respective securities or the Transactions, as determined in good faith by the Borrower, for purposes of the US federal securities laws and (iii) the Administrative Agent shall be required to treat Borrower Materials that are not marked “PUBLIC” as being suitable only for posting on a portion of the Platform not marked as “Public Investor.” Notwithstanding the foregoing, the Loan Documents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w:t>
      </w:r>
    </w:p>
    <w:p>
      <w:pPr>
        <w:spacing w:after="0" w:line="17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US federal and state securities laws, to make reference to communications that are not made available through the “Public Side Information” portion of the Platform and that may contain material non-public information with respect to the Borrower or its securities for purposes of US Federal or state securities laws.</w:t>
      </w:r>
    </w:p>
    <w:p>
      <w:pPr>
        <w:spacing w:after="0" w:line="5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ind w:right="60"/>
        <w:spacing w:after="0" w:line="243" w:lineRule="auto"/>
        <w:rPr>
          <w:sz w:val="20"/>
          <w:szCs w:val="20"/>
          <w:color w:val="auto"/>
        </w:rPr>
      </w:pPr>
      <w:r>
        <w:rPr>
          <w:rFonts w:ascii="Times New Roman" w:cs="Times New Roman" w:eastAsia="Times New Roman" w:hAnsi="Times New Roman"/>
          <w:sz w:val="20"/>
          <w:szCs w:val="20"/>
          <w:color w:val="auto"/>
        </w:rPr>
        <w:t>FREEDOM FROM VIRUSES OR OTHER CODE DEFECTS IS MADE BY THE ADMINISTRATIVE AGENT OR ANY OF ITS RELATED PARTIES IN CONNECTION WITH THE COMMUNICATIONS OR THE PLATFORM. IN NO EVENT SHALL ANY PARTY HERETO OR ANY OF ITS RELATED PARTIES HAVE ANY LIABILITY TO ANY OTHER PARTY HERETO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 OR MATERIAL BREACH OF THIS AGREEMENT.</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9.02.  Waivers;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388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provided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w:t>
      </w:r>
    </w:p>
    <w:p>
      <w:pPr>
        <w:spacing w:after="0" w:line="185"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each Lender directly and adversely affected thereby (but not the consent of the Required Lenders) shall be required for any waiver, amendment or modification that:</w:t>
      </w:r>
    </w:p>
    <w:p>
      <w:pPr>
        <w:spacing w:after="0" w:line="159" w:lineRule="exact"/>
        <w:rPr>
          <w:rFonts w:ascii="Times New Roman" w:cs="Times New Roman" w:eastAsia="Times New Roman" w:hAnsi="Times New Roman"/>
          <w:sz w:val="20"/>
          <w:szCs w:val="20"/>
          <w:color w:val="auto"/>
        </w:rPr>
      </w:pPr>
    </w:p>
    <w:p>
      <w:pPr>
        <w:jc w:val="both"/>
        <w:ind w:left="2260" w:firstLine="743"/>
        <w:spacing w:after="0" w:line="249" w:lineRule="auto"/>
        <w:tabs>
          <w:tab w:leader="none" w:pos="3404" w:val="left"/>
        </w:tabs>
        <w:numPr>
          <w:ilvl w:val="2"/>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increases the Commitment of such Lender (other than with respect to any Incremental Facility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 respect of which such Lender has agreed to be an Incremental Lender); it being understood that no amendment, modification or waiver of, or consent to departure from, any condition precedent, representation, warranty, covenant, Default,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ind w:left="1140" w:right="20"/>
        <w:spacing w:after="0" w:line="269" w:lineRule="auto"/>
        <w:rPr>
          <w:sz w:val="20"/>
          <w:szCs w:val="20"/>
          <w:color w:val="auto"/>
        </w:rPr>
      </w:pPr>
      <w:r>
        <w:rPr>
          <w:rFonts w:ascii="Times New Roman" w:cs="Times New Roman" w:eastAsia="Times New Roman" w:hAnsi="Times New Roman"/>
          <w:sz w:val="20"/>
          <w:szCs w:val="20"/>
          <w:color w:val="auto"/>
        </w:rPr>
        <w:t>mandatory prepayment or mandatory reduction of the Commitments shall constitute an increase of any Commitment of such Lender;</w:t>
      </w:r>
    </w:p>
    <w:p>
      <w:pPr>
        <w:spacing w:after="0" w:line="159" w:lineRule="exact"/>
        <w:rPr>
          <w:sz w:val="20"/>
          <w:szCs w:val="20"/>
          <w:color w:val="auto"/>
        </w:rPr>
      </w:pPr>
    </w:p>
    <w:p>
      <w:pPr>
        <w:ind w:left="1140" w:right="20" w:firstLine="743"/>
        <w:spacing w:after="0" w:line="269" w:lineRule="auto"/>
        <w:tabs>
          <w:tab w:leader="none" w:pos="228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reduces the principal amount of any Loan owed to such Lender or any amount due to such Lender on any Loan Installment Date;</w:t>
      </w:r>
    </w:p>
    <w:p>
      <w:pPr>
        <w:spacing w:after="0" w:line="159"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28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reduces the rate of interest (other than to waive any Default or Event of Default or any obligation of the Borrower to pay interest to such Lender at the default rate of interest under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which shall only require the consent of the Required Lenders) or the amount of any fee or premium owed to such Lender; it being understood that no change in the definition of “Total Net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spacing w:after="0" w:line="185"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waives, amends or modifies the provisions of </w:t>
      </w:r>
      <w:r>
        <w:rPr>
          <w:rFonts w:ascii="Times New Roman" w:cs="Times New Roman" w:eastAsia="Times New Roman" w:hAnsi="Times New Roman"/>
          <w:sz w:val="20"/>
          <w:szCs w:val="20"/>
          <w:u w:val="single" w:color="auto"/>
          <w:color w:val="auto"/>
        </w:rPr>
        <w:t>Sections 2.18(b)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Agreement in a manner that would by its terms alter the pro rata sharing of payments required thereby (except in connection with any transaction permitted under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9.05(g)</w:t>
      </w:r>
      <w:r>
        <w:rPr>
          <w:rFonts w:ascii="Times New Roman" w:cs="Times New Roman" w:eastAsia="Times New Roman" w:hAnsi="Times New Roman"/>
          <w:sz w:val="20"/>
          <w:szCs w:val="20"/>
          <w:color w:val="auto"/>
        </w:rPr>
        <w:t xml:space="preserve"> or as otherwise provided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otherwise in this Agreement);</w:t>
      </w:r>
    </w:p>
    <w:p>
      <w:pPr>
        <w:spacing w:after="0" w:line="17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agreement shall:</w:t>
      </w:r>
    </w:p>
    <w:p>
      <w:pPr>
        <w:spacing w:after="0" w:line="215" w:lineRule="exact"/>
        <w:rPr>
          <w:rFonts w:ascii="Times New Roman" w:cs="Times New Roman" w:eastAsia="Times New Roman" w:hAnsi="Times New Roman"/>
          <w:sz w:val="20"/>
          <w:szCs w:val="20"/>
          <w:color w:val="auto"/>
        </w:rPr>
      </w:pPr>
    </w:p>
    <w:p>
      <w:pPr>
        <w:jc w:val="both"/>
        <w:ind w:left="1140" w:firstLine="743"/>
        <w:spacing w:after="0" w:line="243" w:lineRule="auto"/>
        <w:tabs>
          <w:tab w:leader="none" w:pos="2284"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(x) any of the provisions of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189" w:lineRule="exact"/>
        <w:rPr>
          <w:rFonts w:ascii="Times New Roman" w:cs="Times New Roman" w:eastAsia="Times New Roman" w:hAnsi="Times New Roman"/>
          <w:sz w:val="20"/>
          <w:szCs w:val="20"/>
          <w:color w:val="auto"/>
        </w:rPr>
      </w:pPr>
    </w:p>
    <w:p>
      <w:pPr>
        <w:jc w:val="both"/>
        <w:ind w:left="1140" w:firstLine="743"/>
        <w:spacing w:after="0" w:line="274" w:lineRule="auto"/>
        <w:tabs>
          <w:tab w:leader="none" w:pos="2284" w:val="left"/>
        </w:tabs>
        <w:numPr>
          <w:ilvl w:val="1"/>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release all or substantially all of the Collateral from the Lien granted pursuant to the Collateral Documents (except as otherwise permitted herein or in the other Loan Documents, including pursuant to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9.22</w:t>
      </w:r>
      <w:r>
        <w:rPr>
          <w:rFonts w:ascii="Times New Roman" w:cs="Times New Roman" w:eastAsia="Times New Roman" w:hAnsi="Times New Roman"/>
          <w:sz w:val="19"/>
          <w:szCs w:val="19"/>
          <w:color w:val="auto"/>
        </w:rPr>
        <w:t>), without the prior written consent of each Lender or (B) subordinate the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14" w:name="page215"/>
    <w:bookmarkEnd w:id="214"/>
    <w:p>
      <w:pPr>
        <w:jc w:val="both"/>
        <w:ind w:left="1503"/>
        <w:spacing w:after="0" w:line="260" w:lineRule="auto"/>
        <w:rPr>
          <w:sz w:val="20"/>
          <w:szCs w:val="20"/>
          <w:color w:val="auto"/>
        </w:rPr>
      </w:pPr>
      <w:r>
        <w:rPr>
          <w:rFonts w:ascii="Times New Roman" w:cs="Times New Roman" w:eastAsia="Times New Roman" w:hAnsi="Times New Roman"/>
          <w:sz w:val="19"/>
          <w:szCs w:val="19"/>
          <w:color w:val="auto"/>
        </w:rPr>
        <w:t>on a material portion of the Collateral, taken as a whole (as determined by the Borrower in good faith), securing the Secured Obligations or subordinate the Obligations in right of payment, in either case, to any other Indebtedness for borrowed money (in each case, other than in connection with (I) any Acceptable Debtor-In-Possession Financing, (II) the implementation of an “asset-based” revolving credit facility, Receivables Facility or similar financing and/or (III) any other financing with respect to which each relevant Lender has been offered the opportunity to provide such financing), in each case, without the prior written consent of each Lender; or</w:t>
      </w:r>
    </w:p>
    <w:p>
      <w:pPr>
        <w:spacing w:after="0" w:line="173" w:lineRule="exact"/>
        <w:rPr>
          <w:sz w:val="20"/>
          <w:szCs w:val="20"/>
          <w:color w:val="auto"/>
        </w:rPr>
      </w:pPr>
    </w:p>
    <w:p>
      <w:pPr>
        <w:jc w:val="both"/>
        <w:ind w:left="1503" w:firstLine="743"/>
        <w:spacing w:after="0" w:line="254" w:lineRule="auto"/>
        <w:tabs>
          <w:tab w:leader="none" w:pos="2648" w:val="left"/>
        </w:tabs>
        <w:numPr>
          <w:ilvl w:val="3"/>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Guarantees under the Loan Guaranty (except as otherwise permitted herein or in the other Loan Documents, including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9.22</w:t>
      </w:r>
      <w:r>
        <w:rPr>
          <w:rFonts w:ascii="Times New Roman" w:cs="Times New Roman" w:eastAsia="Times New Roman" w:hAnsi="Times New Roman"/>
          <w:sz w:val="20"/>
          <w:szCs w:val="20"/>
          <w:color w:val="auto"/>
        </w:rPr>
        <w:t>), without the prior written consent of each Lender;</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54" w:lineRule="auto"/>
        <w:tabs>
          <w:tab w:leader="none" w:pos="1888"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Required Revolving Lenders (but without the consent of the Required Lenders or any other Lender), any such agreement may waive, amend or modify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it pertains to any Revolving Loan and/or Letter of Credit; and</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45" w:lineRule="auto"/>
        <w:tabs>
          <w:tab w:leader="none" w:pos="1888"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relevant Issuing Bank, any such agreement may (x) increase or decrease the Letter of Credit Sublimit, (y) waive, amend or modify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it pertains to the issuance of any Letter of Credit or (z) amend or modify the provisions of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any letter of credit application and any bilateral agreement between the Borrower and any Issuing Bank regarding such Issuing Bank’s LC Exposure or the respective rights and obligations between the Borrower and such Issuing Bank in connection with the issuance of Letters of Credit;</w:t>
      </w:r>
    </w:p>
    <w:p>
      <w:pPr>
        <w:spacing w:after="0" w:line="184"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888"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the consent of the Swingline Lender, any such agreement may increase or decrease the amount of Swingline Loans available under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43" w:firstLine="754"/>
        <w:spacing w:after="0" w:line="254" w:lineRule="auto"/>
        <w:tabs>
          <w:tab w:leader="none" w:pos="1888"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spacing w:after="0" w:line="174"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Agreement may be amended:</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written consent of the Borrower and the Lenders providing the relevant Replacement Term Loans to permit the refinancing or replacement of all or any portion of the outstanding Term Loans under any Class (any such loans being refinanced or replaced, the “</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with one or more replacement term loans hereunder (“</w:t>
      </w:r>
      <w:r>
        <w:rPr>
          <w:rFonts w:ascii="Times New Roman" w:cs="Times New Roman" w:eastAsia="Times New Roman" w:hAnsi="Times New Roman"/>
          <w:sz w:val="20"/>
          <w:szCs w:val="20"/>
          <w:u w:val="single" w:color="auto"/>
          <w:color w:val="auto"/>
        </w:rPr>
        <w:t>Replacement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pursuant to a Refinancing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9" w:lineRule="exact"/>
        <w:rPr>
          <w:rFonts w:ascii="Times New Roman" w:cs="Times New Roman" w:eastAsia="Times New Roman" w:hAnsi="Times New Roman"/>
          <w:sz w:val="20"/>
          <w:szCs w:val="20"/>
          <w:color w:val="auto"/>
        </w:rPr>
      </w:pPr>
    </w:p>
    <w:p>
      <w:pPr>
        <w:jc w:val="both"/>
        <w:ind w:left="743" w:firstLine="754"/>
        <w:spacing w:after="0" w:line="246" w:lineRule="auto"/>
        <w:tabs>
          <w:tab w:leader="none" w:pos="1888" w:val="left"/>
        </w:tabs>
        <w:numPr>
          <w:ilvl w:val="2"/>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any Class of Replacement Term Loans shall not exceed the aggregate principal amount of the relevant Replaced Term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to the extent any such additional amount is secured, the related Lien is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the amount of any accrued interest, fee, expense, penalty and/or premium (including any tender premium) on the relevant Replaced Term Loans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3"/>
          <w:szCs w:val="13"/>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15" w:name="page216"/>
    <w:bookmarkEnd w:id="215"/>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 xml:space="preserve">committed but undrawn amount,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any underwriting discount, fee and/or initial yield payment associated therewith (including any upfront fee, original issue discount and/or initial yield payment, commission and/or expense) associated with the relevant Replacement Term Loan;</w:t>
      </w:r>
    </w:p>
    <w:p>
      <w:pPr>
        <w:spacing w:after="0" w:line="174" w:lineRule="exact"/>
        <w:rPr>
          <w:sz w:val="20"/>
          <w:szCs w:val="20"/>
          <w:color w:val="auto"/>
        </w:rPr>
      </w:pPr>
    </w:p>
    <w:p>
      <w:pPr>
        <w:jc w:val="both"/>
        <w:ind w:left="380" w:firstLine="754"/>
        <w:spacing w:after="0" w:line="249"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Replacement Term Loans (other than Customary Bridge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w:t>
      </w:r>
    </w:p>
    <w:p>
      <w:pPr>
        <w:spacing w:after="0" w:line="179" w:lineRule="exact"/>
        <w:rPr>
          <w:rFonts w:ascii="Times New Roman" w:cs="Times New Roman" w:eastAsia="Times New Roman" w:hAnsi="Times New Roman"/>
          <w:sz w:val="20"/>
          <w:szCs w:val="20"/>
          <w:color w:val="auto"/>
        </w:rPr>
      </w:pPr>
    </w:p>
    <w:p>
      <w:pPr>
        <w:jc w:val="both"/>
        <w:ind w:left="380" w:right="20" w:firstLine="754"/>
        <w:spacing w:after="0" w:line="249"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may be pari passu with or junior to any then-existing Class of Term Loans in right of payment and may be pari passu with or junior to such Class of Term Loans with respect to the Collateral or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Class of Replacement Term Loans that is junior to any then-existing Class of Term Loan in right of payment or security shall be subject to an Intercreditor Agreement;</w:t>
      </w:r>
    </w:p>
    <w:p>
      <w:pPr>
        <w:spacing w:after="0" w:line="17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Replacement Term Loans that is secured may not be secured by any asset other than the</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w:t>
      </w:r>
    </w:p>
    <w:p>
      <w:pPr>
        <w:spacing w:after="0" w:line="193"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Class of Replacement Term Loans that is guaranteed may not be guaranteed by any subsidiary of the Borrower other than one or more Loan Parties;</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that is pari passu with the Initial Term Loans in right of payment and security may participate (A) in any voluntary prepayment of Term Loans as set forth in </w:t>
      </w:r>
      <w:r>
        <w:rPr>
          <w:rFonts w:ascii="Times New Roman" w:cs="Times New Roman" w:eastAsia="Times New Roman" w:hAnsi="Times New Roman"/>
          <w:sz w:val="20"/>
          <w:szCs w:val="20"/>
          <w:u w:val="single" w:color="auto"/>
          <w:color w:val="auto"/>
        </w:rPr>
        <w:t>Section 2.11(a)(i)</w:t>
      </w:r>
      <w:r>
        <w:rPr>
          <w:rFonts w:ascii="Times New Roman" w:cs="Times New Roman" w:eastAsia="Times New Roman" w:hAnsi="Times New Roman"/>
          <w:sz w:val="20"/>
          <w:szCs w:val="20"/>
          <w:color w:val="auto"/>
        </w:rPr>
        <w:t xml:space="preserve"> and (B) in any mandatory prepayment of Term Loans as set forth in </w:t>
      </w:r>
      <w:r>
        <w:rPr>
          <w:rFonts w:ascii="Times New Roman" w:cs="Times New Roman" w:eastAsia="Times New Roman" w:hAnsi="Times New Roman"/>
          <w:sz w:val="20"/>
          <w:szCs w:val="20"/>
          <w:u w:val="single" w:color="auto"/>
          <w:color w:val="auto"/>
        </w:rPr>
        <w:t>Section 2.11(b)(vi)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Class of Replacement Term Loans may have pricing (including “MFN” or other pricing terms), interest, fees, rate margins, rate floors, premiums (including prepayment premiums), funding discounts, subject to preceding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optional prepayment and redemption terms and, subject to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an amortization schedule, as the Borrower and the lenders providing such Class of Replacement Term Loans may agree;</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other terms and conditions of any Class of Replacement Term Loans (except as set forth above) shall be substantially consistent with the Replaced Term Loans (or any other then-existing Term Loans) or shall be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terms and conditions shall be deemed to be satisfactory to the Administrative Agent so long as any such terms and conditions (1) that are not substantially consistent with those applicable to the relevant Replaced Term Loans are applicable after the latest Maturity Date of such Class of Replaced Term Loans (in each case, as of the date of incurrence of such Class of Replacement Term Loans), (2) are substantially identical to, or (taken as a whole) not more favorable (as determined by the Borrower in good faith) to the lenders providing such Class of Replacement Term Loans than those applicable to the relevant Replaced Term Loans (other than such terms to which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is applicable), (3) reflect then-current market terms and conditions (as determined by the Borrower in good faith) for the applicable type of Indebtedness or (4) if more favorable to the lenders or the agent of such Replacement Term Loans than those contained in the Loan Documents, are then conformed (or added) to the Loan Documents pursuant to the applicable Refinancing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16" w:name="page217"/>
    <w:bookmarkEnd w:id="216"/>
    <w:p>
      <w:pPr>
        <w:jc w:val="both"/>
        <w:ind w:left="380" w:firstLine="754"/>
        <w:spacing w:after="0" w:line="249" w:lineRule="auto"/>
        <w:tabs>
          <w:tab w:leader="none" w:pos="152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Replacement Term Loans may be provided by any existing Lender or by any other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have a right to consent (such consent not to be unreasonably withheld, conditioned or delayed) to the relevant Person’s provision of Replacement Term Loans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such Person; and</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outstanding Replaced Term Loans and all accrued but unpaid interest and fees then due and payable in connection therewith shall be paid in full, in each case on the date the applicable Replacement Term Loan is implemented; and</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66" w:lineRule="auto"/>
        <w:tabs>
          <w:tab w:leader="none" w:pos="784"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written consent of the Borrower and the Lenders providing the relevant Revolver Replacement Facility to permit the refinancing or replacement of all or any portion of any Revolving Credit Commitment of any Class (any such Revolving Credit Commitment being refinanced or replaced, a “</w:t>
      </w:r>
      <w:r>
        <w:rPr>
          <w:rFonts w:ascii="Times New Roman" w:cs="Times New Roman" w:eastAsia="Times New Roman" w:hAnsi="Times New Roman"/>
          <w:sz w:val="19"/>
          <w:szCs w:val="19"/>
          <w:u w:val="single" w:color="auto"/>
          <w:color w:val="auto"/>
        </w:rPr>
        <w:t>Replaced Revolving Facility</w:t>
      </w:r>
      <w:r>
        <w:rPr>
          <w:rFonts w:ascii="Times New Roman" w:cs="Times New Roman" w:eastAsia="Times New Roman" w:hAnsi="Times New Roman"/>
          <w:sz w:val="19"/>
          <w:szCs w:val="19"/>
          <w:color w:val="auto"/>
        </w:rPr>
        <w:t>”) with a replacement revolving facility and/or replacement term loans hereunder (a “</w:t>
      </w:r>
      <w:r>
        <w:rPr>
          <w:rFonts w:ascii="Times New Roman" w:cs="Times New Roman" w:eastAsia="Times New Roman" w:hAnsi="Times New Roman"/>
          <w:sz w:val="19"/>
          <w:szCs w:val="19"/>
          <w:u w:val="single" w:color="auto"/>
          <w:color w:val="auto"/>
        </w:rPr>
        <w:t>Revolver Replacement Facility</w:t>
      </w:r>
      <w:r>
        <w:rPr>
          <w:rFonts w:ascii="Times New Roman" w:cs="Times New Roman" w:eastAsia="Times New Roman" w:hAnsi="Times New Roman"/>
          <w:sz w:val="19"/>
          <w:szCs w:val="19"/>
          <w:color w:val="auto"/>
        </w:rPr>
        <w:t xml:space="preserve">”) pursuant to a Refinancing Amendment;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left="380" w:firstLine="754"/>
        <w:spacing w:after="0" w:line="244" w:lineRule="auto"/>
        <w:tabs>
          <w:tab w:leader="none" w:pos="152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maximum amount of any Revolver Replacement Facility shall not exceed the aggregate maximum amount of the commitments in respect of the relevant Replaced Revolving Facility plus (x) any additional amount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to the extent any such additional amount is secured, the related Lien is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(y) the amount of accrued interest, penalties and premium thereon, any committed but undrawn amounts and underwriting discounts, fees (including upfront fees, original issue discount or initial yield payments, commissions and expenses associated therewith and/or any underwriting discount, fees and/or initial yield payment associated with the applicable Revolver Replacement Facility);</w:t>
      </w:r>
    </w:p>
    <w:p>
      <w:pPr>
        <w:spacing w:after="0" w:line="185"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Revolver Replacement Facility may have a final maturity date (or require commitment reductions) prior to the final maturity date of the relevant Replaced Revolving Facility at the time of such refinancing;</w:t>
      </w:r>
    </w:p>
    <w:p>
      <w:pPr>
        <w:spacing w:after="0" w:line="155"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Revolving </w:t>
      </w:r>
      <w:r>
        <w:rPr>
          <w:rFonts w:ascii="Times New Roman" w:cs="Times New Roman" w:eastAsia="Times New Roman" w:hAnsi="Times New Roman"/>
          <w:sz w:val="20"/>
          <w:szCs w:val="20"/>
          <w:u w:val="single" w:color="auto"/>
          <w:color w:val="0000FF"/>
        </w:rPr>
        <w:t>Credit</w:t>
      </w:r>
      <w:r>
        <w:rPr>
          <w:rFonts w:ascii="Times New Roman" w:cs="Times New Roman" w:eastAsia="Times New Roman" w:hAnsi="Times New Roman"/>
          <w:sz w:val="20"/>
          <w:szCs w:val="20"/>
          <w:color w:val="auto"/>
        </w:rPr>
        <w:t xml:space="preserve"> Commitment in right of payment and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any then-existing Revolving </w:t>
      </w:r>
      <w:r>
        <w:rPr>
          <w:rFonts w:ascii="Times New Roman" w:cs="Times New Roman" w:eastAsia="Times New Roman" w:hAnsi="Times New Roman"/>
          <w:sz w:val="20"/>
          <w:szCs w:val="20"/>
          <w:u w:val="single" w:color="auto"/>
          <w:color w:val="0000FF"/>
        </w:rPr>
        <w:t>Credit</w:t>
      </w:r>
      <w:r>
        <w:rPr>
          <w:rFonts w:ascii="Times New Roman" w:cs="Times New Roman" w:eastAsia="Times New Roman" w:hAnsi="Times New Roman"/>
          <w:sz w:val="20"/>
          <w:szCs w:val="20"/>
          <w:color w:val="auto"/>
        </w:rPr>
        <w:t xml:space="preserve"> Commitment with respect to the Collateral or may be unsecured;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Revolver Replacement Facility that is (x) junior to the then-existing Revolving Credit Commitments in right of payment or security shall be subject to an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Revolver Replacement Facility is not in the form of a loan constituting First Lien Debt, such Revolver Replacement Facility will be documented pursuant to separate documentation from the Loan Documents;</w:t>
      </w:r>
    </w:p>
    <w:p>
      <w:pPr>
        <w:spacing w:after="0" w:line="183"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Revolver Replacement Facility that is secured may not be secured by any asset other than Collateral;</w:t>
      </w:r>
    </w:p>
    <w:p>
      <w:pPr>
        <w:spacing w:after="0" w:line="215" w:lineRule="exact"/>
        <w:rPr>
          <w:rFonts w:ascii="Times New Roman" w:cs="Times New Roman" w:eastAsia="Times New Roman" w:hAnsi="Times New Roman"/>
          <w:sz w:val="20"/>
          <w:szCs w:val="20"/>
          <w:color w:val="auto"/>
        </w:rPr>
      </w:pPr>
    </w:p>
    <w:p>
      <w:pPr>
        <w:ind w:left="380" w:right="40" w:firstLine="754"/>
        <w:spacing w:after="0" w:line="269" w:lineRule="auto"/>
        <w:tabs>
          <w:tab w:leader="none" w:pos="152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Revolver Replacement Facility that is guaranteed may not be guaranteed by any subsidiary of the Borrower other than one or more Loan Parties;</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if the relevant Revolver Replacement Facility is a revolving facility, such Revolver Replacement Facility may provide for the borrowing and repayment of Revolving Loans with respect to any Revolving Facility after the effective date of such Revolver Replacement Facility on a pro rata basis or a non-pro rata basis with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17" w:name="page218"/>
    <w:bookmarkEnd w:id="217"/>
    <w:p>
      <w:pPr>
        <w:jc w:val="both"/>
        <w:ind w:left="380"/>
        <w:spacing w:after="0" w:line="254" w:lineRule="auto"/>
        <w:rPr>
          <w:sz w:val="20"/>
          <w:szCs w:val="20"/>
          <w:color w:val="auto"/>
        </w:rPr>
      </w:pPr>
      <w:r>
        <w:rPr>
          <w:rFonts w:ascii="Times New Roman" w:cs="Times New Roman" w:eastAsia="Times New Roman" w:hAnsi="Times New Roman"/>
          <w:sz w:val="19"/>
          <w:szCs w:val="19"/>
          <w:color w:val="auto"/>
        </w:rPr>
        <w:t xml:space="preserve">Revolving Facilities (it being understood that any Revolver Replacement Facility that participates in borrowings on a pro rata basis with other Revolving Facilities shall participate in repayments on a pro rata basis with such Revolving Facilities and that in the event of any Revolver Replacement Facility that must participate in borrowings on a less than pro rata basis as compared to other Revolving Facilities, such Revolver Replacement Facility shall participate in repayments on a less than pro rata basis as compared to such other Revolving Facilities (in each case, except, in any case,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w:t>
      </w:r>
      <w:r>
        <w:rPr>
          <w:rFonts w:ascii="Times New Roman" w:cs="Times New Roman" w:eastAsia="Times New Roman" w:hAnsi="Times New Roman"/>
          <w:sz w:val="19"/>
          <w:szCs w:val="19"/>
          <w:u w:val="single" w:color="auto"/>
          <w:color w:val="auto"/>
        </w:rPr>
        <w:t>clause (3)</w:t>
      </w:r>
      <w:r>
        <w:rPr>
          <w:rFonts w:ascii="Times New Roman" w:cs="Times New Roman" w:eastAsia="Times New Roman" w:hAnsi="Times New Roman"/>
          <w:sz w:val="19"/>
          <w:szCs w:val="19"/>
          <w:color w:val="auto"/>
        </w:rPr>
        <w:t xml:space="preserve"> below))), (2) if the relevant Revolver Replacement Facility is a revolving facility, all Letters of Credit and Swingline Loans shall be participated on a pro rata basis by all Revolving Lenders, (3) if the relevant Revolver Replacement Facility is a revolving facility, any permanent repayment of Revolving Loans with respect to, and reduction and termination of Revolving Credit Commitments under, any Revolver Replacement Facility after the effective date of such Revolver Replacement Facility shall be made on a pro rata basis or a non-pro rata basis with all other Revolving Facilities (it being understood that a Revolver Replacement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Revolver Replacement Facility that must participate in borrowings on a less than pro rata basis with other Revolving Facilities, such Revolver Replacement Facility shall participate in permanent repayments of Revolving Loans with respect to, and reduction and termination of Revolving Credit Commitments under, such other Revolving Facility on a less than pro rata basis as compared to such other Revolving Facilities;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notwithstanding the foregoing, to the extent any such Revolving </w:t>
      </w:r>
      <w:r>
        <w:rPr>
          <w:rFonts w:ascii="Times New Roman" w:cs="Times New Roman" w:eastAsia="Times New Roman" w:hAnsi="Times New Roman"/>
          <w:sz w:val="19"/>
          <w:szCs w:val="19"/>
          <w:u w:val="single" w:color="auto"/>
          <w:color w:val="0000FF"/>
        </w:rPr>
        <w:t>Credit</w:t>
      </w:r>
      <w:r>
        <w:rPr>
          <w:rFonts w:ascii="Times New Roman" w:cs="Times New Roman" w:eastAsia="Times New Roman" w:hAnsi="Times New Roman"/>
          <w:sz w:val="19"/>
          <w:szCs w:val="19"/>
          <w:color w:val="auto"/>
        </w:rPr>
        <w:t xml:space="preserve"> Commitments are terminated in full and refinanced or replaced with another Revolver Replacement Facility or Replacement Debt, such Revolving </w:t>
      </w:r>
      <w:r>
        <w:rPr>
          <w:rFonts w:ascii="Times New Roman" w:cs="Times New Roman" w:eastAsia="Times New Roman" w:hAnsi="Times New Roman"/>
          <w:sz w:val="19"/>
          <w:szCs w:val="19"/>
          <w:u w:val="single" w:color="auto"/>
          <w:color w:val="0000FF"/>
        </w:rPr>
        <w:t>Credit</w:t>
      </w:r>
      <w:r>
        <w:rPr>
          <w:rFonts w:ascii="Times New Roman" w:cs="Times New Roman" w:eastAsia="Times New Roman" w:hAnsi="Times New Roman"/>
          <w:sz w:val="19"/>
          <w:szCs w:val="19"/>
          <w:color w:val="auto"/>
        </w:rPr>
        <w:t xml:space="preserve"> Commitments may be terminated on a greater than pro rata basis) and (4) if the relevant Revolver Replacement Facility is a term loan, it shall be subject to the “ratability” provisions applicable to Replacement Term Loans, consistent with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9.02(c)(i)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6" w:lineRule="exact"/>
        <w:rPr>
          <w:sz w:val="20"/>
          <w:szCs w:val="20"/>
          <w:color w:val="auto"/>
        </w:rPr>
      </w:pPr>
    </w:p>
    <w:p>
      <w:pPr>
        <w:jc w:val="both"/>
        <w:ind w:left="380" w:firstLine="754"/>
        <w:spacing w:after="0" w:line="249" w:lineRule="auto"/>
        <w:tabs>
          <w:tab w:leader="none" w:pos="152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have pricing (including “MFN” or other pricing terms), interest, fees, rate margins, rate floors, premiums (including prepayment premiums), funding discounts, and, subject to preceding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optional prepayment and redemption terms as the Borrower and the lenders providing such Revolver Replacement Facility may agree;</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8" w:lineRule="auto"/>
        <w:tabs>
          <w:tab w:leader="none" w:pos="1524"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other terms of any Revolver Replacement Facility (excluding as set forth above) shall be substantially consistent with the Replaced Revolving Facility (or any other then-existing Revolving Facility) or be reasonably satisfactory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terms and conditions shall be deemed to be satisfactory to the Administrative Agent so long as any such terms and conditions (i) (1) that are not substantially consistent with those applicable to the relevant Replaced Revolving Facility are applicable only to periods after the latest Maturity Date of such Replaced Revolving Facility (in each case, as of the date of implementation of such Revolver Replacement Facility), (2) are substantially identical to, or (taken as a whole) no more favorable (as determined by the Borrower in good faith) to the lenders providing such Revolver Replacement Facility than those applicable to the relevant Replaced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18" w:name="page219"/>
    <w:bookmarkEnd w:id="218"/>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 xml:space="preserve">(other than such terms to which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is applicable), (3) reflect then-current market terms and conditions (as determined by the Borrower in good faith) for the applicable type of Indebtedness or are reasonably acceptable to the Administrative Agent or (4) are more favorable to the lenders or the agent of such Revolver Replacement Facility than those contained in the Loan Documents and are then conformed (or added) to the Loan Documents pursuant to the applicable Refinancing Amendment) or (ii) in the case of a Revolver Replacement Facility that consists of replacement term loans, consistent with the provisions of </w:t>
      </w:r>
      <w:r>
        <w:rPr>
          <w:rFonts w:ascii="Times New Roman" w:cs="Times New Roman" w:eastAsia="Times New Roman" w:hAnsi="Times New Roman"/>
          <w:sz w:val="20"/>
          <w:szCs w:val="20"/>
          <w:u w:val="single" w:color="auto"/>
          <w:color w:val="auto"/>
        </w:rPr>
        <w:t>Section 9.02(c)(i)(H)</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500" w:right="20" w:firstLine="754"/>
        <w:spacing w:after="0" w:line="249" w:lineRule="auto"/>
        <w:tabs>
          <w:tab w:leader="none" w:pos="26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commitments in respect of the relevant Replaced Revolving Facility (or the relevant portion thereof) shall be terminated, and all loans outstanding in respect of such Replaced Revolving Facility and all accrued but unpaid interest and fees then due and payable in connection therewith shall be paid in full, in each case on the date any Revolver Replacement Facility is implemented; and</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Revolver Replacement Facility may be provided by any existing Lender and/or any other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in the case of any Revolver Replacement Facility that constitutes a revolving facility, any Issuing Bank) shall have a right to consent (such consent not to be unreasonably withheld, conditioned or delayed) to the relevant Person’s provision of a Revolver Replacement Facility if such consent would be required under </w:t>
      </w:r>
      <w:r>
        <w:rPr>
          <w:rFonts w:ascii="Times New Roman" w:cs="Times New Roman" w:eastAsia="Times New Roman" w:hAnsi="Times New Roman"/>
          <w:sz w:val="20"/>
          <w:szCs w:val="20"/>
          <w:u w:val="single" w:color="auto"/>
          <w:color w:val="auto"/>
        </w:rPr>
        <w:t>Section 9.05(b)</w:t>
      </w:r>
      <w:r>
        <w:rPr>
          <w:rFonts w:ascii="Times New Roman" w:cs="Times New Roman" w:eastAsia="Times New Roman" w:hAnsi="Times New Roman"/>
          <w:sz w:val="20"/>
          <w:szCs w:val="20"/>
          <w:color w:val="auto"/>
        </w:rPr>
        <w:t xml:space="preserve"> for an assignment of Loans to the relevant Person;</w:t>
      </w:r>
    </w:p>
    <w:p>
      <w:pPr>
        <w:spacing w:after="0" w:line="18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respect of each of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any Non-Debt Fund Affiliate and/or any Debt Fund Affiliate shall (x) be permitted without the consent of the Administrative Agent to provide any Class of Replacement Term Loans and/or any Revolver Replacement Facility in the form of a term loan, it being understood that in connection therewith, the relevant Non-Debt Fund Affiliate or Debt Fund Affiliate, as applicable, shall be subject to the restrictions applicable to such Person under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(y) no Non-Debt Fund Affiliate may provide any Revolver Replacement Facility in the form of revolving facility.</w:t>
      </w:r>
    </w:p>
    <w:p>
      <w:pPr>
        <w:spacing w:after="0" w:line="7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Each party hereto hereby agrees that this Agreement may be amended by the Borrower, the Administrative Agent and the lenders providing the relevant Class of Replacement Term Loans or the relevant Revolver Replacement Facility, as applicable, to the extent (but only to the extent) necessary to reflect the existence and terms of such Class of Replacement Term Loans or Revolver Replacement Facility, incurred or 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or any Revolver Replacement Facility, may elect or decline, in its sole discretion, to provide such Class of Replacement Term Loans or such Revolver Replacement Facility.</w:t>
      </w:r>
    </w:p>
    <w:p>
      <w:pPr>
        <w:spacing w:after="0" w:line="78" w:lineRule="exact"/>
        <w:rPr>
          <w:sz w:val="20"/>
          <w:szCs w:val="20"/>
          <w:color w:val="auto"/>
        </w:rPr>
      </w:pPr>
    </w:p>
    <w:p>
      <w:pPr>
        <w:ind w:firstLine="757"/>
        <w:spacing w:after="0" w:line="269" w:lineRule="auto"/>
        <w:tabs>
          <w:tab w:leader="none" w:pos="1145"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any other provision of this Agreement or any provision of any other Loan Document: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Administrative Agent may, without the input or consent of any Lender, amend, supplement and/or waive this Agreement and/or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9" w:name="page220"/>
    <w:bookmarkEnd w:id="219"/>
    <w:p>
      <w:pPr>
        <w:jc w:val="both"/>
        <w:ind w:left="-360" w:firstLine="745"/>
        <w:spacing w:after="0" w:line="243" w:lineRule="auto"/>
        <w:tabs>
          <w:tab w:leader="none" w:pos="7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and the Administrative Agent to (A) effect the provisions of </w:t>
      </w:r>
      <w:r>
        <w:rPr>
          <w:rFonts w:ascii="Times New Roman" w:cs="Times New Roman" w:eastAsia="Times New Roman" w:hAnsi="Times New Roman"/>
          <w:sz w:val="20"/>
          <w:szCs w:val="20"/>
          <w:u w:val="single" w:color="auto"/>
          <w:color w:val="auto"/>
        </w:rPr>
        <w:t>Sections 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or any other provision of this Agreement or any other Loan Document specifying that any waiver, amendment or modification may be made with the consent or approval of the Administrative Agent and/or (B) add terms (including representations and warranties, conditions, prepayments, covenants or events of default) that are favorable to the then-existing Lenders, as reasonably determined by the Administrative Agent (it being understood that, where applicable, any such amendment may be effectuated as part of an Incremental Facility Amendment, an Extension Amendment and/or a Refinancing Amendment),</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w:t>
      </w:r>
    </w:p>
    <w:p>
      <w:pPr>
        <w:spacing w:after="0" w:line="179" w:lineRule="exact"/>
        <w:rPr>
          <w:rFonts w:ascii="Times New Roman" w:cs="Times New Roman" w:eastAsia="Times New Roman" w:hAnsi="Times New Roman"/>
          <w:sz w:val="20"/>
          <w:szCs w:val="20"/>
          <w:color w:val="auto"/>
        </w:rPr>
      </w:pPr>
    </w:p>
    <w:p>
      <w:pPr>
        <w:ind w:left="-360" w:right="60" w:firstLine="745"/>
        <w:spacing w:after="0" w:line="269" w:lineRule="auto"/>
        <w:tabs>
          <w:tab w:leader="none" w:pos="7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Borrower may amend, restate, amend and restate or otherwise modify any Intercreditor Agreement and/or any other Additional Agreement as provided therein,</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amend the Commitment Schedule to reflect assignments entered into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Commitment reductions or terminations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implementations of Additional Commitments or incurrences of Additional Loans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and reductions or terminations of any such Additional Commitments or Additional Loans,</w:t>
      </w:r>
    </w:p>
    <w:p>
      <w:pPr>
        <w:spacing w:after="0" w:line="17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have any right to approve or disapprove any amendment, waiver or consent hereunder, except as permitted pursuant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63" w:lineRule="auto"/>
        <w:tabs>
          <w:tab w:leader="none" w:pos="784"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166" w:lineRule="exact"/>
        <w:rPr>
          <w:rFonts w:ascii="Times New Roman" w:cs="Times New Roman" w:eastAsia="Times New Roman" w:hAnsi="Times New Roman"/>
          <w:sz w:val="19"/>
          <w:szCs w:val="19"/>
          <w:color w:val="auto"/>
        </w:rPr>
      </w:pPr>
    </w:p>
    <w:p>
      <w:pPr>
        <w:jc w:val="both"/>
        <w:ind w:left="-360" w:firstLine="745"/>
        <w:spacing w:after="0" w:line="245" w:lineRule="auto"/>
        <w:tabs>
          <w:tab w:leader="none" w:pos="11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waiver or modification of any term or provision that solely affects Lenders under one or more Classes and does not directly and adversely affect Lenders under one or more other Classes (including any waiver or modification of any condition to any extension of credit under any Class of Commitments, pricing or other modification) may be effected with the consent of Lenders owning more than 50% of the aggregate commitments or Loans of such directly affected Class in lieu of the consent of the Required Lenders, so long as such amendment, waiver or modification is not of the type that would require the consent each Lender directly and adversely affected thereby or each Lender,</w:t>
      </w:r>
    </w:p>
    <w:p>
      <w:pPr>
        <w:spacing w:after="0" w:line="18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amended in the manner prescribed in </w:t>
      </w:r>
      <w:r>
        <w:rPr>
          <w:rFonts w:ascii="Times New Roman" w:cs="Times New Roman" w:eastAsia="Times New Roman" w:hAnsi="Times New Roman"/>
          <w:sz w:val="20"/>
          <w:szCs w:val="20"/>
          <w:u w:val="single" w:color="auto"/>
          <w:color w:val="auto"/>
        </w:rPr>
        <w:t>Sections 1.13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2.05(h)</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20" w:name="page221"/>
    <w:bookmarkEnd w:id="220"/>
    <w:p>
      <w:pPr>
        <w:jc w:val="both"/>
        <w:ind w:left="3" w:firstLine="745"/>
        <w:spacing w:after="0" w:line="243" w:lineRule="auto"/>
        <w:tabs>
          <w:tab w:leader="none" w:pos="1148"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amended in the manner prescribed in </w:t>
      </w:r>
      <w:r>
        <w:rPr>
          <w:rFonts w:ascii="Times New Roman" w:cs="Times New Roman" w:eastAsia="Times New Roman" w:hAnsi="Times New Roman"/>
          <w:sz w:val="20"/>
          <w:szCs w:val="20"/>
          <w:u w:val="single" w:color="auto"/>
          <w:color w:val="auto"/>
        </w:rPr>
        <w:t>Sections 2.22(i)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2.23(c)</w:t>
      </w:r>
      <w:r>
        <w:rPr>
          <w:rFonts w:ascii="Times New Roman" w:cs="Times New Roman" w:eastAsia="Times New Roman" w:hAnsi="Times New Roman"/>
          <w:sz w:val="20"/>
          <w:szCs w:val="20"/>
          <w:color w:val="auto"/>
        </w:rPr>
        <w:t>; it being understood and agreed that any such amendment may provide that with respect to any Class of Loans and/or Commitments that is structured as a “delayed draw” or similar facility, (i) any condition precedent to the funding of any Loan thereunder and/or (ii) any Event of Default arising as a result of any inaccuracy of any representation and/or warranty (including any certification) made in connection with the satisfaction of any such condition precedent, in each case, may be waived, amended or modified solely with the consent of a majority of the holders of such Loans and/or Commitments (or such other percentage of such holders as may be required in the amendment implementing such Class of Loans and/or Commitments (and without the consent of the Required Lenders or any other Lenders),</w:t>
      </w:r>
    </w:p>
    <w:p>
      <w:pPr>
        <w:spacing w:after="0" w:line="189" w:lineRule="exact"/>
        <w:rPr>
          <w:rFonts w:ascii="Times New Roman" w:cs="Times New Roman" w:eastAsia="Times New Roman" w:hAnsi="Times New Roman"/>
          <w:sz w:val="20"/>
          <w:szCs w:val="20"/>
          <w:color w:val="auto"/>
        </w:rPr>
      </w:pPr>
    </w:p>
    <w:p>
      <w:pPr>
        <w:ind w:left="3" w:right="20" w:firstLine="745"/>
        <w:spacing w:after="0" w:line="269" w:lineRule="auto"/>
        <w:tabs>
          <w:tab w:leader="none" w:pos="1148"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any “MFN” provision may be amended solely with the consent of the Borrower and the Required Lenders, and</w:t>
      </w:r>
    </w:p>
    <w:p>
      <w:pPr>
        <w:spacing w:after="0" w:line="159" w:lineRule="exact"/>
        <w:rPr>
          <w:rFonts w:ascii="Times New Roman" w:cs="Times New Roman" w:eastAsia="Times New Roman" w:hAnsi="Times New Roman"/>
          <w:sz w:val="20"/>
          <w:szCs w:val="20"/>
          <w:color w:val="auto"/>
        </w:rPr>
      </w:pPr>
    </w:p>
    <w:p>
      <w:pPr>
        <w:jc w:val="both"/>
        <w:ind w:left="3" w:right="20" w:firstLine="745"/>
        <w:spacing w:after="0" w:line="254" w:lineRule="auto"/>
        <w:tabs>
          <w:tab w:leader="none" w:pos="1148"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Required Lenders, without the consent of any other Lender, may (A) rescind any acceleration of the Loans and/or any other Obligation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hereof and/or (B) agree that the Administrative Agent and the Lenders will forbear from exercising any remedy provided under any Loan Document with respect to any Event of Default.</w:t>
      </w:r>
    </w:p>
    <w:p>
      <w:pPr>
        <w:spacing w:after="0" w:line="174"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that: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148"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in connection with any determination as to whether the Required Lenders or Required Revolving Lenders, as applicable,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Arranger, Revolving Lender or Lender that is a Regulated Bank or an affiliate of any such Arranger, Revolving Lender or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shall, unless the Borrower otherwise elects (in its sole discretion), have no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187"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148"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and/or any other Loan Party or any instrument issued or guaranteed by the Borrower and/or any other Loan Party shall not be deemed to create a short position with respect to the Loans and/or Commitments,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 (iv) derivative transactions that are documented using 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21" w:name="page222"/>
    <w:bookmarkEnd w:id="221"/>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2014 ISDA Credit Derivatives Definitions or the 2003 ISDA Credit Derivatives Definitions (collectively, the “</w:t>
      </w:r>
      <w:r>
        <w:rPr>
          <w:rFonts w:ascii="Times New Roman" w:cs="Times New Roman" w:eastAsia="Times New Roman" w:hAnsi="Times New Roman"/>
          <w:sz w:val="20"/>
          <w:szCs w:val="20"/>
          <w:u w:val="single" w:color="auto"/>
          <w:color w:val="auto"/>
        </w:rPr>
        <w:t>ISDA CDS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shall be deemed to create a short position with respect to the Loans and/or Commitments if such Lender is a protection buyer or the equivalent thereof for such derivative transaction and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and/or any other Loan Party is designated as a “Reference Entity” under the terms of such derivative transactions, and (v) credit derivative transactions or other derivative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the Borrower and/or any other Loan Party other than, in each case, as part of an index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w:t>
      </w:r>
    </w:p>
    <w:p>
      <w:pPr>
        <w:spacing w:after="0" w:line="196" w:lineRule="exact"/>
        <w:rPr>
          <w:sz w:val="20"/>
          <w:szCs w:val="20"/>
          <w:color w:val="auto"/>
        </w:rPr>
      </w:pPr>
    </w:p>
    <w:p>
      <w:pPr>
        <w:jc w:val="both"/>
        <w:ind w:left="760" w:firstLine="745"/>
        <w:spacing w:after="0" w:line="249" w:lineRule="auto"/>
        <w:tabs>
          <w:tab w:leader="none" w:pos="190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deemed effective, no amendment or waiver of any provision of this Agreement or any other Loan Document or any departure by any Loan Party therefrom shall be deemed to be invalid on the basis that a consenting Lender is determined to be a Net Short Lender after the effective date of such amendment or waiver.</w:t>
      </w:r>
    </w:p>
    <w:p>
      <w:pPr>
        <w:spacing w:after="0" w:line="174"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The Administrative Agent shall not be responsible or have any liability for, or have any duty to ascertain, inquire into, monitor or enforce, compliance with the provisions of this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 Without limiting the generality of the foregoing, the Administrative Agent shall not (x) be obligated to ascertain, monitor or inquire as to whether any Lender or participant or prospective Lender or participant is a Net Short Lender or (y) have any liability with respect to or arising out of the voting in any amendment or waiver to any Loan Document by any Net Short Lender.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9.03.  Expenses;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151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 (ii) without duplication of the obligation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forth in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 xml:space="preserve">, all reasonable and documented out-of-pocket expenses incurred by the Administrative Agent, the Arrangers, the Issuing Banks or the Lenders or any of their respective Affiliates (but limited (x)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(and solely in the case of a conflict of interest, (A) one additional counsel to all affected Persons, taken as a whole, and (B) one additional local counsel in any such jurisdiction to all affected Persons, taken as a whole), and (y) in the case of other third party advisors, to the actual reasonable and documented out-of-pocket fees, disbursements and other charges of only third party advisors the engagement of whom has been approved by the Borrower (such approval not to be unreasonably withheld, delayed or conditioned) in writing)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74" w:lineRule="exact"/>
        <w:rPr>
          <w:sz w:val="20"/>
          <w:szCs w:val="20"/>
          <w:color w:val="auto"/>
        </w:rPr>
      </w:pPr>
    </w:p>
    <w:p>
      <w:pPr>
        <w:jc w:val="both"/>
        <w:ind w:firstLine="757"/>
        <w:spacing w:after="0"/>
        <w:tabs>
          <w:tab w:leader="none" w:pos="1145"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each Arranger, the Administrative Agent, each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and liabilities (but limited, in the case of any such loss, claim, damage and/or liability constituting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w:t>
      </w:r>
      <w:r>
        <w:rPr>
          <w:rFonts w:ascii="Times New Roman" w:cs="Times New Roman" w:eastAsia="Times New Roman" w:hAnsi="Times New Roman"/>
          <w:sz w:val="20"/>
          <w:szCs w:val="20"/>
          <w:u w:val="single" w:color="auto"/>
          <w:color w:val="0000FF"/>
        </w:rPr>
        <w:t>(including, without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limitation, the Indemnitee’s reliance on any Communication executed using an Electronic Signature, or in the form of an Electronic Record)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a third party or by or against the Borrower, any other Loan Party or any of their respective Affiliates);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(or such Person’s Related Party’s) material breach of the Loan Documents (other than, with the written consent of the Borrower in its sole discretion, the Administrative Agent, in its capacity as such, in respect of obligations not owed to the Loan Parties) or (ii) 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the Borrower or any of its subsidiaries. Each Indemnitee shall be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3" w:name="page224"/>
    <w:bookmarkEnd w:id="22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refund or return any and all amounts paid by the Borrower pursuant to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to such Indemnitee for any fees, expenses, or damages to the extent such Indemnitee is not entitled to payment thereof in accordance with the terms hereof. Any amount due under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reasonable backup documentation supporting the relevant reimbursement request.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not apply to Taxes other than any Taxes that represent losses, claims, damages or liabilities in respect of a non-Tax claim.</w:t>
      </w:r>
    </w:p>
    <w:p>
      <w:pPr>
        <w:spacing w:after="0" w:line="186" w:lineRule="exact"/>
        <w:rPr>
          <w:sz w:val="20"/>
          <w:szCs w:val="20"/>
          <w:color w:val="auto"/>
        </w:rPr>
      </w:pPr>
    </w:p>
    <w:p>
      <w:pPr>
        <w:jc w:val="both"/>
        <w:ind w:firstLine="757"/>
        <w:spacing w:after="0" w:line="258" w:lineRule="auto"/>
        <w:tabs>
          <w:tab w:leader="none" w:pos="1145"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be liable for any settlement of any proceeding effected without its written consent (which consent shall not be unreasonably withheld, delayed or conditioned) or any other losses, claims, damages, liabilities and/or expenses incurred in connection therewith,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9.04. Waiver of Claim. To the extent permitted by applicable Requirements of Law, no party to this Agreement nor any Secured Party shall assert, and each hereby waives on behalf of itself and its Related Parties,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and in accordance with, the terms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-904240</wp:posOffset>
            </wp:positionV>
            <wp:extent cx="9455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9.05.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12877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42" w:lineRule="auto"/>
        <w:tabs>
          <w:tab w:leader="none" w:pos="1145"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permitted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except as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(other than an assignment or transfer to a Disqualified Institution, which shall be subject to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permitted assigns, to the extent provided in </w:t>
      </w:r>
      <w:r>
        <w:rPr>
          <w:rFonts w:ascii="Times New Roman" w:cs="Times New Roman" w:eastAsia="Times New Roman" w:hAnsi="Times New Roman"/>
          <w:sz w:val="20"/>
          <w:szCs w:val="20"/>
          <w:u w:val="single" w:color="auto"/>
          <w:color w:val="auto"/>
        </w:rPr>
        <w:t>Section 9.05(c)</w:t>
      </w:r>
      <w:r>
        <w:rPr>
          <w:rFonts w:ascii="Times New Roman" w:cs="Times New Roman" w:eastAsia="Times New Roman" w:hAnsi="Times New Roman"/>
          <w:sz w:val="20"/>
          <w:szCs w:val="20"/>
          <w:color w:val="auto"/>
        </w:rPr>
        <w:t>), Participants and, to the extent expressly contemplated hereby, the Related Parties of each of the Arrangers, the Administrative Agent, the Issuing Banks and the Lenders) any legal or equitable right, remedy or claim under or by reason of this Agreement.</w:t>
      </w:r>
    </w:p>
    <w:p>
      <w:pPr>
        <w:spacing w:after="0" w:line="192"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Eligible Assignees all or a portion of its rights and obligations under this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spacing w:after="0" w:line="269" w:lineRule="auto"/>
        <w:rPr>
          <w:sz w:val="20"/>
          <w:szCs w:val="20"/>
          <w:color w:val="auto"/>
        </w:rPr>
      </w:pPr>
      <w:r>
        <w:rPr>
          <w:rFonts w:ascii="Times New Roman" w:cs="Times New Roman" w:eastAsia="Times New Roman" w:hAnsi="Times New Roman"/>
          <w:sz w:val="20"/>
          <w:szCs w:val="20"/>
          <w:color w:val="auto"/>
        </w:rPr>
        <w:t xml:space="preserve">all or a portion of any Loan or Additional Commitment added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at the time owing to it) with the prior written consent of:</w:t>
      </w:r>
    </w:p>
    <w:p>
      <w:pPr>
        <w:spacing w:after="0" w:line="159" w:lineRule="exact"/>
        <w:rPr>
          <w:sz w:val="20"/>
          <w:szCs w:val="20"/>
          <w:color w:val="auto"/>
        </w:rPr>
      </w:pPr>
    </w:p>
    <w:p>
      <w:pPr>
        <w:jc w:val="both"/>
        <w:ind w:left="1500" w:firstLine="754"/>
        <w:spacing w:after="0" w:line="256" w:lineRule="auto"/>
        <w:tabs>
          <w:tab w:leader="none" w:pos="2644" w:val="left"/>
        </w:tabs>
        <w:numPr>
          <w:ilvl w:val="1"/>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(such consent not to be unreasonably withheld, conditioned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the Borrower shall be deemed to have consented to any assignment of Term Loans (other than any assignment to any Disqualified Institution or any natural person (or any holding company, investment vehicle or trust for, or owned and operated by, or for the primary benefit of, one or more natural persons)) unless it has objected thereto by written notice to the Administrative Agent within 10 Business Days after receipt by the Borrower of a written notice for consent thereto and</w:t>
      </w:r>
    </w:p>
    <w:p>
      <w:pPr>
        <w:spacing w:after="0" w:line="4" w:lineRule="exact"/>
        <w:rPr>
          <w:rFonts w:ascii="Times New Roman" w:cs="Times New Roman" w:eastAsia="Times New Roman" w:hAnsi="Times New Roman"/>
          <w:sz w:val="19"/>
          <w:szCs w:val="19"/>
          <w:color w:val="auto"/>
        </w:rPr>
      </w:pPr>
    </w:p>
    <w:p>
      <w:pPr>
        <w:jc w:val="both"/>
        <w:ind w:left="1500" w:firstLine="5"/>
        <w:spacing w:after="0"/>
        <w:tabs>
          <w:tab w:leader="none" w:pos="178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shall not be required for any assignment of (1) Term Loans or Term Commitments to any Term Lender or any Affiliate of any Term Lender or an Approved Fund, (2) at any time when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or (3) of Revolving Loans or Revolving Credit Commitments to any other Revolving Lender; it being understood and agreed that the Borrower may withhold its consent (in its sole discretion) to any assignment to any Person that is known by it to be an Affiliate of a Disqualified Institution and/or an Affiliate of a Competitor (other than a Competitor Debt Fund Affiliate, unless the Borrower has other reasonable grounds on which to withhold its consent);</w:t>
      </w:r>
    </w:p>
    <w:p>
      <w:pPr>
        <w:spacing w:after="0" w:line="190"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consent of the Administrative Agent shall be required for any assignment to another Lender, any Affiliate of a Lender or any Approved Fund;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Revolving Facility, each Issuing Bank and the Swingline Lender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consent of any Issuing Bank or the Swingline Lender shall be required for any assignment to a Revolving Lender or an Affiliate of a Revolving Lender.</w:t>
      </w:r>
    </w:p>
    <w:p>
      <w:pPr>
        <w:spacing w:after="0" w:line="174" w:lineRule="exact"/>
        <w:rPr>
          <w:sz w:val="20"/>
          <w:szCs w:val="20"/>
          <w:color w:val="auto"/>
        </w:rPr>
      </w:pPr>
    </w:p>
    <w:p>
      <w:pPr>
        <w:ind w:left="1900" w:hanging="395"/>
        <w:spacing w:after="0"/>
        <w:tabs>
          <w:tab w:leader="none" w:pos="19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(x) $1,000,000 in the case of Term Loans and Term Commitments or (y) $5,000,000 in the case of Revolving Loans and Revolving Credit Commitments, in each case unless the Borrower and the Administrative Agent otherwise consent;</w:t>
      </w:r>
    </w:p>
    <w:p>
      <w:pPr>
        <w:spacing w:after="0" w:line="18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partial assignment shall be made as an assignment of a proportionate part of all the relevant assigning Lender’s rights and obligations under this Agreement;</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ind w:left="380"/>
        <w:spacing w:after="0"/>
        <w:rPr>
          <w:sz w:val="20"/>
          <w:szCs w:val="20"/>
          <w:color w:val="auto"/>
        </w:rPr>
      </w:pPr>
      <w:r>
        <w:rPr>
          <w:rFonts w:ascii="Times New Roman" w:cs="Times New Roman" w:eastAsia="Times New Roman" w:hAnsi="Times New Roman"/>
          <w:sz w:val="20"/>
          <w:szCs w:val="20"/>
          <w:color w:val="auto"/>
        </w:rPr>
        <w:t>fee of $3,500 (which fee may be waived or reduced in the sole discretion of the Administrative Agent); and</w:t>
      </w:r>
    </w:p>
    <w:p>
      <w:pPr>
        <w:spacing w:after="0" w:line="216" w:lineRule="exact"/>
        <w:rPr>
          <w:sz w:val="20"/>
          <w:szCs w:val="20"/>
          <w:color w:val="auto"/>
        </w:rPr>
      </w:pPr>
    </w:p>
    <w:p>
      <w:pPr>
        <w:jc w:val="both"/>
        <w:ind w:left="380" w:right="20" w:firstLine="754"/>
        <w:spacing w:after="0" w:line="254" w:lineRule="auto"/>
        <w:tabs>
          <w:tab w:leader="none" w:pos="1524"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relevant Eligible Assignee, if it is not a Lender, shall deliver on or prior to the effective date of such assignment, to the Administrative Agent (1) an Administrative Questionnaire and (2) any IRS form required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78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acceptance and recording thereof pursuant to </w:t>
      </w:r>
      <w:r>
        <w:rPr>
          <w:rFonts w:ascii="Times New Roman" w:cs="Times New Roman" w:eastAsia="Times New Roman" w:hAnsi="Times New Roman"/>
          <w:sz w:val="20"/>
          <w:szCs w:val="20"/>
          <w:u w:val="single" w:color="auto"/>
          <w:color w:val="auto"/>
        </w:rPr>
        <w:t>paragraph (b)(iv)</w:t>
      </w:r>
      <w:r>
        <w:rPr>
          <w:rFonts w:ascii="Times New Roman" w:cs="Times New Roman" w:eastAsia="Times New Roman" w:hAnsi="Times New Roman"/>
          <w:sz w:val="20"/>
          <w:szCs w:val="20"/>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with respect to facts and circumstances occurring on or prior to the effective date of such assignment and (B) subject to its obligations thereunder and under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97"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in the US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w:t>
      </w:r>
    </w:p>
    <w:p>
      <w:pPr>
        <w:spacing w:after="0" w:line="192"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Times New Roman" w:cs="Times New Roman" w:eastAsia="Times New Roman" w:hAnsi="Times New Roman"/>
          <w:sz w:val="20"/>
          <w:szCs w:val="20"/>
          <w:u w:val="single" w:color="auto"/>
          <w:color w:val="auto"/>
        </w:rPr>
        <w:t>Section 9.05(b)(ii)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(D)(2)</w:t>
      </w:r>
      <w:r>
        <w:rPr>
          <w:rFonts w:ascii="Times New Roman" w:cs="Times New Roman" w:eastAsia="Times New Roman" w:hAnsi="Times New Roman"/>
          <w:sz w:val="20"/>
          <w:szCs w:val="20"/>
          <w:color w:val="auto"/>
        </w:rPr>
        <w:t xml:space="preserve"> (unless the assignee is already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if applicable, and any written consent to the relevant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and delivering an Assignment Agreement, the assigning Lender and the Eligible Assignee thereunder shall be deemed to confirm and agree with each other and the other parties hereto as follows: (A) the assigning Lender warrants that it is the legal and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26" w:name="page227"/>
    <w:bookmarkEnd w:id="226"/>
    <w:p>
      <w:pPr>
        <w:jc w:val="both"/>
        <w:ind w:left="760"/>
        <w:spacing w:after="0" w:line="254" w:lineRule="auto"/>
        <w:rPr>
          <w:sz w:val="20"/>
          <w:szCs w:val="20"/>
          <w:color w:val="auto"/>
        </w:rPr>
      </w:pPr>
      <w:r>
        <w:rPr>
          <w:rFonts w:ascii="Times New Roman" w:cs="Times New Roman" w:eastAsia="Times New Roman" w:hAnsi="Times New Roman"/>
          <w:sz w:val="19"/>
          <w:szCs w:val="19"/>
          <w:color w:val="auto"/>
        </w:rPr>
        <w:t xml:space="preserve">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(1) an Eligible Assignee and (2) not a Disqualified Institution or an Affiliate of any Disqualified Institution, legally authorized to enter into such Assignment Agreement; (D) the assignee confirms that it has received a copy of this Agreement and each applicable Intercreditor Agreement, together with copies of the financial statements referred to in </w:t>
      </w:r>
      <w:r>
        <w:rPr>
          <w:rFonts w:ascii="Times New Roman" w:cs="Times New Roman" w:eastAsia="Times New Roman" w:hAnsi="Times New Roman"/>
          <w:sz w:val="19"/>
          <w:szCs w:val="19"/>
          <w:u w:val="single" w:color="auto"/>
          <w:color w:val="auto"/>
        </w:rPr>
        <w:t>Section 4.01(c)</w:t>
      </w:r>
      <w:r>
        <w:rPr>
          <w:rFonts w:ascii="Times New Roman" w:cs="Times New Roman" w:eastAsia="Times New Roman" w:hAnsi="Times New Roman"/>
          <w:sz w:val="19"/>
          <w:szCs w:val="19"/>
          <w:color w:val="auto"/>
        </w:rPr>
        <w:t xml:space="preserve"> or the most recent financial statements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spacing w:after="0" w:line="183" w:lineRule="exact"/>
        <w:rPr>
          <w:sz w:val="20"/>
          <w:szCs w:val="20"/>
          <w:color w:val="auto"/>
        </w:rPr>
      </w:pPr>
    </w:p>
    <w:p>
      <w:pPr>
        <w:jc w:val="both"/>
        <w:ind w:firstLine="757"/>
        <w:spacing w:after="0" w:line="241" w:lineRule="auto"/>
        <w:tabs>
          <w:tab w:leader="none" w:pos="1145"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Lender may, without the consent of the Borrower (solely in the case of any participation in any Lender’s rights and obligations with respect to any Term Loan), the Administrative Agent, any Issuing Bank or any other Lender, sell participations to any bank or other entity (other than to any Disqualified Institution, any natural person (or any holding company, investment vehicle or trust for, or owned and operated by, or for the primary benefit of, one or more natural persons) or, other than with respect to any participation to any Debt Fund Affiliate (any such participations to a Debt Fund Affiliate being subject to the limitation set forth in the first proviso of the final paragraph set forth in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as if the limitation applied to such participations), the Borrower or any of its Affiliates)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the consent of the Borrower will be required for any participation of any rights or obligations (including any Loan or Commitment) of any Lender under or in respect of the Revolving Facility;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relevant Participant, agree to any amendment, modification or waiver described in (x)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directly and adversely affects the Loans or commitments in which such Participant has an interest and (y) </w:t>
      </w:r>
      <w:r>
        <w:rPr>
          <w:rFonts w:ascii="Times New Roman" w:cs="Times New Roman" w:eastAsia="Times New Roman" w:hAnsi="Times New Roman"/>
          <w:sz w:val="20"/>
          <w:szCs w:val="20"/>
          <w:u w:val="single" w:color="auto"/>
          <w:color w:val="auto"/>
        </w:rPr>
        <w:t>clauses (B)(1)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of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it being understood and agreed that no Lender may enter into any agreement or other arrangement with any Participant that provides such Participant with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to agree to or approve (or direct such Lender to agree, approve, consent or not to agree, approve or consent) any other amendment, modification or waiver in respect of any Loan Document, and any such agreement or arrangement shall be deemed to be null and void and of no force or effect. Subject to </w:t>
      </w:r>
      <w:r>
        <w:rPr>
          <w:rFonts w:ascii="Times New Roman" w:cs="Times New Roman" w:eastAsia="Times New Roman" w:hAnsi="Times New Roman"/>
          <w:sz w:val="20"/>
          <w:szCs w:val="20"/>
          <w:u w:val="single" w:color="auto"/>
          <w:color w:val="auto"/>
        </w:rPr>
        <w:t>paragraph (c)(ii)</w:t>
      </w:r>
      <w:r>
        <w:rPr>
          <w:rFonts w:ascii="Times New Roman" w:cs="Times New Roman" w:eastAsia="Times New Roman" w:hAnsi="Times New Roman"/>
          <w:sz w:val="20"/>
          <w:szCs w:val="20"/>
          <w:color w:val="auto"/>
        </w:rPr>
        <w:t xml:space="preserve"> 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 limitations and requirements of such Sections and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it being understood that the documentation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 delivered to the participating Lender, and if additional amounts are required to be paid pursuant to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xml:space="preserve">, to the Borrower and the Administrative Agent). To the extent permitted by applicable Requirements of Law, each Participant also shall be entitled to the benefits of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shall be subject to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as though it were a Lender.</w:t>
      </w:r>
    </w:p>
    <w:p>
      <w:pPr>
        <w:spacing w:after="0" w:line="186" w:lineRule="exact"/>
        <w:rPr>
          <w:sz w:val="20"/>
          <w:szCs w:val="20"/>
          <w:color w:val="auto"/>
        </w:rPr>
      </w:pPr>
    </w:p>
    <w:p>
      <w:pPr>
        <w:jc w:val="both"/>
        <w:ind w:left="760" w:firstLine="745"/>
        <w:spacing w:after="0" w:line="246" w:lineRule="auto"/>
        <w:tabs>
          <w:tab w:leader="none" w:pos="190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Participant shall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than the participating Lender would have been entitled to receive with respect to the participation sold to such Participant unless the participation is made with the prior written consent of the Borrower (in its sole discretion), expressly acknowledging that such Participant’s entitlement to benefits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is not limited to what the participating Lender would have been entitled to receive absent the grant to such Participant.</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Each Lender that sells a participation or makes a grant to an SPC (as defined in </w:t>
      </w:r>
      <w:r>
        <w:rPr>
          <w:rFonts w:ascii="Times New Roman" w:cs="Times New Roman" w:eastAsia="Times New Roman" w:hAnsi="Times New Roman"/>
          <w:sz w:val="20"/>
          <w:szCs w:val="20"/>
          <w:u w:val="single" w:color="auto"/>
          <w:color w:val="auto"/>
        </w:rPr>
        <w:t>Section 9.05(e)</w:t>
      </w:r>
      <w:r>
        <w:rPr>
          <w:rFonts w:ascii="Times New Roman" w:cs="Times New Roman" w:eastAsia="Times New Roman" w:hAnsi="Times New Roman"/>
          <w:sz w:val="20"/>
          <w:szCs w:val="20"/>
          <w:color w:val="auto"/>
        </w:rPr>
        <w:t>) shall, acting solely for this purpose as a non-fiduciary agent of the Borrower, maintain a register on which it enters the name and address of each Participant and each SPC and their respective successors and registered assigns, and the principal of and interest amounts on each Participant’s and each SPC’s interest in the Loans or other obligations under the Loan Documents (a “</w:t>
      </w:r>
      <w:r>
        <w:rPr>
          <w:rFonts w:ascii="Times New Roman" w:cs="Times New Roman" w:eastAsia="Times New Roman" w:hAnsi="Times New Roman"/>
          <w:sz w:val="20"/>
          <w:szCs w:val="20"/>
          <w:u w:val="single" w:color="auto"/>
          <w:color w:val="auto"/>
        </w:rPr>
        <w:t>Participant/SPC Register</w:t>
      </w:r>
      <w:r>
        <w:rPr>
          <w:rFonts w:ascii="Times New Roman" w:cs="Times New Roman" w:eastAsia="Times New Roman" w:hAnsi="Times New Roman"/>
          <w:sz w:val="20"/>
          <w:szCs w:val="20"/>
          <w:color w:val="auto"/>
        </w:rPr>
        <w:t>”); provided that no Lender shall have any obligation to disclose all or any portion of any Participant/SPC Register (including the identity of any Participant or SPC or any information relating to any Participant’s or SPC’s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or Proposed Section 1.163-5(b) of the Treasury Regulations (or any amended or successor version). The entries in the Participant/SPC Register shall be conclusive absent manifest error, and each Lender shall treat each Person whose name is recorded in the Participant/SPC Register as the owner of such participation for all purposes of this Agreement notwithstanding any notice to the contrary. For the avoidance of doubt, the Administrative Agent (in its capacity as Administrative Agent) shall have no responsibility for maintaining a Participant/SPC Register.</w:t>
      </w:r>
    </w:p>
    <w:p>
      <w:pPr>
        <w:spacing w:after="0" w:line="79" w:lineRule="exact"/>
        <w:rPr>
          <w:sz w:val="20"/>
          <w:szCs w:val="20"/>
          <w:color w:val="auto"/>
        </w:rPr>
      </w:pPr>
    </w:p>
    <w:p>
      <w:pPr>
        <w:jc w:val="both"/>
        <w:ind w:firstLine="757"/>
        <w:spacing w:after="0" w:line="244" w:lineRule="auto"/>
        <w:tabs>
          <w:tab w:leader="none" w:pos="1145"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Lender may at any time pledge or assign a security interest in all or any portion of its rights under this Agreement (other than to any Disqualified Institution or any natural person (or any holding company, investment vehicle or trust for, or owned and operated by, or for the primary benefit of, one or more natural persons)) to secure obligations of such Lender, including without limitation any pledge or assignment to secure obligations to any Federal Reserve Bank or other central bank having jurisdiction over such Lender, and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any Lender from any of its obligations hereunder or substitute any such pledgee or assignee for such Lender as a party hereto.</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Lender </w:t>
      </w:r>
      <w:r>
        <w:rPr>
          <w:rFonts w:ascii="Times New Roman" w:cs="Times New Roman" w:eastAsia="Times New Roman" w:hAnsi="Times New Roman"/>
          <w:sz w:val="20"/>
          <w:szCs w:val="20"/>
          <w:u w:val="single" w:color="auto"/>
          <w:color w:val="0000FF"/>
        </w:rPr>
        <w:t>(other than any Arranger, Revolving Lender or Lender that is a Regulated Bank or an affiliate of any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Arranger, Revolving Lender or Lender)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may at any time enter into a total return swap, total rate of return swap, credit default swap</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other derivative instrument under which any Secured Obligation is a reference obligation (any such swap or other derivative instrument, an “</w:t>
      </w:r>
      <w:r>
        <w:rPr>
          <w:rFonts w:ascii="Times New Roman" w:cs="Times New Roman" w:eastAsia="Times New Roman" w:hAnsi="Times New Roman"/>
          <w:sz w:val="20"/>
          <w:szCs w:val="20"/>
          <w:u w:val="single" w:color="auto"/>
          <w:color w:val="000000"/>
        </w:rPr>
        <w:t>Obligations Derivative Instrument</w:t>
      </w:r>
      <w:r>
        <w:rPr>
          <w:rFonts w:ascii="Times New Roman" w:cs="Times New Roman" w:eastAsia="Times New Roman" w:hAnsi="Times New Roman"/>
          <w:sz w:val="20"/>
          <w:szCs w:val="20"/>
          <w:color w:val="000000"/>
        </w:rPr>
        <w:t>”) with any counterparty that is a Disqualified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8" w:name="page229"/>
    <w:bookmarkEnd w:id="228"/>
    <w:p>
      <w:pPr>
        <w:jc w:val="both"/>
        <w:ind w:firstLine="757"/>
        <w:spacing w:after="0"/>
        <w:tabs>
          <w:tab w:leader="none" w:pos="114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any Lender (a “</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may grant to a special purpose funding vehicle (an “</w:t>
      </w:r>
      <w:r>
        <w:rPr>
          <w:rFonts w:ascii="Times New Roman" w:cs="Times New Roman" w:eastAsia="Times New Roman" w:hAnsi="Times New Roman"/>
          <w:sz w:val="20"/>
          <w:szCs w:val="20"/>
          <w:u w:val="single" w:color="auto"/>
          <w:color w:val="auto"/>
        </w:rPr>
        <w:t>SPC</w:t>
      </w:r>
      <w:r>
        <w:rPr>
          <w:rFonts w:ascii="Times New Roman" w:cs="Times New Roman" w:eastAsia="Times New Roman" w:hAnsi="Times New Roman"/>
          <w:sz w:val="20"/>
          <w:szCs w:val="20"/>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no SPC shall be entitled to any greater amount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203"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assignment, participation, entry into an Obligations Derivative Instrument or pledge by a Lender (A) to or with any Disqualified Institution or (B) in the case of any assignment and/or participation, without the Borrower’s consent to the extent the Borrower’s consent is required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 if applicable, not deemed to have been given pursuant to </w:t>
      </w:r>
      <w:r>
        <w:rPr>
          <w:rFonts w:ascii="Times New Roman" w:cs="Times New Roman" w:eastAsia="Times New Roman" w:hAnsi="Times New Roman"/>
          <w:sz w:val="20"/>
          <w:szCs w:val="20"/>
          <w:u w:val="single" w:color="auto"/>
          <w:color w:val="auto"/>
        </w:rPr>
        <w:t>Section 9.05(b)(i)(A)</w:t>
      </w:r>
      <w:r>
        <w:rPr>
          <w:rFonts w:ascii="Times New Roman" w:cs="Times New Roman" w:eastAsia="Times New Roman" w:hAnsi="Times New Roman"/>
          <w:sz w:val="20"/>
          <w:szCs w:val="20"/>
          <w:color w:val="auto"/>
        </w:rPr>
        <w:t xml:space="preserve">), in each case, to any Person shall be null and void unless, solely in the case of any assignment, solely to the extent that there has been any subsequent assignment by a Disqualified Institution or any such other Person to an Eligible Assignee that complies with the requirements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9.05(b)</w:t>
      </w:r>
      <w:r>
        <w:rPr>
          <w:rFonts w:ascii="Times New Roman" w:cs="Times New Roman" w:eastAsia="Times New Roman" w:hAnsi="Times New Roman"/>
          <w:sz w:val="20"/>
          <w:szCs w:val="20"/>
          <w:color w:val="auto"/>
        </w:rPr>
        <w:t xml:space="preserve">, in which case such subsequent assignment will be deemed to be a valid and enforceable assignment for the purposes hereof; and Holdings and the Borrower shall each be entitled to seek specific performance to unwind any such assignment, participation, Obligations Derivative Instrument or pledge and/or specifically enforce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in addition to injunctive relief (without posting a bond or presenting evidence of irreparable harm) or any other remedy available to the Borrower at law or in equity; it being understood and agreed that the Borrower, Holdings and its subsidiaries will suffer irreparable harm if any Lender breaches any obligation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participation of, or pledge or assignment of a security interest in, any Loan or Commitment to any Person to whom the Borrower’s consent is required but not obtained. Nothing in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shall be deemed to prejudice any right or remedy that Holdings or the Borrower may otherwise have at law or equity. The Administrative Agent may make the list of Disqualified Institutions available on a confidential basis in accordance with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solely for the purpose of permitting such Person to verify whether such Person (or any Affiliate thereof) constitutes a Disqualified Institution.</w:t>
      </w:r>
    </w:p>
    <w:p>
      <w:pPr>
        <w:spacing w:after="0" w:line="186" w:lineRule="exact"/>
        <w:rPr>
          <w:sz w:val="20"/>
          <w:szCs w:val="20"/>
          <w:color w:val="auto"/>
        </w:rPr>
      </w:pPr>
    </w:p>
    <w:p>
      <w:pPr>
        <w:jc w:val="both"/>
        <w:ind w:left="760" w:firstLine="745"/>
        <w:spacing w:after="0"/>
        <w:tabs>
          <w:tab w:leader="none" w:pos="190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is made to any Disqualified Institution and/or any Affiliate of any Disqualified Institution (other than any Competitor Debt Fund Affiliate) and/or any other Person to whom the Borrower’s consent is required but not obtained, in each case, without the Borrower’s prior written consent (any such person, a “</w:t>
      </w:r>
      <w:r>
        <w:rPr>
          <w:rFonts w:ascii="Times New Roman" w:cs="Times New Roman" w:eastAsia="Times New Roman" w:hAnsi="Times New Roman"/>
          <w:sz w:val="20"/>
          <w:szCs w:val="20"/>
          <w:u w:val="single" w:color="auto"/>
          <w:color w:val="auto"/>
        </w:rPr>
        <w:t>Disqualified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 held by such Disqualified Person, purchase such Term Loan by paying the lesser of (x) par and (y) the amount that such Disqualified Person paid to acquire such Term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all of its interests, rights and obligations under this Agreement to one or more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applicable Disqualified Person has received payment of an amount equal to the lesser of (1) par and (2) the amount that such Disqualified Person paid for the applicable Loans and participations in Letters of Credit and Swingline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thereon, accrued fees and all other amounts payable to it hereunder, from the Borrower, (II)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Borrower shall not be liable to the relevant Disqualified Person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any Term SOFR Loan owing to such Disqualified Person is repaid or purchased other than on the last day of the Interest Period relating thereto, (III) 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relevant assignment shall otherwise comply with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(except that (x) no registration and processing fee required under this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aggregate principal amount of Term Loans held by Affiliated Lenders exceeds the Affiliated Lender Cap on the 91st day following such transfer, then such excess amount shall either be (x) contributed to the Borrower or any of its subsidiaries and retired and cancelled immediately upon such contribution or (y) automatically cancelled)) and (IV) in no event shall such Disqualified Person be entitled to receive amounts to which it would otherwise be entitled under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Further, whether or not the Borrower has taken any action described in the preceding sentence, (A) no Disqualified Person identified by the Borrower to the Administrative Agent shall be permitted to (x) receive information (including financial statements) provided by any Loan Party, the Administrative Agent or any Lender and/or (y) attend and/or participate in conference calls or meetings attended solely by the Lenders and the Administrative Agent, (B) (x)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0" w:name="page231"/>
    <w:bookmarkEnd w:id="230"/>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all Lenders or all affected Lenders, as the case may be, have taken any action, and (y) shall be deemed to vote in the same proportion as Lenders that are not Disqualified Persons (1) in any proceeding under any Debtor Relief Law commenced by or against the Borrower or any other Loan Party and/or (2) for purposes of any matter requiring the consent of each Lender or each affected Lender and (C) shall not be entitled to receive the benefits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the sake of clarity, the provisions in this </w:t>
      </w:r>
      <w:r>
        <w:rPr>
          <w:rFonts w:ascii="Times New Roman" w:cs="Times New Roman" w:eastAsia="Times New Roman" w:hAnsi="Times New Roman"/>
          <w:sz w:val="20"/>
          <w:szCs w:val="20"/>
          <w:u w:val="single" w:color="auto"/>
          <w:color w:val="auto"/>
        </w:rPr>
        <w:t>Section 9.05(f)</w:t>
      </w:r>
      <w:r>
        <w:rPr>
          <w:rFonts w:ascii="Times New Roman" w:cs="Times New Roman" w:eastAsia="Times New Roman" w:hAnsi="Times New Roman"/>
          <w:sz w:val="20"/>
          <w:szCs w:val="20"/>
          <w:color w:val="auto"/>
        </w:rPr>
        <w:t xml:space="preserve"> shall not apply to any Person that is an assignee of any Disqualified Person, if such assignee is not a Disqualified Person.</w:t>
      </w:r>
    </w:p>
    <w:p>
      <w:pPr>
        <w:spacing w:after="0" w:line="189" w:lineRule="exact"/>
        <w:rPr>
          <w:sz w:val="20"/>
          <w:szCs w:val="20"/>
          <w:color w:val="auto"/>
        </w:rPr>
      </w:pPr>
    </w:p>
    <w:p>
      <w:pPr>
        <w:jc w:val="both"/>
        <w:ind w:left="760" w:firstLine="745"/>
        <w:spacing w:after="0" w:line="246" w:lineRule="auto"/>
        <w:tabs>
          <w:tab w:leader="none" w:pos="1904"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each of Holdings, the Borrower and each Lender acknowledges and agrees that the Administrative Agent shall not (x) have any liability for any assignment or participation made to any Disqualified Institution or Affiliated Lender (regardless of whether the consent of the Administrative Agent is required thereto) or (y) be obligated to ascertain, monitor or inquire as to whether any Lender or participant or prospective Lender or participant is a Disqualified Lender, and none of the Borrower, any Lender or any of their respective Affiliates will bring any claim to that effect.</w:t>
      </w:r>
    </w:p>
    <w:p>
      <w:pPr>
        <w:spacing w:after="0" w:line="184"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145"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without the consent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Loan acquired by Holdings, the Borrower or any of its Restricted Subsidiaries shall, to the extent permitted by applicable Requirements of Law, be retired and cancelled immediately upon the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be reduced on a pro rata basis by the full par value of the aggregate principal amount of Term Loans so cancelled;</w:t>
      </w:r>
    </w:p>
    <w:p>
      <w:pPr>
        <w:spacing w:after="0" w:line="184" w:lineRule="exact"/>
        <w:rPr>
          <w:sz w:val="20"/>
          <w:szCs w:val="20"/>
          <w:color w:val="auto"/>
        </w:rPr>
      </w:pPr>
    </w:p>
    <w:p>
      <w:pPr>
        <w:jc w:val="both"/>
        <w:ind w:left="760" w:firstLine="745"/>
        <w:spacing w:after="0" w:line="259" w:lineRule="auto"/>
        <w:tabs>
          <w:tab w:leader="none" w:pos="1904"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Term Loan acquired by any Non-Debt Fund Affiliate (other than Holdings, the Borrower or any of its Restricted Subsidiaries) may (but shall not be required to) be contributed to the Borrower or any of its subsidiaries (it being understood that any such Term Loans shall, to the extent permitted by applicable Requirements of Law, be retired and cancelled promptly upon such contribution);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Times New Roman" w:cs="Times New Roman" w:eastAsia="Times New Roman" w:hAnsi="Times New Roman"/>
          <w:sz w:val="19"/>
          <w:szCs w:val="19"/>
          <w:u w:val="single" w:color="auto"/>
          <w:color w:val="auto"/>
        </w:rPr>
        <w:t>Section 2.10(a)</w:t>
      </w:r>
      <w:r>
        <w:rPr>
          <w:rFonts w:ascii="Times New Roman" w:cs="Times New Roman" w:eastAsia="Times New Roman" w:hAnsi="Times New Roman"/>
          <w:sz w:val="19"/>
          <w:szCs w:val="19"/>
          <w:color w:val="auto"/>
        </w:rPr>
        <w:t xml:space="preserve"> shall be reduced pro rata by the full par value of the aggregate principal amount of Initial Term Loans so contributed and cancelled;</w:t>
      </w:r>
    </w:p>
    <w:p>
      <w:pPr>
        <w:spacing w:after="0" w:line="172"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Affiliated Lender and assigning or purchasing, as applicable, Lender shall have executed an Affiliated Lender Assignment and Assumption;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9.05(f)(ii)</w:t>
      </w:r>
      <w:r>
        <w:rPr>
          <w:rFonts w:ascii="Times New Roman" w:cs="Times New Roman" w:eastAsia="Times New Roman" w:hAnsi="Times New Roman"/>
          <w:sz w:val="20"/>
          <w:szCs w:val="20"/>
          <w:color w:val="auto"/>
        </w:rPr>
        <w:t>, after giving effect to the relevant assignment and to all other assignments to all Affiliated Lenders, the aggregate outstanding principal amount of all Term Loans then held by all Affiliated Lenders shall not exceed 25% of the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jc w:val="both"/>
        <w:ind w:left="3"/>
        <w:spacing w:after="0" w:line="258" w:lineRule="auto"/>
        <w:rPr>
          <w:sz w:val="20"/>
          <w:szCs w:val="20"/>
          <w:color w:val="auto"/>
        </w:rPr>
      </w:pPr>
      <w:r>
        <w:rPr>
          <w:rFonts w:ascii="Times New Roman" w:cs="Times New Roman" w:eastAsia="Times New Roman" w:hAnsi="Times New Roman"/>
          <w:sz w:val="19"/>
          <w:szCs w:val="19"/>
          <w:color w:val="auto"/>
        </w:rPr>
        <w:t>amount of the Term Loans then outstanding (after giving effect to any substantially simultaneous cancellation thereof) (the “</w:t>
      </w:r>
      <w:r>
        <w:rPr>
          <w:rFonts w:ascii="Times New Roman" w:cs="Times New Roman" w:eastAsia="Times New Roman" w:hAnsi="Times New Roman"/>
          <w:sz w:val="19"/>
          <w:szCs w:val="19"/>
          <w:u w:val="single" w:color="auto"/>
          <w:color w:val="auto"/>
        </w:rPr>
        <w:t>Affiliated Lender Cap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Times New Roman" w:cs="Times New Roman" w:eastAsia="Times New Roman" w:hAnsi="Times New Roman"/>
          <w:sz w:val="19"/>
          <w:szCs w:val="19"/>
          <w:u w:val="single" w:color="auto"/>
          <w:color w:val="auto"/>
        </w:rPr>
        <w:t>clause (g)</w:t>
      </w:r>
    </w:p>
    <w:p>
      <w:pPr>
        <w:spacing w:after="0" w:line="1" w:lineRule="exact"/>
        <w:rPr>
          <w:sz w:val="20"/>
          <w:szCs w:val="20"/>
          <w:color w:val="auto"/>
        </w:rPr>
      </w:pPr>
    </w:p>
    <w:p>
      <w:pPr>
        <w:jc w:val="both"/>
        <w:ind w:left="3" w:hanging="3"/>
        <w:spacing w:after="0"/>
        <w:tabs>
          <w:tab w:leader="none" w:pos="356" w:val="left"/>
        </w:tabs>
        <w:numPr>
          <w:ilvl w:val="0"/>
          <w:numId w:val="3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or any purported assignment exceeding the Affiliated Lender Cap (it being understood and agreed that the Affiliated Lender Cap is intended to apply to any Loan made available to Affiliated Lenders by means other than formal assignment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as a result of an acquisition of another Lender (other than any Debt Fund Affiliate) by any Affiliated Lender or the provision of Additional Term Loans by any Affiliated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w:t>
      </w:r>
    </w:p>
    <w:p>
      <w:pPr>
        <w:spacing w:after="0" w:line="190" w:lineRule="exact"/>
        <w:rPr>
          <w:rFonts w:ascii="Times New Roman" w:cs="Times New Roman" w:eastAsia="Times New Roman" w:hAnsi="Times New Roman"/>
          <w:sz w:val="20"/>
          <w:szCs w:val="20"/>
          <w:u w:val="single" w:color="auto"/>
          <w:color w:val="auto"/>
        </w:rPr>
      </w:pPr>
    </w:p>
    <w:p>
      <w:pPr>
        <w:jc w:val="both"/>
        <w:ind w:left="3" w:firstLine="745"/>
        <w:spacing w:after="0" w:line="249" w:lineRule="auto"/>
        <w:tabs>
          <w:tab w:leader="none" w:pos="1148"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effected pursuant to a Dutch Auction and/or open market purchase conducted by Holdings, the Borrower or any of its Restricted Subsidiaries, (A) the relevant Person may not use the proceeds of any Revolving Loan to fund such assignment and (B) no Event of Default exists at the time of the launch of the relevant Dutch Auction or the confirmation of such open market purchase, as applicable; and</w:t>
      </w:r>
    </w:p>
    <w:p>
      <w:pPr>
        <w:spacing w:after="0" w:line="179"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its acquisition of Term Loans, each relevant Affiliated Lender shall be deemed to have acknowledged and agreed</w:t>
      </w:r>
    </w:p>
    <w:p>
      <w:pPr>
        <w:spacing w:after="0" w:line="21"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w:t>
      </w:r>
    </w:p>
    <w:p>
      <w:pPr>
        <w:spacing w:after="0" w:line="193" w:lineRule="exact"/>
        <w:rPr>
          <w:rFonts w:ascii="Times New Roman" w:cs="Times New Roman" w:eastAsia="Times New Roman" w:hAnsi="Times New Roman"/>
          <w:sz w:val="20"/>
          <w:szCs w:val="20"/>
          <w:color w:val="auto"/>
        </w:rPr>
      </w:pPr>
    </w:p>
    <w:p>
      <w:pPr>
        <w:jc w:val="both"/>
        <w:ind w:left="743" w:firstLine="754"/>
        <w:spacing w:after="0" w:line="243" w:lineRule="auto"/>
        <w:tabs>
          <w:tab w:leader="none" w:pos="1888"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the Term Loans held by such Affiliated Lender shall be disregarded in both the numerator and denominator in the calculation of any Required Lender or other Lender vote;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w:t>
      </w:r>
    </w:p>
    <w:p>
      <w:pPr>
        <w:spacing w:after="0" w:line="185" w:lineRule="exact"/>
        <w:rPr>
          <w:rFonts w:ascii="Times New Roman" w:cs="Times New Roman" w:eastAsia="Times New Roman" w:hAnsi="Times New Roman"/>
          <w:sz w:val="20"/>
          <w:szCs w:val="20"/>
          <w:color w:val="auto"/>
        </w:rPr>
      </w:pPr>
    </w:p>
    <w:p>
      <w:pPr>
        <w:jc w:val="both"/>
        <w:ind w:left="743" w:firstLine="754"/>
        <w:spacing w:after="0" w:line="243" w:lineRule="auto"/>
        <w:tabs>
          <w:tab w:leader="none" w:pos="1888"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3" w:right="40" w:firstLine="745"/>
        <w:spacing w:after="0" w:line="269" w:lineRule="auto"/>
        <w:tabs>
          <w:tab w:leader="none" w:pos="1148"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Affiliated Lender shall be required to represent or warrant that it is not in possession of material non-public information with respect to Holdings and/or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3"/>
          <w:szCs w:val="13"/>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306705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32" w:name="page233"/>
    <w:bookmarkEnd w:id="232"/>
    <w:p>
      <w:pPr>
        <w:ind w:left="760"/>
        <w:spacing w:after="0"/>
        <w:rPr>
          <w:sz w:val="20"/>
          <w:szCs w:val="20"/>
          <w:color w:val="auto"/>
        </w:rPr>
      </w:pPr>
      <w:r>
        <w:rPr>
          <w:rFonts w:ascii="Times New Roman" w:cs="Times New Roman" w:eastAsia="Times New Roman" w:hAnsi="Times New Roman"/>
          <w:sz w:val="20"/>
          <w:szCs w:val="20"/>
          <w:color w:val="auto"/>
        </w:rPr>
        <w:t xml:space="preserve">thereof and/or their respective securities in connection with any assignment permitted by this </w:t>
      </w:r>
      <w:r>
        <w:rPr>
          <w:rFonts w:ascii="Times New Roman" w:cs="Times New Roman" w:eastAsia="Times New Roman" w:hAnsi="Times New Roman"/>
          <w:sz w:val="20"/>
          <w:szCs w:val="20"/>
          <w:u w:val="single" w:color="auto"/>
          <w:color w:val="auto"/>
        </w:rPr>
        <w:t>Section 9.05(g)</w:t>
      </w:r>
      <w:r>
        <w:rPr>
          <w:rFonts w:ascii="Times New Roman" w:cs="Times New Roman" w:eastAsia="Times New Roman" w:hAnsi="Times New Roman"/>
          <w:sz w:val="20"/>
          <w:szCs w:val="20"/>
          <w:color w:val="auto"/>
        </w:rPr>
        <w:t>; and</w:t>
      </w:r>
    </w:p>
    <w:p>
      <w:pPr>
        <w:spacing w:after="0" w:line="216" w:lineRule="exact"/>
        <w:rPr>
          <w:sz w:val="20"/>
          <w:szCs w:val="20"/>
          <w:color w:val="auto"/>
        </w:rPr>
      </w:pPr>
    </w:p>
    <w:p>
      <w:pPr>
        <w:jc w:val="both"/>
        <w:ind w:left="760" w:firstLine="745"/>
        <w:spacing w:after="0" w:line="244" w:lineRule="auto"/>
        <w:tabs>
          <w:tab w:leader="none" w:pos="2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proceeding under any Debtor Relief Law, (A) the interest of any Affiliated Lender in any Term Loan will be deemed to be voted in the same proportion as the vote of Lenders that are not Affiliated Lenders on the relevant matter;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its capacity as a Lender) in such Term Loan in a manner that is less favorable to such Affiliated Lender than the proposed treatment of Term Loans held by other Term Lenders and (B) all Affiliated Lenders shall be treated as a single lender for purposes of any “numerosity” or similar requirement applicable therein.</w:t>
      </w:r>
    </w:p>
    <w:p>
      <w:pPr>
        <w:spacing w:after="0" w:line="18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 applicable Lenders in accordance with customary procedures or (y) on a non-pro rata basis through open market purchases without the consent of the Administrative Agent, in each case, notwithstanding the requirements set forth in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to the extent permitted by applicable Requirements of Law, be retired and cancelled immediately upon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be reduced pro rata by the full par value of the aggregate principal amount of any applicable Term Loans so contributed and cancelled.</w:t>
      </w:r>
    </w:p>
    <w:p>
      <w:pPr>
        <w:spacing w:after="0" w:line="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9.06. Survival .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Revolving Credit Commitment,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-1195705</wp:posOffset>
            </wp:positionV>
            <wp:extent cx="5454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spacing w:after="0" w:line="269" w:lineRule="auto"/>
        <w:rPr>
          <w:sz w:val="20"/>
          <w:szCs w:val="20"/>
          <w:color w:val="auto"/>
        </w:rPr>
      </w:pPr>
      <w:r>
        <w:rPr>
          <w:rFonts w:ascii="Times New Roman" w:cs="Times New Roman" w:eastAsia="Times New Roman" w:hAnsi="Times New Roman"/>
          <w:sz w:val="20"/>
          <w:szCs w:val="20"/>
          <w:color w:val="auto"/>
        </w:rPr>
        <w:t>the Termination Date or the termination of this Agreement or any provision hereof but in each case, subject to the limitations set forth in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55" w:lineRule="auto"/>
        <w:tabs>
          <w:tab w:leader="none" w:pos="1145" w:val="left"/>
        </w:tabs>
        <w:numPr>
          <w:ilvl w:val="0"/>
          <w:numId w:val="30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each Intercreditor Agreement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It is understood and agreed that, subject to any Requirement of Law, the words “execution”, “signed”, “signature”, “delivery” and words of like import in or relating to any Loan Document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Requirements of Law, including the Federal Electronic Signatures in Global and National Commerce Act, the New York State Electronic Signatures and Records Act, or any similar state laws based on the Uniform Electronic Transactions Act.</w:t>
      </w:r>
    </w:p>
    <w:p>
      <w:pPr>
        <w:spacing w:after="0" w:line="179" w:lineRule="exact"/>
        <w:rPr>
          <w:rFonts w:ascii="Times New Roman" w:cs="Times New Roman" w:eastAsia="Times New Roman" w:hAnsi="Times New Roman"/>
          <w:sz w:val="19"/>
          <w:szCs w:val="19"/>
          <w:u w:val="single" w:color="auto"/>
          <w:color w:val="0000FF"/>
        </w:rPr>
      </w:pPr>
    </w:p>
    <w:p>
      <w:pPr>
        <w:jc w:val="both"/>
        <w:ind w:firstLine="757"/>
        <w:spacing w:after="0" w:line="241" w:lineRule="auto"/>
        <w:tabs>
          <w:tab w:leader="none" w:pos="1158" w:val="left"/>
        </w:tabs>
        <w:numPr>
          <w:ilvl w:val="0"/>
          <w:numId w:val="30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This Agreement, any Loan Document and any other Communication, including Communications required to be in writing, may be in the form of an Electronic Record and may be executed using Electronic Signatures. Each of the Loan Parties and each of the Administrative Agent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their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Issuing Bank is under any obligation to accept an Electronic Signature in any form or in any format unless expressly agreed to by such Person pursuant to procedures approved by it; provided, further, without limiting the foregoing, (a) to the extent the Administrative Agent and/or an Issuing Bank has agreed to accept such Electronic Signature, the Administrative Agent and each of the Lenders shall be entitled to rely on any such Electronic Signature purportedly given by or on behalf of any Loan Party and/or any Lender without further verification and (b) upon the request of the Administrative Agent or any Lender, any Electronic Signature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jc w:val="both"/>
        <w:ind w:firstLine="757"/>
        <w:spacing w:after="0" w:line="258" w:lineRule="auto"/>
        <w:tabs>
          <w:tab w:leader="none" w:pos="1144" w:val="left"/>
        </w:tabs>
        <w:numPr>
          <w:ilvl w:val="0"/>
          <w:numId w:val="305"/>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Neither the Administrative Agent nor any Issuing Bank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Issuing Bank’s reliance on any Electronic Signature transmitted by telecopy, emailed .pdf or any other electronic means). The Administrative Agent and Issuing Banks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3" w:lineRule="exact"/>
        <w:rPr>
          <w:rFonts w:ascii="Times New Roman" w:cs="Times New Roman" w:eastAsia="Times New Roman" w:hAnsi="Times New Roman"/>
          <w:sz w:val="19"/>
          <w:szCs w:val="19"/>
          <w:u w:val="single" w:color="auto"/>
          <w:color w:val="0000FF"/>
        </w:rPr>
      </w:pPr>
    </w:p>
    <w:p>
      <w:pPr>
        <w:jc w:val="both"/>
        <w:ind w:firstLine="757"/>
        <w:spacing w:after="0" w:line="245" w:lineRule="auto"/>
        <w:tabs>
          <w:tab w:leader="none" w:pos="1144" w:val="left"/>
        </w:tabs>
        <w:numPr>
          <w:ilvl w:val="0"/>
          <w:numId w:val="30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of the Loan Parties and each Lender hereby waives (i) any argument, defense or right to contest the legal effect, validity or enforceability of this Agreement, any other Loan Document based solely on the lack of paper original copies of this Agreement and/or such other Loan Document, and (ii) waives any claim against the Administrative Agent, each Lender and each Related Party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9.08. Severability.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-471170</wp:posOffset>
            </wp:positionV>
            <wp:extent cx="7010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9.09. Right of Setoff . At any time when an Event of Default exists, the Administrative Agent and, upon the written consent of the Administrative Agent,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respectively,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The Administrative Agent shall promptly notify the Borrower and any applicable Lender or Issuing Bank shall promptly notify the Borrower and the Administrative Agent of such set-off or application,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 For the avoidance of doubt, the term “Lender” shall, for all purposes of this paragraph, include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-1917700</wp:posOffset>
            </wp:positionV>
            <wp:extent cx="897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9.10.  Governing Law; Jurisdiction; Consent to Service of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-10795</wp:posOffset>
            </wp:positionV>
            <wp:extent cx="31057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6" w:lineRule="exact"/>
        <w:rPr>
          <w:sz w:val="20"/>
          <w:szCs w:val="20"/>
          <w:color w:val="auto"/>
        </w:rPr>
      </w:pPr>
    </w:p>
    <w:p>
      <w:pPr>
        <w:jc w:val="both"/>
        <w:ind w:firstLine="757"/>
        <w:spacing w:after="0" w:line="254" w:lineRule="auto"/>
        <w:tabs>
          <w:tab w:leader="none" w:pos="1145"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5" w:name="page236"/>
    <w:bookmarkEnd w:id="235"/>
    <w:p>
      <w:pPr>
        <w:spacing w:after="0" w:line="269" w:lineRule="auto"/>
        <w:rPr>
          <w:sz w:val="20"/>
          <w:szCs w:val="20"/>
          <w:color w:val="auto"/>
        </w:rPr>
      </w:pPr>
      <w:r>
        <w:rPr>
          <w:rFonts w:ascii="Times New Roman" w:cs="Times New Roman" w:eastAsia="Times New Roman" w:hAnsi="Times New Roman"/>
          <w:sz w:val="20"/>
          <w:szCs w:val="20"/>
          <w:color w:val="auto"/>
        </w:rPr>
        <w:t>DOCUMENT), WHETHER IN TORT, CONTRACT (AT LAW OR IN EQUITY) OR OTHERWISE, SHALL BE GOVERNED BY, AND CONSTRUED AND INTERPRETED IN ACCORDANCE WITH, THE LAWS OF THE STATE OF NEW YORK.</w:t>
      </w:r>
    </w:p>
    <w:p>
      <w:pPr>
        <w:spacing w:after="0" w:line="159" w:lineRule="exact"/>
        <w:rPr>
          <w:sz w:val="20"/>
          <w:szCs w:val="20"/>
          <w:color w:val="auto"/>
        </w:rPr>
      </w:pPr>
    </w:p>
    <w:p>
      <w:pPr>
        <w:jc w:val="both"/>
        <w:ind w:firstLine="757"/>
        <w:spacing w:after="0" w:line="241" w:lineRule="auto"/>
        <w:tabs>
          <w:tab w:leader="none" w:pos="1145"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w:t>
      </w:r>
    </w:p>
    <w:p>
      <w:pPr>
        <w:spacing w:after="0" w:line="195"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71"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9.11. Waiver of Jury Trial .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-471170</wp:posOffset>
            </wp:positionV>
            <wp:extent cx="12420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6" w:name="page237"/>
    <w:bookmarkEnd w:id="236"/>
    <w:p>
      <w:pPr>
        <w:jc w:val="both"/>
        <w:spacing w:after="0" w:line="245" w:lineRule="auto"/>
        <w:rPr>
          <w:sz w:val="20"/>
          <w:szCs w:val="20"/>
          <w:color w:val="auto"/>
        </w:rPr>
      </w:pPr>
      <w:r>
        <w:rPr>
          <w:rFonts w:ascii="Times New Roman" w:cs="Times New Roman" w:eastAsia="Times New Roman" w:hAnsi="Times New Roman"/>
          <w:sz w:val="20"/>
          <w:szCs w:val="20"/>
          <w:color w:val="auto"/>
        </w:rPr>
        <w:t>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Section 9.12.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-192405</wp:posOffset>
            </wp:positionV>
            <wp:extent cx="568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each Lender, each Issuing Bank and each Arranger agrees (and each Lender agrees to cause its SPC, if any) to maintain the confidentiality of the Confidential Information (as defined below), except that Confidential Information may be disclosed:</w:t>
      </w:r>
    </w:p>
    <w:p>
      <w:pPr>
        <w:spacing w:after="0" w:line="174" w:lineRule="exact"/>
        <w:rPr>
          <w:sz w:val="20"/>
          <w:szCs w:val="20"/>
          <w:color w:val="auto"/>
        </w:rPr>
      </w:pPr>
    </w:p>
    <w:p>
      <w:pPr>
        <w:jc w:val="both"/>
        <w:ind w:firstLine="757"/>
        <w:spacing w:after="0" w:line="241" w:lineRule="auto"/>
        <w:tabs>
          <w:tab w:leader="none" w:pos="1145"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its and its Affiliates’ members, partners, directors (or equivalent managers), officers, managers, employees, agents, independent auditors, or other experts and advisors, including accountants, legal counsel and other advisors (collectively,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provided that such Person shall be responsible for its Affiliates’ and their Representatives’ compliance with this paragraph; provided, further, that unless the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(other than any Excluded Party that is a senior employee of such </w:t>
      </w:r>
      <w:r>
        <w:rPr>
          <w:rFonts w:ascii="Times New Roman" w:cs="Times New Roman" w:eastAsia="Times New Roman" w:hAnsi="Times New Roman"/>
          <w:sz w:val="20"/>
          <w:szCs w:val="20"/>
          <w:color w:val="FF0000"/>
          <w:strike w:val="1"/>
        </w:rPr>
        <w:t>Lead</w:t>
      </w:r>
      <w:r>
        <w:rPr>
          <w:rFonts w:ascii="Times New Roman" w:cs="Times New Roman" w:eastAsia="Times New Roman" w:hAnsi="Times New Roman"/>
          <w:sz w:val="20"/>
          <w:szCs w:val="20"/>
          <w:color w:val="auto"/>
        </w:rPr>
        <w:t xml:space="preserve"> Arranger who is required, in accordance with industry regulations or such </w:t>
      </w:r>
      <w:r>
        <w:rPr>
          <w:rFonts w:ascii="Times New Roman" w:cs="Times New Roman" w:eastAsia="Times New Roman" w:hAnsi="Times New Roman"/>
          <w:sz w:val="20"/>
          <w:szCs w:val="20"/>
          <w:color w:val="FF0000"/>
          <w:strike w:val="1"/>
        </w:rPr>
        <w:t>Lead</w:t>
      </w:r>
      <w:r>
        <w:rPr>
          <w:rFonts w:ascii="Times New Roman" w:cs="Times New Roman" w:eastAsia="Times New Roman" w:hAnsi="Times New Roman"/>
          <w:sz w:val="20"/>
          <w:szCs w:val="20"/>
          <w:color w:val="auto"/>
        </w:rPr>
        <w:t xml:space="preserve"> Arranger’s internal policies and procedures, to act in a supervisory capacity and such </w:t>
      </w:r>
      <w:r>
        <w:rPr>
          <w:rFonts w:ascii="Times New Roman" w:cs="Times New Roman" w:eastAsia="Times New Roman" w:hAnsi="Times New Roman"/>
          <w:sz w:val="20"/>
          <w:szCs w:val="20"/>
          <w:color w:val="FF0000"/>
          <w:strike w:val="1"/>
        </w:rPr>
        <w:t>Lead</w:t>
      </w:r>
      <w:r>
        <w:rPr>
          <w:rFonts w:ascii="Times New Roman" w:cs="Times New Roman" w:eastAsia="Times New Roman" w:hAnsi="Times New Roman"/>
          <w:sz w:val="20"/>
          <w:szCs w:val="20"/>
          <w:color w:val="auto"/>
        </w:rPr>
        <w:t xml:space="preserve"> Arranger’s internal, legal, compliance, risk management, credit or investment committee members, so long as such senior employee does not share any such information with any other individual primarily engaged in private equity, venture capital or mezzanine financing activities at the Disqualified Institution itself (other than any other senior employee contemplated by this parenthetical)),</w:t>
      </w:r>
    </w:p>
    <w:p>
      <w:pPr>
        <w:spacing w:after="0" w:line="197"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compelled by legal process in, or reasonably necessary to, the defense of such legal, judicial or administrative proceeding, in any legal, judicial or administrative proceeding or otherwise as required by applicable Requirements of Law (in which case such Person shall, except with respect to any audit or examination conducted by bank accountants or any governmental, regulatory or self-regulatory authority exercising examination or regulatory authority, (i) to the extent practicable and permitted by applicable Requirements of Law, inform the Borrower promptly in advance thereof and (ii) use commercially reasonable efforts to ensure that any such information so disclosed is accorded confidential treatment),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demand or request of any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to the extent practicable and permitted by applicable Requirements of Law, inform the Borrower promptly in advance thereof and (ii)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color w:val="auto"/>
        </w:rPr>
        <w:t>commercially reasonable efforts to ensure that any information so disclosed is accorded confidential treatment),</w:t>
      </w:r>
    </w:p>
    <w:p>
      <w:pPr>
        <w:spacing w:after="0" w:line="216" w:lineRule="exact"/>
        <w:rPr>
          <w:sz w:val="20"/>
          <w:szCs w:val="20"/>
          <w:color w:val="auto"/>
        </w:rPr>
      </w:pPr>
    </w:p>
    <w:p>
      <w:pPr>
        <w:ind w:firstLine="757"/>
        <w:spacing w:after="0" w:line="269" w:lineRule="auto"/>
        <w:tabs>
          <w:tab w:leader="none" w:pos="11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provided by or on behalf of the Borrower to the Administrative Agent for distribution to the Issuing Banks and/or Lenders, by the Administrative Agent to any Lender or Issuing Bank party to this Agreement, as applicable,</w:t>
      </w:r>
    </w:p>
    <w:p>
      <w:pPr>
        <w:spacing w:after="0" w:line="15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has, at the time of disclosure, affirmatively declined to consent to any assignment or participation), (ii) any pledgee referred to in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and/or (iii) any actual or prospective, direct or indirect contractual counterparty (or its advisors) to any Derivative Transaction (including any credit default swap) or similar derivative product to which any Loan Party is a party,</w:t>
      </w:r>
    </w:p>
    <w:p>
      <w:pPr>
        <w:spacing w:after="0" w:line="192"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Borrower’s prior approval of the information to be disclosed, to the CUSIP Service Bureau or any similar agency on a confidential basis in connection with the issuance and monitoring of CUSIP numbers with respect to the facilities or</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existence of this Agreement (but not the terms hereof) and the existence of the Credit Facilities (but not the terms thereof) and (ii) certain other limited generic information regarding the Credit Facilities (but not any other Confidential Information), may be disclosed to market data collectors and other similar service providers to the lending industry and, in the case of the Administrative Agent, to service providers to the Administrative Agent in connection with the administration of the Credit Facilities,</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Confidential Information becomes publicly available other than as a result of a breach of this Section by such Person, its Affiliates or their respective Representatives,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consent of the Borrower.</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means all information relating to Holdings, the Borrower and/or any of its subsidiaries and their respective businesses or the Transactions (including any information obtained by the Administrative Agent, any Issuing Bank, any Lender or any Arranger, or any of their respective Affiliates or Representatives, based on a review of any books and records relating to Holdings, the Borrower and/or any of its subsidiaries and their respective Affiliates from time to time, including prior to the </w:t>
      </w:r>
      <w:r>
        <w:rPr>
          <w:rFonts w:ascii="Times New Roman" w:cs="Times New Roman" w:eastAsia="Times New Roman" w:hAnsi="Times New Roman"/>
          <w:sz w:val="20"/>
          <w:szCs w:val="20"/>
          <w:color w:val="FF0000"/>
          <w:strike w:val="1"/>
        </w:rPr>
        <w:t>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hereof</w:t>
      </w:r>
      <w:r>
        <w:rPr>
          <w:rFonts w:ascii="Times New Roman" w:cs="Times New Roman" w:eastAsia="Times New Roman" w:hAnsi="Times New Roman"/>
          <w:sz w:val="20"/>
          <w:szCs w:val="20"/>
          <w:u w:val="single" w:color="auto"/>
          <w:color w:val="0000FF"/>
        </w:rPr>
        <w:t>Amendment No. 2 Effective Date</w:t>
      </w:r>
      <w:r>
        <w:rPr>
          <w:rFonts w:ascii="Times New Roman" w:cs="Times New Roman" w:eastAsia="Times New Roman" w:hAnsi="Times New Roman"/>
          <w:sz w:val="20"/>
          <w:szCs w:val="20"/>
          <w:color w:val="000000"/>
        </w:rPr>
        <w:t>) other than any such information that is publicly available to the Administrative Agent or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Arranger, Issuing Bank, or Lender on a non-confidential basis prior to disclosure by Holdings or any of its subsidiaries. For the avoidance of doubt, in no event shall any disclosure of any Confidential Information be made to any Person that is a Disqualified Institution at the time of disclosure.</w:t>
      </w:r>
    </w:p>
    <w:p>
      <w:pPr>
        <w:spacing w:after="0" w:line="18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Section 9.14. No Fiduciary Duty . Each of the Administrative Agent, the Arrangers, each Lender, each Issuing Bank and their respective Affiliates (collectively, solely for purposes of this paragraph, the “</w:t>
      </w:r>
      <w:r>
        <w:rPr>
          <w:rFonts w:ascii="Times New Roman" w:cs="Times New Roman" w:eastAsia="Times New Roman" w:hAnsi="Times New Roman"/>
          <w:sz w:val="19"/>
          <w:szCs w:val="19"/>
          <w:u w:val="single" w:color="auto"/>
          <w:color w:val="auto"/>
        </w:rPr>
        <w:t>Credit Parties</w:t>
      </w:r>
      <w:r>
        <w:rPr>
          <w:rFonts w:ascii="Times New Roman" w:cs="Times New Roman" w:eastAsia="Times New Roman" w:hAnsi="Times New Roman"/>
          <w:sz w:val="19"/>
          <w:szCs w:val="19"/>
          <w:color w:val="auto"/>
        </w:rPr>
        <w:t>”), may have economic interests that conflict with those of the Loan Parties, their stockholders and/or their respective affiliates. Each Loan Party agrees that nothing in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-339725</wp:posOffset>
            </wp:positionV>
            <wp:extent cx="10858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8" w:name="page239"/>
    <w:bookmarkEnd w:id="238"/>
    <w:p>
      <w:pPr>
        <w:jc w:val="both"/>
        <w:spacing w:after="0" w:line="242" w:lineRule="auto"/>
        <w:rPr>
          <w:sz w:val="20"/>
          <w:szCs w:val="20"/>
          <w:color w:val="auto"/>
        </w:rPr>
      </w:pPr>
      <w:r>
        <w:rPr>
          <w:rFonts w:ascii="Times New Roman" w:cs="Times New Roman" w:eastAsia="Times New Roman" w:hAnsi="Times New Roman"/>
          <w:sz w:val="20"/>
          <w:szCs w:val="20"/>
          <w:color w:val="auto"/>
        </w:rPr>
        <w:t>or otherwise will be deemed to create an advisory, fiduciary or agency relationship or fiduciary or other implied duty between any Credit Party,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Credit Parties, on the one hand, and the Loan Parties, on the other, and (ii) in connection therewith and with the process leading thereto, (x) no Credit Party,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Credit Party has advised, is currently advising or will advise any Loan Party, its respective stockholders or its respective Affiliates on other matters) or any other obligation to any Loan Party except the obligations expressly set forth in the Loan Documents and</w:t>
      </w:r>
    </w:p>
    <w:p>
      <w:pPr>
        <w:jc w:val="both"/>
        <w:ind w:firstLine="8"/>
        <w:spacing w:after="0" w:line="241" w:lineRule="auto"/>
        <w:tabs>
          <w:tab w:leader="none" w:pos="289"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9.15. Several Obligations.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10883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9.16. USA PATRIOT Act.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 and the Borrower in accordance with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-613410</wp:posOffset>
            </wp:positionV>
            <wp:extent cx="10947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9.17. Disclosure of Agent Conflicts.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16065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06550" cy="8890"/>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or Issuing Bank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9.19. Interest Rate Limitation.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Times New Roman" w:cs="Times New Roman" w:eastAsia="Times New Roman" w:hAnsi="Times New Roman"/>
          <w:sz w:val="20"/>
          <w:szCs w:val="20"/>
          <w:u w:val="single" w:color="auto"/>
          <w:color w:val="auto"/>
        </w:rPr>
        <w:t>Charged Amounts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-759460</wp:posOffset>
            </wp:positionV>
            <wp:extent cx="13112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9" w:name="page240"/>
    <w:bookmarkEnd w:id="239"/>
    <w:p>
      <w:pPr>
        <w:jc w:val="both"/>
        <w:spacing w:after="0" w:line="246" w:lineRule="auto"/>
        <w:rPr>
          <w:sz w:val="20"/>
          <w:szCs w:val="20"/>
          <w:color w:val="auto"/>
        </w:rPr>
      </w:pPr>
      <w:r>
        <w:rPr>
          <w:rFonts w:ascii="Times New Roman" w:cs="Times New Roman" w:eastAsia="Times New Roman" w:hAnsi="Times New Roman"/>
          <w:sz w:val="20"/>
          <w:szCs w:val="20"/>
          <w:color w:val="auto"/>
        </w:rPr>
        <w:t>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9.20. Intercreditor Agreements . REFERENCE IS MADE TO EACH INTERCREDITOR AGREEMENT. EACH SECURED PARTY HEREUNDER AGREES THAT IT WILL BE BOUND BY AND WILL TAKE NO ACTION CONTRARY TO THE PROVISIONS OF EACH INTERCREDITOR AGREEMENT AND AUTHORIZES AND INSTRUCTS THE ADMINISTRATIVE AGENT TO ENTER INTO EACH APPLICABLE INTERCREDITOR AGREEMENT AS “FIRST LIEN AGENT” (OR EQUIVALENT) AND ON BEHALF OF SUCH SECURED PARTY. THE PROVISIONS OF THIS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 xml:space="preserve"> ARE NOT INTENDED TO SUMMARIZE ALL RELEVANT PROVISIONS OF ANY INTERCREDITOR AGREEMENT. REFERENCE MUST BE MADE TO EACH INTERCREDITOR AGREEMENT ITSELF TO UNDERSTAND ALL TERMS AND CONDITIONS THEREOF. EACH SECURED PARTY IS RESPONSIBLE FOR MAKING ITS OWN ANALYSIS AND REVIEW OF EACH INTERCREDITOR AGREEMENT AND THE TERMS AND PROVISIONS THEREOF, AND NEITHER THE ADMINISTRATIVE AGENT NOR ANY OF ITS AFFILIATES MAKES ANY REPRESENTATION TO ANY SECURED PARTY AS TO THE SUFFICIENCY OR ADVISABILITY OF THE PROVISIONS CONTAINED IN ANY INTERCREDITOR AGREEMENT. THE FOREGOING PROVISIONS ARE INTENDED AS AN INDUCEMENT TO THE LENDERS OR HOLDERS OF ANY OTHER INDEBTEDNESS SUBJECT TO ANY APPLICABLE INTERCREDITOR AGREEMENT TO EXTEND CREDIT THEREUNDER AND SUCH LENDERS AND/OR HOLDERS ARE INTENDED THIRD PARTY BENEFICIARIES OF SUCH PROVISIONS AND THE PROVISIONS OF EACH APPLICABLE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-1928495</wp:posOffset>
            </wp:positionV>
            <wp:extent cx="14287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9.21. Conflicts. Notwithstanding anything to the contrary contained herein or in any other Loan Document, in the event of any conflict or inconsistency between this Agreement and any other Loan Document, the terms of this Agreement shall govern and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conflict or inconsistency between any Intercreditor Agreement and any Loan Document, the terms of such Intercreditor Agreement shall govern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-471170</wp:posOffset>
            </wp:positionV>
            <wp:extent cx="5549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4990"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9.22. Release of Guarantors . Notwithstanding anything in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to the contrary, (a) any Subsidiary Guarantor shall automatically be released from its obligations hereunder (and its Loan Guaranty and any Lien granted by such Subsidiary Guarantor pursuant to any Collateral Document shall be automatically released) (i) upon the consummation of any transaction or series of related transactions not prohibited hereunder if as a result thereof such Subsidiary Guarantor ceases to be a Restricted Subsidiary (or is or becomes an Excluded Subsidiary as a result of a single transaction or series of related transactions not prohibited hereunder), (ii) upon the occurrence of the Termination Date and/or (iii) in the case of any Discretionary Guarantor, at the election of the Borrower, upon notice from the Borrower to the Administrative Agent at any time and (b) any Subsidiary Guarantor that meets the definition of an “Excluded Subsidiary” shall be released by the Administrative Agent promptly following the request therefor by the Borrower, subject, if applicable, to the Specified Guarantor Release Provision. In connection with any such release, the Administrative Agent shall promptly execute and deliver to the relevant Loan Party, at such Loan Party’s expense, all documents that such Loan Party shall reasonably request to evidence termination or release;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the request of the Administrative Agent, the Borrower shall deliver a certificate of a Responsible Officer certifying that the relevant transaction has been consummated in compliance with the terms of this Agreement. Any execution and delivery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-1771015</wp:posOffset>
            </wp:positionV>
            <wp:extent cx="12363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document pursuant to the preceding sentence of this </w:t>
      </w:r>
      <w:r>
        <w:rPr>
          <w:rFonts w:ascii="Times New Roman" w:cs="Times New Roman" w:eastAsia="Times New Roman" w:hAnsi="Times New Roman"/>
          <w:sz w:val="20"/>
          <w:szCs w:val="20"/>
          <w:u w:val="single" w:color="auto"/>
          <w:color w:val="auto"/>
        </w:rPr>
        <w:t>Section 9.22</w:t>
      </w:r>
      <w:r>
        <w:rPr>
          <w:rFonts w:ascii="Times New Roman" w:cs="Times New Roman" w:eastAsia="Times New Roman" w:hAnsi="Times New Roman"/>
          <w:sz w:val="20"/>
          <w:szCs w:val="20"/>
          <w:color w:val="auto"/>
        </w:rPr>
        <w:t xml:space="preserve"> shall be without recourse to or warranty by the Administrative Agent (other than as to the Administrative Agent’s authority to execute and deliver such documents).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9.23.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xml:space="preserve"> . Notwithstanding anything to the contrary in any Loan Document or in any other agreement, arrangement or understanding of the parties hereto, each such party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right="40" w:firstLine="757"/>
        <w:spacing w:after="0" w:line="269" w:lineRule="auto"/>
        <w:tabs>
          <w:tab w:leader="none" w:pos="1145"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9.24. Certain ERISA Matters.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-328295</wp:posOffset>
            </wp:positionV>
            <wp:extent cx="12738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54" w:lineRule="exact"/>
        <w:rPr>
          <w:sz w:val="20"/>
          <w:szCs w:val="20"/>
          <w:color w:val="auto"/>
        </w:rPr>
      </w:pPr>
    </w:p>
    <w:p>
      <w:pPr>
        <w:jc w:val="both"/>
        <w:ind w:firstLine="757"/>
        <w:spacing w:after="0" w:line="254" w:lineRule="auto"/>
        <w:tabs>
          <w:tab w:leader="none" w:pos="1145"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 (iii) the entrance into, participation in, administration of and performance of the Loans, the Letters of Credit, the Commitments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jc w:val="both"/>
        <w:spacing w:after="0" w:line="254" w:lineRule="auto"/>
        <w:rPr>
          <w:sz w:val="20"/>
          <w:szCs w:val="20"/>
          <w:color w:val="auto"/>
        </w:rPr>
      </w:pPr>
      <w:r>
        <w:rPr>
          <w:rFonts w:ascii="Times New Roman" w:cs="Times New Roman" w:eastAsia="Times New Roman" w:hAnsi="Times New Roman"/>
          <w:sz w:val="20"/>
          <w:szCs w:val="20"/>
          <w:color w:val="auto"/>
        </w:rPr>
        <w:t>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4" w:lineRule="exact"/>
        <w:rPr>
          <w:sz w:val="20"/>
          <w:szCs w:val="20"/>
          <w:color w:val="auto"/>
        </w:rPr>
      </w:pPr>
    </w:p>
    <w:p>
      <w:pPr>
        <w:ind w:right="20" w:firstLine="757"/>
        <w:spacing w:after="0" w:line="269" w:lineRule="auto"/>
        <w:tabs>
          <w:tab w:leader="none" w:pos="1145"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addition, unless either (1) sub-clause (i) in the immediately preceding paragraph is true with respect to a Lender or (2) a Lender has provided another representation, warranty and covenant in accordance with sub-clause (iv)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To the extent the Administrative Agent (or any sub-agent thereof), any Issuing Bank or any Related Party of any of the foregoing is not reimbursed and indemnified by the Borrower, the Lenders severally agree to reimburse and indemnify the Administrative Agent (or any such sub-agent), such Issuing Bank or such Related Party, as the case may be, in proportion to their respective “pro rata shares” (determined as set forth below) for and against any and all liabilities, obligations, losses, damages, penalties, claims, actions, judgments, costs, expenses or disbursements of whatsoever kind or nature which may be imposed on, asserted against or incurred by the Administrative Agent (or such sub-agent), such Issuing Bank or such Related Party in performing its duties hereunder or under any other Loan Document or in any way relating to or arising out of this Agreement or any other Loan Document; provided, that no Lender shall be liable for any portion of such liabilities, obligations, losses, damages, penalties, claims, actions, judgments, suits, costs, expenses or disbursements resulting from the Administrative Agent’s, such Issuing Bank’s or such Related Party’s, as applicable, gross negligence or willful misconduct (as determined by a court of competent jurisdiction in a final and non-appealable decision). For purposes of this paragraph, a Lender’s “pro rata share” shall be determined based upon its share of the sum of, without duplication, the total Revolving Credit Exposures, unused Commitments and outstanding Loans, in each case, at the time (or most recently outstanding and in effect).</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9.25. Judgment Currency . If, for the purpose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-1771015</wp:posOffset>
            </wp:positionV>
            <wp:extent cx="11074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jc w:val="both"/>
        <w:spacing w:after="0" w:line="269" w:lineRule="auto"/>
        <w:rPr>
          <w:sz w:val="20"/>
          <w:szCs w:val="20"/>
          <w:color w:val="auto"/>
        </w:rPr>
      </w:pPr>
      <w:r>
        <w:rPr>
          <w:rFonts w:ascii="Times New Roman" w:cs="Times New Roman" w:eastAsia="Times New Roman" w:hAnsi="Times New Roman"/>
          <w:sz w:val="20"/>
          <w:szCs w:val="20"/>
          <w:color w:val="auto"/>
        </w:rPr>
        <w:t>Administrative Agent agrees to return the amount of any excess to the Borrower (or to any other Person who may be entitled thereto under applicable Requirements of Law).</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9.26. Acknowledgement Regarding Any Supported QFCs. To the extent that the Loan Documents provide support, through a guarantee or otherwise, for Derivative Transactions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US or any other state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-904240</wp:posOffset>
            </wp:positionV>
            <wp:extent cx="29756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spacing w:after="0" w:line="166" w:lineRule="exact"/>
        <w:rPr>
          <w:sz w:val="20"/>
          <w:szCs w:val="20"/>
          <w:color w:val="auto"/>
        </w:rPr>
      </w:pPr>
    </w:p>
    <w:p>
      <w:pPr>
        <w:ind w:right="80" w:firstLine="8"/>
        <w:spacing w:after="0" w:line="242" w:lineRule="auto"/>
        <w:tabs>
          <w:tab w:leader="none" w:pos="396"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9.26</w:t>
      </w:r>
      <w:r>
        <w:rPr>
          <w:rFonts w:ascii="Times New Roman" w:cs="Times New Roman" w:eastAsia="Times New Roman" w:hAnsi="Times New Roman"/>
          <w:sz w:val="20"/>
          <w:szCs w:val="20"/>
          <w:color w:val="auto"/>
        </w:rPr>
        <w:t>, the following terms have the following meanings:</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means an “affiliate” (as defined under, and interpreted in accordance with, 12 U.S.C. 1841(k)).</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900" w:hanging="395"/>
        <w:spacing w:after="0"/>
        <w:tabs>
          <w:tab w:leader="none" w:pos="19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ind w:left="15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i w:val="1"/>
          <w:iCs w:val="1"/>
          <w:color w:val="FF0000"/>
          <w:strike w:val="1"/>
        </w:rPr>
        <w:t>Signature Pages Follow</w:t>
      </w:r>
      <w:r>
        <w:rPr>
          <w:rFonts w:ascii="Times New Roman" w:cs="Times New Roman" w:eastAsia="Times New Roman" w:hAnsi="Times New Roman"/>
          <w:sz w:val="19"/>
          <w:szCs w:val="19"/>
          <w:color w:val="FF0000"/>
          <w:strike w:val="1"/>
        </w:rPr>
        <w:t>]</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306705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type w:val="continuous"/>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1.01(C)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EXISTING LETTERS OF CREDIT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892810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9"/>
          <w:szCs w:val="19"/>
          <w:color w:val="auto"/>
        </w:rPr>
        <w:t>The letter of credit issued by Bank of America to the Borrower in an amount of US$620,670.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46" w:name="page247"/>
    <w:bookmarkEnd w:id="2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
      <w:numFmt w:val="bullet"/>
      <w:start w:val="1"/>
    </w:lvl>
  </w:abstractNum>
  <w:abstractNum w:abstractNumId="1">
    <w:nsid w:val="5D205E20"/>
    <w:multiLevelType w:val="hybridMultilevel"/>
    <w:lvl w:ilvl="0">
      <w:lvlJc w:val="left"/>
      <w:lvlText w:val="(%1)"/>
      <w:numFmt w:val="lowerLetter"/>
      <w:start w:val="2"/>
    </w:lvl>
  </w:abstractNum>
  <w:abstractNum w:abstractNumId="2">
    <w:nsid w:val="11CCA8BA"/>
    <w:multiLevelType w:val="hybridMultilevel"/>
    <w:lvl w:ilvl="0">
      <w:lvlJc w:val="left"/>
      <w:lvlText w:val="%1."/>
      <w:numFmt w:val="upperLetter"/>
      <w:start w:val="1"/>
    </w:lvl>
    <w:lvl w:ilvl="1">
      <w:lvlJc w:val="left"/>
      <w:lvlText w:val="(%2)"/>
      <w:numFmt w:val="lowerLetter"/>
      <w:start w:val="1"/>
    </w:lvl>
  </w:abstractNum>
  <w:abstractNum w:abstractNumId="3">
    <w:nsid w:val="4D32AB86"/>
    <w:multiLevelType w:val="hybridMultilevel"/>
    <w:lvl w:ilvl="0">
      <w:lvlJc w:val="left"/>
      <w:lvlText w:val="%1."/>
      <w:numFmt w:val="upperLetter"/>
      <w:start w:val="1"/>
    </w:lvl>
  </w:abstractNum>
  <w:abstractNum w:abstractNumId="4">
    <w:nsid w:val="3F07ACC3"/>
    <w:multiLevelType w:val="hybridMultilevel"/>
    <w:lvl w:ilvl="0">
      <w:lvlJc w:val="left"/>
      <w:lvlText w:val="%1."/>
      <w:numFmt w:val="upperLetter"/>
      <w:start w:val="3"/>
    </w:lvl>
  </w:abstractNum>
  <w:abstractNum w:abstractNumId="5">
    <w:nsid w:val="6B47F63E"/>
    <w:multiLevelType w:val="hybridMultilevel"/>
    <w:lvl w:ilvl="0">
      <w:lvlJc w:val="left"/>
      <w:lvlText w:val="%1."/>
      <w:numFmt w:val="upperLetter"/>
      <w:start w:val="1"/>
    </w:lvl>
  </w:abstractNum>
  <w:abstractNum w:abstractNumId="6">
    <w:nsid w:val="5CB44A0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
    <w:nsid w:val="16CF80F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
    <w:nsid w:val="1C695DE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
    <w:nsid w:val="3FCFAED9"/>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10">
    <w:nsid w:val="F856867"/>
    <w:multiLevelType w:val="hybridMultilevel"/>
    <w:lvl w:ilvl="0">
      <w:lvlJc w:val="left"/>
      <w:lvlText w:val="%1."/>
      <w:numFmt w:val="upperLetter"/>
      <w:start w:val="1"/>
    </w:lvl>
  </w:abstractNum>
  <w:abstractNum w:abstractNumId="11">
    <w:nsid w:val="11B1CC33"/>
    <w:multiLevelType w:val="hybridMultilevel"/>
    <w:lvl w:ilvl="0">
      <w:lvlJc w:val="left"/>
      <w:lvlText w:val="%1."/>
      <w:numFmt w:val="upperLetter"/>
      <w:start w:val="1"/>
    </w:lvl>
  </w:abstractNum>
  <w:abstractNum w:abstractNumId="12">
    <w:nsid w:val="2E22FBB7"/>
    <w:multiLevelType w:val="hybridMultilevel"/>
    <w:lvl w:ilvl="0">
      <w:lvlJc w:val="left"/>
      <w:lvlText w:val="(%1)"/>
      <w:numFmt w:val="lowerLetter"/>
      <w:start w:val="9"/>
    </w:lvl>
    <w:lvl w:ilvl="1">
      <w:lvlJc w:val="left"/>
      <w:lvlText w:val="(%2)"/>
      <w:numFmt w:val="lowerLetter"/>
      <w:start w:val="1"/>
    </w:lvl>
  </w:abstractNum>
  <w:abstractNum w:abstractNumId="13">
    <w:nsid w:val="29934699"/>
    <w:multiLevelType w:val="hybridMultilevel"/>
    <w:lvl w:ilvl="0">
      <w:lvlJc w:val="left"/>
      <w:lvlText w:val="%1."/>
      <w:numFmt w:val="upperLetter"/>
      <w:start w:val="2"/>
    </w:lvl>
  </w:abstractNum>
  <w:abstractNum w:abstractNumId="14">
    <w:nsid w:val="77485850"/>
    <w:multiLevelType w:val="hybridMultilevel"/>
    <w:lvl w:ilvl="0">
      <w:lvlJc w:val="left"/>
      <w:lvlText w:val="(%1)"/>
      <w:numFmt w:val="lowerRoman"/>
      <w:start w:val="1"/>
    </w:lvl>
  </w:abstractNum>
  <w:abstractNum w:abstractNumId="15">
    <w:nsid w:val="744939A3"/>
    <w:multiLevelType w:val="hybridMultilevel"/>
    <w:lvl w:ilvl="0">
      <w:lvlJc w:val="left"/>
      <w:lvlText w:val="(%1)"/>
      <w:numFmt w:val="lowerRoman"/>
      <w:start w:val="3"/>
    </w:lvl>
  </w:abstractNum>
  <w:abstractNum w:abstractNumId="16">
    <w:nsid w:val="4FA0D2E3"/>
    <w:multiLevelType w:val="hybridMultilevel"/>
    <w:lvl w:ilvl="0">
      <w:lvlJc w:val="left"/>
      <w:lvlText w:val="(%1)"/>
      <w:numFmt w:val="lowerRoman"/>
      <w:start w:val="4"/>
    </w:lvl>
  </w:abstractNum>
  <w:abstractNum w:abstractNumId="17">
    <w:nsid w:val="6B1D2C14"/>
    <w:multiLevelType w:val="hybridMultilevel"/>
    <w:lvl w:ilvl="0">
      <w:lvlJc w:val="left"/>
      <w:lvlText w:val="%1."/>
      <w:numFmt w:val="upperLetter"/>
      <w:start w:val="3"/>
    </w:lvl>
  </w:abstractNum>
  <w:abstractNum w:abstractNumId="18">
    <w:nsid w:val="68B867D3"/>
    <w:multiLevelType w:val="hybridMultilevel"/>
    <w:lvl w:ilvl="0">
      <w:lvlJc w:val="left"/>
      <w:lvlText w:val="%1."/>
      <w:numFmt w:val="upperLetter"/>
      <w:start w:val="8"/>
    </w:lvl>
  </w:abstractNum>
  <w:abstractNum w:abstractNumId="19">
    <w:nsid w:val="3F7F5DD9"/>
    <w:multiLevelType w:val="hybridMultilevel"/>
    <w:lvl w:ilvl="0">
      <w:lvlJc w:val="left"/>
      <w:lvlText w:val="%1."/>
      <w:numFmt w:val="upperLetter"/>
      <w:start w:val="1"/>
    </w:lvl>
  </w:abstractNum>
  <w:abstractNum w:abstractNumId="20">
    <w:nsid w:val="2AE05A34"/>
    <w:multiLevelType w:val="hybridMultilevel"/>
    <w:lvl w:ilvl="0">
      <w:lvlJc w:val="left"/>
      <w:lvlText w:val="(%1)"/>
      <w:numFmt w:val="lowerRoman"/>
      <w:start w:val="1"/>
    </w:lvl>
  </w:abstractNum>
  <w:abstractNum w:abstractNumId="21">
    <w:nsid w:val="32794FF7"/>
    <w:multiLevelType w:val="hybridMultilevel"/>
    <w:lvl w:ilvl="0">
      <w:lvlJc w:val="left"/>
      <w:lvlText w:val="(%1)"/>
      <w:numFmt w:val="lowerLetter"/>
      <w:start w:val="1"/>
    </w:lvl>
    <w:lvl w:ilvl="1">
      <w:lvlJc w:val="left"/>
      <w:lvlText w:val="(%2)"/>
      <w:numFmt w:val="lowerRoman"/>
      <w:start w:val="1"/>
    </w:lvl>
  </w:abstractNum>
  <w:abstractNum w:abstractNumId="22">
    <w:nsid w:val="5454945E"/>
    <w:multiLevelType w:val="hybridMultilevel"/>
    <w:lvl w:ilvl="0">
      <w:lvlJc w:val="left"/>
      <w:lvlText w:val="(%1)"/>
      <w:numFmt w:val="lowerRoman"/>
      <w:start w:val="5"/>
    </w:lvl>
  </w:abstractNum>
  <w:abstractNum w:abstractNumId="23">
    <w:nsid w:val="4DEFDFA0"/>
    <w:multiLevelType w:val="hybridMultilevel"/>
    <w:lvl w:ilvl="0">
      <w:lvlJc w:val="left"/>
      <w:lvlText w:val="(%1)"/>
      <w:numFmt w:val="lowerRoman"/>
      <w:start w:val="11"/>
    </w:lvl>
  </w:abstractNum>
  <w:abstractNum w:abstractNumId="24">
    <w:nsid w:val="2123D5F2"/>
    <w:multiLevelType w:val="hybridMultilevel"/>
    <w:lvl w:ilvl="0">
      <w:lvlJc w:val="left"/>
      <w:lvlText w:val="(%1)"/>
      <w:numFmt w:val="lowerLetter"/>
      <w:start w:val="2"/>
    </w:lvl>
  </w:abstractNum>
  <w:abstractNum w:abstractNumId="25">
    <w:nsid w:val="135B8110"/>
    <w:multiLevelType w:val="hybridMultilevel"/>
    <w:lvl w:ilvl="0">
      <w:lvlJc w:val="left"/>
      <w:lvlText w:val="(%1)"/>
      <w:numFmt w:val="lowerLetter"/>
      <w:start w:val="1"/>
    </w:lvl>
  </w:abstractNum>
  <w:abstractNum w:abstractNumId="26">
    <w:nsid w:val="94927A8"/>
    <w:multiLevelType w:val="hybridMultilevel"/>
    <w:lvl w:ilvl="0">
      <w:lvlJc w:val="left"/>
      <w:lvlText w:val="(%1)"/>
      <w:numFmt w:val="lowerLetter"/>
      <w:start w:val="1"/>
    </w:lvl>
  </w:abstractNum>
  <w:abstractNum w:abstractNumId="27">
    <w:nsid w:val="DCDF8F6"/>
    <w:multiLevelType w:val="hybridMultilevel"/>
    <w:lvl w:ilvl="0">
      <w:lvlJc w:val="left"/>
      <w:lvlText w:val="(%1)"/>
      <w:numFmt w:val="lowerLetter"/>
      <w:start w:val="2"/>
    </w:lvl>
  </w:abstractNum>
  <w:abstractNum w:abstractNumId="28">
    <w:nsid w:val="52D7B105"/>
    <w:multiLevelType w:val="hybridMultilevel"/>
    <w:lvl w:ilvl="0">
      <w:lvlJc w:val="left"/>
      <w:lvlText w:val="(%1)"/>
      <w:numFmt w:val="lowerLetter"/>
      <w:start w:val="1"/>
    </w:lvl>
    <w:lvl w:ilvl="1">
      <w:lvlJc w:val="left"/>
      <w:lvlText w:val="(%2)"/>
      <w:numFmt w:val="lowerRoman"/>
      <w:start w:val="1"/>
    </w:lvl>
  </w:abstractNum>
  <w:abstractNum w:abstractNumId="29">
    <w:nsid w:val="2E8A6394"/>
    <w:multiLevelType w:val="hybridMultilevel"/>
    <w:lvl w:ilvl="0">
      <w:lvlJc w:val="left"/>
      <w:lvlText w:val="(%1)"/>
      <w:numFmt w:val="lowerRoman"/>
      <w:start w:val="3"/>
    </w:lvl>
  </w:abstractNum>
  <w:abstractNum w:abstractNumId="30">
    <w:nsid w:val="24E60401"/>
    <w:multiLevelType w:val="hybridMultilevel"/>
    <w:lvl w:ilvl="0">
      <w:lvlJc w:val="left"/>
      <w:lvlText w:val="(%1)"/>
      <w:numFmt w:val="lowerLetter"/>
      <w:start w:val="1"/>
    </w:lvl>
  </w:abstractNum>
  <w:abstractNum w:abstractNumId="31">
    <w:nsid w:val="2A6AD9BE"/>
    <w:multiLevelType w:val="hybridMultilevel"/>
    <w:lvl w:ilvl="0">
      <w:lvlJc w:val="left"/>
      <w:lvlText w:val="(%1)"/>
      <w:numFmt w:val="lowerLetter"/>
      <w:start w:val="3"/>
    </w:lvl>
    <w:lvl w:ilvl="1">
      <w:lvlJc w:val="left"/>
      <w:lvlText w:val="(%2)"/>
      <w:numFmt w:val="lowerRoman"/>
      <w:start w:val="1"/>
    </w:lvl>
  </w:abstractNum>
  <w:abstractNum w:abstractNumId="32">
    <w:nsid w:val="BAAC1B4"/>
    <w:multiLevelType w:val="hybridMultilevel"/>
    <w:lvl w:ilvl="0">
      <w:lvlJc w:val="left"/>
      <w:lvlText w:val="(%1)"/>
      <w:numFmt w:val="lowerRoman"/>
      <w:start w:val="9"/>
    </w:lvl>
  </w:abstractNum>
  <w:abstractNum w:abstractNumId="33">
    <w:nsid w:val="36B2ACBC"/>
    <w:multiLevelType w:val="hybridMultilevel"/>
    <w:lvl w:ilvl="0">
      <w:lvlJc w:val="left"/>
      <w:lvlText w:val="%1"/>
      <w:numFmt w:val="lowerLetter"/>
      <w:start w:val="1"/>
    </w:lvl>
    <w:lvl w:ilvl="1">
      <w:lvlJc w:val="left"/>
      <w:lvlText w:val="(%2)"/>
      <w:numFmt w:val="lowerRoman"/>
      <w:start w:val="13"/>
    </w:lvl>
  </w:abstractNum>
  <w:abstractNum w:abstractNumId="34">
    <w:nsid w:val="779D8544"/>
    <w:multiLevelType w:val="hybridMultilevel"/>
    <w:lvl w:ilvl="0">
      <w:lvlJc w:val="left"/>
      <w:lvlText w:val="(%1)"/>
      <w:numFmt w:val="lowerLetter"/>
      <w:start w:val="4"/>
    </w:lvl>
    <w:lvl w:ilvl="1">
      <w:lvlJc w:val="left"/>
      <w:lvlText w:val="%2"/>
      <w:numFmt w:val="lowerRoman"/>
      <w:start w:val="1"/>
    </w:lvl>
  </w:abstractNum>
  <w:abstractNum w:abstractNumId="35">
    <w:nsid w:val="4AB26E78"/>
    <w:multiLevelType w:val="hybridMultilevel"/>
    <w:lvl w:ilvl="0">
      <w:lvlJc w:val="left"/>
      <w:lvlText w:val="(%1)"/>
      <w:numFmt w:val="lowerLetter"/>
      <w:start w:val="6"/>
    </w:lvl>
  </w:abstractNum>
  <w:abstractNum w:abstractNumId="36">
    <w:nsid w:val="21FAA2FA"/>
    <w:multiLevelType w:val="hybridMultilevel"/>
    <w:lvl w:ilvl="0">
      <w:lvlJc w:val="left"/>
      <w:lvlText w:val="(%1)"/>
      <w:numFmt w:val="lowerLetter"/>
      <w:start w:val="1"/>
    </w:lvl>
  </w:abstractNum>
  <w:abstractNum w:abstractNumId="37">
    <w:nsid w:val="5451CF49"/>
    <w:multiLevelType w:val="hybridMultilevel"/>
    <w:lvl w:ilvl="0">
      <w:lvlJc w:val="left"/>
      <w:lvlText w:val="(%1)"/>
      <w:numFmt w:val="lowerLetter"/>
      <w:start w:val="2"/>
    </w:lvl>
  </w:abstractNum>
  <w:abstractNum w:abstractNumId="38">
    <w:nsid w:val="6181EF69"/>
    <w:multiLevelType w:val="hybridMultilevel"/>
    <w:lvl w:ilvl="0">
      <w:lvlJc w:val="left"/>
      <w:lvlText w:val="%1"/>
      <w:numFmt w:val="lowerLetter"/>
      <w:start w:val="1"/>
    </w:lvl>
    <w:lvl w:ilvl="1">
      <w:lvlJc w:val="left"/>
      <w:lvlText w:val="(%2)"/>
      <w:numFmt w:val="lowerLetter"/>
      <w:start w:val="9"/>
    </w:lvl>
  </w:abstractNum>
  <w:abstractNum w:abstractNumId="39">
    <w:nsid w:val="3E6400E6"/>
    <w:multiLevelType w:val="hybridMultilevel"/>
    <w:lvl w:ilvl="0">
      <w:lvlJc w:val="left"/>
      <w:lvlText w:val="(%1)"/>
      <w:numFmt w:val="lowerLetter"/>
      <w:start w:val="35"/>
    </w:lvl>
    <w:lvl w:ilvl="1">
      <w:lvlJc w:val="left"/>
      <w:lvlText w:val="(%2)"/>
      <w:numFmt w:val="lowerLetter"/>
      <w:start w:val="11"/>
    </w:lvl>
  </w:abstractNum>
  <w:abstractNum w:abstractNumId="40">
    <w:nsid w:val="14217E23"/>
    <w:multiLevelType w:val="hybridMultilevel"/>
    <w:lvl w:ilvl="0">
      <w:lvlJc w:val="left"/>
      <w:lvlText w:val="(%1)"/>
      <w:numFmt w:val="lowerLetter"/>
      <w:start w:val="1"/>
    </w:lvl>
  </w:abstractNum>
  <w:abstractNum w:abstractNumId="41">
    <w:nsid w:val="710757D0"/>
    <w:multiLevelType w:val="hybridMultilevel"/>
    <w:lvl w:ilvl="0">
      <w:lvlJc w:val="left"/>
      <w:lvlText w:val="%1"/>
      <w:numFmt w:val="lowerRoman"/>
      <w:start w:val="1"/>
    </w:lvl>
    <w:lvl w:ilvl="1">
      <w:lvlJc w:val="left"/>
      <w:lvlText w:val="(%2)"/>
      <w:numFmt w:val="lowerLetter"/>
      <w:start w:val="1"/>
    </w:lvl>
  </w:abstractNum>
  <w:abstractNum w:abstractNumId="42">
    <w:nsid w:val="5015CD1A"/>
    <w:multiLevelType w:val="hybridMultilevel"/>
    <w:lvl w:ilvl="0">
      <w:lvlJc w:val="left"/>
      <w:lvlText w:val="(%1)"/>
      <w:numFmt w:val="lowerRoman"/>
      <w:start w:val="4"/>
    </w:lvl>
    <w:lvl w:ilvl="1">
      <w:lvlJc w:val="left"/>
      <w:lvlText w:val="(%2)"/>
      <w:numFmt w:val="lowerLetter"/>
      <w:start w:val="3"/>
    </w:lvl>
  </w:abstractNum>
  <w:abstractNum w:abstractNumId="43">
    <w:nsid w:val="424479DA"/>
    <w:multiLevelType w:val="hybridMultilevel"/>
    <w:lvl w:ilvl="0">
      <w:lvlJc w:val="left"/>
      <w:lvlText w:val="%1"/>
      <w:numFmt w:val="lowerLetter"/>
      <w:start w:val="1"/>
    </w:lvl>
    <w:lvl w:ilvl="1">
      <w:lvlJc w:val="left"/>
      <w:lvlText w:val="(%2)"/>
      <w:numFmt w:val="lowerLetter"/>
      <w:start w:val="4"/>
    </w:lvl>
  </w:abstractNum>
  <w:abstractNum w:abstractNumId="44">
    <w:nsid w:val="1A9A9E69"/>
    <w:multiLevelType w:val="hybridMultilevel"/>
    <w:lvl w:ilvl="0">
      <w:lvlJc w:val="left"/>
      <w:lvlText w:val="(%1)"/>
      <w:numFmt w:val="lowerLetter"/>
      <w:start w:val="35"/>
    </w:lvl>
    <w:lvl w:ilvl="1">
      <w:lvlJc w:val="left"/>
      <w:lvlText w:val="(%2)"/>
      <w:numFmt w:val="lowerLetter"/>
      <w:start w:val="7"/>
    </w:lvl>
  </w:abstractNum>
  <w:abstractNum w:abstractNumId="45">
    <w:nsid w:val="475E256A"/>
    <w:multiLevelType w:val="hybridMultilevel"/>
    <w:lvl w:ilvl="0">
      <w:lvlJc w:val="left"/>
      <w:lvlText w:val="(%1)"/>
      <w:numFmt w:val="lowerLetter"/>
      <w:start w:val="12"/>
    </w:lvl>
  </w:abstractNum>
  <w:abstractNum w:abstractNumId="46">
    <w:nsid w:val="368DB37E"/>
    <w:multiLevelType w:val="hybridMultilevel"/>
    <w:lvl w:ilvl="0">
      <w:lvlJc w:val="left"/>
      <w:lvlText w:val="(%1)"/>
      <w:numFmt w:val="lowerLetter"/>
      <w:start w:val="2"/>
    </w:lvl>
  </w:abstractNum>
  <w:abstractNum w:abstractNumId="47">
    <w:nsid w:val="6A3B714C"/>
    <w:multiLevelType w:val="hybridMultilevel"/>
    <w:lvl w:ilvl="0">
      <w:lvlJc w:val="left"/>
      <w:lvlText w:val="(%1)"/>
      <w:numFmt w:val="lowerLetter"/>
      <w:start w:val="13"/>
    </w:lvl>
  </w:abstractNum>
  <w:abstractNum w:abstractNumId="48">
    <w:nsid w:val="327B517E"/>
    <w:multiLevelType w:val="hybridMultilevel"/>
    <w:lvl w:ilvl="0">
      <w:lvlJc w:val="left"/>
      <w:lvlText w:val="(%1)"/>
      <w:numFmt w:val="lowerLetter"/>
      <w:start w:val="1"/>
    </w:lvl>
  </w:abstractNum>
  <w:abstractNum w:abstractNumId="49">
    <w:nsid w:val="1F461B51"/>
    <w:multiLevelType w:val="hybridMultilevel"/>
    <w:lvl w:ilvl="0">
      <w:lvlJc w:val="left"/>
      <w:lvlText w:val="(%1)"/>
      <w:numFmt w:val="lowerLetter"/>
      <w:start w:val="5"/>
    </w:lvl>
    <w:lvl w:ilvl="1">
      <w:lvlJc w:val="left"/>
      <w:lvlText w:val="(%2)"/>
      <w:numFmt w:val="lowerRoman"/>
      <w:start w:val="1"/>
    </w:lvl>
  </w:abstractNum>
  <w:abstractNum w:abstractNumId="50">
    <w:nsid w:val="29BACF25"/>
    <w:multiLevelType w:val="hybridMultilevel"/>
    <w:lvl w:ilvl="0">
      <w:lvlJc w:val="left"/>
      <w:lvlText w:val="(%1)"/>
      <w:numFmt w:val="lowerLetter"/>
      <w:start w:val="1"/>
    </w:lvl>
  </w:abstractNum>
  <w:abstractNum w:abstractNumId="51">
    <w:nsid w:val="5D5BABB3"/>
    <w:multiLevelType w:val="hybridMultilevel"/>
    <w:lvl w:ilvl="0">
      <w:lvlJc w:val="left"/>
      <w:lvlText w:val="(%1)"/>
      <w:numFmt w:val="lowerLetter"/>
      <w:start w:val="2"/>
    </w:lvl>
  </w:abstractNum>
  <w:abstractNum w:abstractNumId="52">
    <w:nsid w:val="51BF6B48"/>
    <w:multiLevelType w:val="hybridMultilevel"/>
    <w:lvl w:ilvl="0">
      <w:lvlJc w:val="left"/>
      <w:lvlText w:val="(%1)"/>
      <w:numFmt w:val="lowerLetter"/>
      <w:start w:val="1"/>
    </w:lvl>
  </w:abstractNum>
  <w:abstractNum w:abstractNumId="53">
    <w:nsid w:val="7E0F6384"/>
    <w:multiLevelType w:val="hybridMultilevel"/>
    <w:lvl w:ilvl="0">
      <w:lvlJc w:val="left"/>
      <w:lvlText w:val="(%1)"/>
      <w:numFmt w:val="lowerRoman"/>
      <w:start w:val="1"/>
    </w:lvl>
  </w:abstractNum>
  <w:abstractNum w:abstractNumId="54">
    <w:nsid w:val="2B4B8B53"/>
    <w:multiLevelType w:val="hybridMultilevel"/>
    <w:lvl w:ilvl="0">
      <w:lvlJc w:val="left"/>
      <w:lvlText w:val="(%1)"/>
      <w:numFmt w:val="upperLetter"/>
      <w:start w:val="1"/>
    </w:lvl>
  </w:abstractNum>
  <w:abstractNum w:abstractNumId="55">
    <w:nsid w:val="72E3413A"/>
    <w:multiLevelType w:val="hybridMultilevel"/>
    <w:lvl w:ilvl="0">
      <w:lvlJc w:val="left"/>
      <w:lvlText w:val="(%1)"/>
      <w:numFmt w:val="decimal"/>
      <w:start w:val="1"/>
    </w:lvl>
  </w:abstractNum>
  <w:abstractNum w:abstractNumId="56">
    <w:nsid w:val="116AE494"/>
    <w:multiLevelType w:val="hybridMultilevel"/>
    <w:lvl w:ilvl="0">
      <w:lvlJc w:val="left"/>
      <w:lvlText w:val="(%1)"/>
      <w:numFmt w:val="lowerLetter"/>
      <w:start w:val="1"/>
    </w:lvl>
  </w:abstractNum>
  <w:abstractNum w:abstractNumId="57">
    <w:nsid w:val="3494B2FB"/>
    <w:multiLevelType w:val="hybridMultilevel"/>
    <w:lvl w:ilvl="0">
      <w:lvlJc w:val="left"/>
      <w:lvlText w:val="(%1)"/>
      <w:numFmt w:val="lowerLetter"/>
      <w:start w:val="1"/>
    </w:lvl>
    <w:lvl w:ilvl="1">
      <w:lvlJc w:val="left"/>
      <w:lvlText w:val="(%2)"/>
      <w:numFmt w:val="lowerLetter"/>
      <w:start w:val="9"/>
    </w:lvl>
  </w:abstractNum>
  <w:abstractNum w:abstractNumId="58">
    <w:nsid w:val="B13A31"/>
    <w:multiLevelType w:val="hybridMultilevel"/>
    <w:lvl w:ilvl="0">
      <w:lvlJc w:val="left"/>
      <w:lvlText w:val="(%1)"/>
      <w:numFmt w:val="lowerRoman"/>
      <w:start w:val="2"/>
    </w:lvl>
  </w:abstractNum>
  <w:abstractNum w:abstractNumId="59">
    <w:nsid w:val="64429599"/>
    <w:multiLevelType w:val="hybridMultilevel"/>
    <w:lvl w:ilvl="0">
      <w:lvlJc w:val="left"/>
      <w:lvlText w:val="(%1)"/>
      <w:numFmt w:val="lowerLetter"/>
      <w:start w:val="1"/>
    </w:lvl>
    <w:lvl w:ilvl="1">
      <w:lvlJc w:val="left"/>
      <w:lvlText w:val="(%2)"/>
      <w:numFmt w:val="lowerRoman"/>
      <w:start w:val="1"/>
    </w:lvl>
  </w:abstractNum>
  <w:abstractNum w:abstractNumId="60">
    <w:nsid w:val="631F1690"/>
    <w:multiLevelType w:val="hybridMultilevel"/>
    <w:lvl w:ilvl="0">
      <w:lvlJc w:val="left"/>
      <w:lvlText w:val="%1"/>
      <w:numFmt w:val="lowerLetter"/>
      <w:start w:val="1"/>
    </w:lvl>
    <w:lvl w:ilvl="1">
      <w:lvlJc w:val="left"/>
      <w:lvlText w:val="(%2)"/>
      <w:numFmt w:val="lowerRoman"/>
      <w:start w:val="3"/>
    </w:lvl>
  </w:abstractNum>
  <w:abstractNum w:abstractNumId="61">
    <w:nsid w:val="25973E32"/>
    <w:multiLevelType w:val="hybridMultilevel"/>
    <w:lvl w:ilvl="0">
      <w:lvlJc w:val="left"/>
      <w:lvlText w:val="(%1)"/>
      <w:numFmt w:val="lowerLetter"/>
      <w:start w:val="2"/>
    </w:lvl>
    <w:lvl w:ilvl="1">
      <w:lvlJc w:val="left"/>
      <w:lvlText w:val="%2"/>
      <w:numFmt w:val="lowerRoman"/>
      <w:start w:val="1"/>
    </w:lvl>
  </w:abstractNum>
  <w:abstractNum w:abstractNumId="62">
    <w:nsid w:val="EAD6F57"/>
    <w:multiLevelType w:val="hybridMultilevel"/>
    <w:lvl w:ilvl="0">
      <w:lvlJc w:val="left"/>
      <w:lvlText w:val="(%1)"/>
      <w:numFmt w:val="lowerRoman"/>
      <w:start w:val="2"/>
    </w:lvl>
  </w:abstractNum>
  <w:abstractNum w:abstractNumId="63">
    <w:nsid w:val="6EC9D844"/>
    <w:multiLevelType w:val="hybridMultilevel"/>
    <w:lvl w:ilvl="0">
      <w:lvlJc w:val="left"/>
      <w:lvlText w:val="(%1)"/>
      <w:numFmt w:val="lowerLetter"/>
      <w:start w:val="3"/>
    </w:lvl>
  </w:abstractNum>
  <w:abstractNum w:abstractNumId="64">
    <w:nsid w:val="5C49EAEE"/>
    <w:multiLevelType w:val="hybridMultilevel"/>
    <w:lvl w:ilvl="0">
      <w:lvlJc w:val="left"/>
      <w:lvlText w:val="(%1)"/>
      <w:numFmt w:val="lowerRoman"/>
      <w:start w:val="10"/>
    </w:lvl>
  </w:abstractNum>
  <w:abstractNum w:abstractNumId="65">
    <w:nsid w:val="64AF49B"/>
    <w:multiLevelType w:val="hybridMultilevel"/>
    <w:lvl w:ilvl="0">
      <w:lvlJc w:val="left"/>
      <w:lvlText w:val="(%1)"/>
      <w:numFmt w:val="lowerLetter"/>
      <w:start w:val="1"/>
    </w:lvl>
  </w:abstractNum>
  <w:abstractNum w:abstractNumId="66">
    <w:nsid w:val="397C46BC"/>
    <w:multiLevelType w:val="hybridMultilevel"/>
    <w:lvl w:ilvl="0">
      <w:lvlJc w:val="left"/>
      <w:lvlText w:val="(%1)"/>
      <w:numFmt w:val="lowerLetter"/>
      <w:start w:val="6"/>
    </w:lvl>
  </w:abstractNum>
  <w:abstractNum w:abstractNumId="67">
    <w:nsid w:val="7E448DE9"/>
    <w:multiLevelType w:val="hybridMultilevel"/>
    <w:lvl w:ilvl="0">
      <w:lvlJc w:val="left"/>
      <w:lvlText w:val="(%1)"/>
      <w:numFmt w:val="lowerLetter"/>
      <w:start w:val="1"/>
    </w:lvl>
  </w:abstractNum>
  <w:abstractNum w:abstractNumId="68">
    <w:nsid w:val="5A9CC3E5"/>
    <w:multiLevelType w:val="hybridMultilevel"/>
    <w:lvl w:ilvl="0">
      <w:lvlJc w:val="left"/>
      <w:lvlText w:val="(%1)"/>
      <w:numFmt w:val="lowerLetter"/>
      <w:start w:val="1"/>
    </w:lvl>
  </w:abstractNum>
  <w:abstractNum w:abstractNumId="69">
    <w:nsid w:val="1AFE3625"/>
    <w:multiLevelType w:val="hybridMultilevel"/>
    <w:lvl w:ilvl="0">
      <w:lvlJc w:val="left"/>
      <w:lvlText w:val="(%1)"/>
      <w:numFmt w:val="lowerLetter"/>
      <w:start w:val="1"/>
    </w:lvl>
  </w:abstractNum>
  <w:abstractNum w:abstractNumId="70">
    <w:nsid w:val="3CA88ECF"/>
    <w:multiLevelType w:val="hybridMultilevel"/>
    <w:lvl w:ilvl="0">
      <w:lvlJc w:val="left"/>
      <w:lvlText w:val="(%1)"/>
      <w:numFmt w:val="lowerLetter"/>
      <w:start w:val="2"/>
    </w:lvl>
  </w:abstractNum>
  <w:abstractNum w:abstractNumId="71">
    <w:nsid w:val="6EBE4208"/>
    <w:multiLevelType w:val="hybridMultilevel"/>
    <w:lvl w:ilvl="0">
      <w:lvlJc w:val="left"/>
      <w:lvlText w:val="(%1)"/>
      <w:numFmt w:val="lowerLetter"/>
      <w:start w:val="1"/>
    </w:lvl>
  </w:abstractNum>
  <w:abstractNum w:abstractNumId="72">
    <w:nsid w:val="C058DF5"/>
    <w:multiLevelType w:val="hybridMultilevel"/>
    <w:lvl w:ilvl="0">
      <w:lvlJc w:val="left"/>
      <w:lvlText w:val="(%1)"/>
      <w:numFmt w:val="lowerLetter"/>
      <w:start w:val="3"/>
    </w:lvl>
    <w:lvl w:ilvl="1">
      <w:lvlJc w:val="left"/>
      <w:lvlText w:val="(%2)"/>
      <w:numFmt w:val="lowerLetter"/>
      <w:start w:val="9"/>
    </w:lvl>
  </w:abstractNum>
  <w:abstractNum w:abstractNumId="73">
    <w:nsid w:val="CBE5BE9"/>
    <w:multiLevelType w:val="hybridMultilevel"/>
    <w:lvl w:ilvl="0">
      <w:lvlJc w:val="left"/>
      <w:lvlText w:val="(%1)"/>
      <w:numFmt w:val="lowerRoman"/>
      <w:start w:val="2"/>
    </w:lvl>
  </w:abstractNum>
  <w:abstractNum w:abstractNumId="74">
    <w:nsid w:val="3102BBE2"/>
    <w:multiLevelType w:val="hybridMultilevel"/>
    <w:lvl w:ilvl="0">
      <w:lvlJc w:val="left"/>
      <w:lvlText w:val="(%1)"/>
      <w:numFmt w:val="lowerLetter"/>
      <w:start w:val="13"/>
    </w:lvl>
  </w:abstractNum>
  <w:abstractNum w:abstractNumId="75">
    <w:nsid w:val="26A02C5E"/>
    <w:multiLevelType w:val="hybridMultilevel"/>
    <w:lvl w:ilvl="0">
      <w:lvlJc w:val="left"/>
      <w:lvlText w:val="(%1)"/>
      <w:numFmt w:val="lowerLetter"/>
      <w:start w:val="1"/>
    </w:lvl>
  </w:abstractNum>
  <w:abstractNum w:abstractNumId="76">
    <w:nsid w:val="541C8153"/>
    <w:multiLevelType w:val="hybridMultilevel"/>
    <w:lvl w:ilvl="0">
      <w:lvlJc w:val="left"/>
      <w:lvlText w:val="(%1)"/>
      <w:numFmt w:val="lowerLetter"/>
      <w:start w:val="1"/>
    </w:lvl>
  </w:abstractNum>
  <w:abstractNum w:abstractNumId="77">
    <w:nsid w:val="67906F60"/>
    <w:multiLevelType w:val="hybridMultilevel"/>
    <w:lvl w:ilvl="0">
      <w:lvlJc w:val="left"/>
      <w:lvlText w:val="(%1)"/>
      <w:numFmt w:val="lowerLetter"/>
      <w:start w:val="3"/>
    </w:lvl>
  </w:abstractNum>
  <w:abstractNum w:abstractNumId="78">
    <w:nsid w:val="10DB9DAA"/>
    <w:multiLevelType w:val="hybridMultilevel"/>
    <w:lvl w:ilvl="0">
      <w:lvlJc w:val="left"/>
      <w:lvlText w:val="(%1)"/>
      <w:numFmt w:val="lowerLetter"/>
      <w:start w:val="1"/>
    </w:lvl>
  </w:abstractNum>
  <w:abstractNum w:abstractNumId="79">
    <w:nsid w:val="697D2D2"/>
    <w:multiLevelType w:val="hybridMultilevel"/>
    <w:lvl w:ilvl="0">
      <w:lvlJc w:val="left"/>
      <w:lvlText w:val="(%1)"/>
      <w:numFmt w:val="lowerLetter"/>
      <w:start w:val="2"/>
    </w:lvl>
  </w:abstractNum>
  <w:abstractNum w:abstractNumId="80">
    <w:nsid w:val="6D68AB2"/>
    <w:multiLevelType w:val="hybridMultilevel"/>
    <w:lvl w:ilvl="0">
      <w:lvlJc w:val="left"/>
      <w:lvlText w:val="(%1)"/>
      <w:numFmt w:val="lowerLetter"/>
      <w:start w:val="1"/>
    </w:lvl>
  </w:abstractNum>
  <w:abstractNum w:abstractNumId="81">
    <w:nsid w:val="3A966CD0"/>
    <w:multiLevelType w:val="hybridMultilevel"/>
    <w:lvl w:ilvl="0">
      <w:lvlJc w:val="left"/>
      <w:lvlText w:val="(%1)"/>
      <w:numFmt w:val="lowerLetter"/>
      <w:start w:val="4"/>
    </w:lvl>
  </w:abstractNum>
  <w:abstractNum w:abstractNumId="82">
    <w:nsid w:val="63F37E85"/>
    <w:multiLevelType w:val="hybridMultilevel"/>
    <w:lvl w:ilvl="0">
      <w:lvlJc w:val="left"/>
      <w:lvlText w:val="(%1)"/>
      <w:numFmt w:val="lowerLetter"/>
      <w:start w:val="8"/>
    </w:lvl>
  </w:abstractNum>
  <w:abstractNum w:abstractNumId="83">
    <w:nsid w:val="5895F5FA"/>
    <w:multiLevelType w:val="hybridMultilevel"/>
    <w:lvl w:ilvl="0">
      <w:lvlJc w:val="left"/>
      <w:lvlText w:val="(%1)"/>
      <w:numFmt w:val="lowerLetter"/>
      <w:start w:val="1"/>
    </w:lvl>
    <w:lvl w:ilvl="1">
      <w:lvlJc w:val="left"/>
      <w:lvlText w:val="(%2)"/>
      <w:numFmt w:val="lowerRoman"/>
      <w:start w:val="1"/>
    </w:lvl>
  </w:abstractNum>
  <w:abstractNum w:abstractNumId="84">
    <w:nsid w:val="38A5D054"/>
    <w:multiLevelType w:val="hybridMultilevel"/>
    <w:lvl w:ilvl="0">
      <w:lvlJc w:val="left"/>
      <w:lvlText w:val="(%1)"/>
      <w:numFmt w:val="lowerLetter"/>
      <w:start w:val="35"/>
    </w:lvl>
    <w:lvl w:ilvl="1">
      <w:lvlJc w:val="left"/>
      <w:lvlText w:val="(%2)"/>
      <w:numFmt w:val="lowerLetter"/>
      <w:start w:val="2"/>
    </w:lvl>
  </w:abstractNum>
  <w:abstractNum w:abstractNumId="85">
    <w:nsid w:val="F3F09D8"/>
    <w:multiLevelType w:val="hybridMultilevel"/>
    <w:lvl w:ilvl="0">
      <w:lvlJc w:val="left"/>
      <w:lvlText w:val="%1"/>
      <w:numFmt w:val="lowerLetter"/>
      <w:start w:val="1"/>
    </w:lvl>
    <w:lvl w:ilvl="1">
      <w:lvlJc w:val="left"/>
      <w:lvlText w:val="(%2)"/>
      <w:numFmt w:val="lowerLetter"/>
      <w:start w:val="3"/>
    </w:lvl>
  </w:abstractNum>
  <w:abstractNum w:abstractNumId="86">
    <w:nsid w:val="4B793735"/>
    <w:multiLevelType w:val="hybridMultilevel"/>
    <w:lvl w:ilvl="0">
      <w:lvlJc w:val="left"/>
      <w:lvlText w:val="(%1)"/>
      <w:numFmt w:val="lowerLetter"/>
      <w:start w:val="35"/>
    </w:lvl>
    <w:lvl w:ilvl="1">
      <w:lvlJc w:val="left"/>
      <w:lvlText w:val="(%2)"/>
      <w:numFmt w:val="lowerLetter"/>
      <w:start w:val="4"/>
    </w:lvl>
  </w:abstractNum>
  <w:abstractNum w:abstractNumId="87">
    <w:nsid w:val="4A10B4E8"/>
    <w:multiLevelType w:val="hybridMultilevel"/>
    <w:lvl w:ilvl="0">
      <w:lvlJc w:val="left"/>
      <w:lvlText w:val="(%1)"/>
      <w:numFmt w:val="lowerLetter"/>
      <w:start w:val="1"/>
    </w:lvl>
  </w:abstractNum>
  <w:abstractNum w:abstractNumId="88">
    <w:nsid w:val="43D3BCD4"/>
    <w:multiLevelType w:val="hybridMultilevel"/>
    <w:lvl w:ilvl="0">
      <w:lvlJc w:val="left"/>
      <w:lvlText w:val="(%1)"/>
      <w:numFmt w:val="lowerLetter"/>
      <w:start w:val="2"/>
    </w:lvl>
  </w:abstractNum>
  <w:abstractNum w:abstractNumId="89">
    <w:nsid w:val="4C2A7166"/>
    <w:multiLevelType w:val="hybridMultilevel"/>
    <w:lvl w:ilvl="0">
      <w:lvlJc w:val="left"/>
      <w:lvlText w:val="(%1)"/>
      <w:numFmt w:val="lowerLetter"/>
      <w:start w:val="1"/>
    </w:lvl>
  </w:abstractNum>
  <w:abstractNum w:abstractNumId="90">
    <w:nsid w:val="2E534A82"/>
    <w:multiLevelType w:val="hybridMultilevel"/>
    <w:lvl w:ilvl="0">
      <w:lvlJc w:val="left"/>
      <w:lvlText w:val="(%1)"/>
      <w:numFmt w:val="lowerLetter"/>
      <w:start w:val="1"/>
    </w:lvl>
  </w:abstractNum>
  <w:abstractNum w:abstractNumId="91">
    <w:nsid w:val="26F2D364"/>
    <w:multiLevelType w:val="hybridMultilevel"/>
    <w:lvl w:ilvl="0">
      <w:lvlJc w:val="left"/>
      <w:lvlText w:val="(%1)"/>
      <w:numFmt w:val="lowerLetter"/>
      <w:start w:val="3"/>
    </w:lvl>
  </w:abstractNum>
  <w:abstractNum w:abstractNumId="92">
    <w:nsid w:val="71C1AF98"/>
    <w:multiLevelType w:val="hybridMultilevel"/>
    <w:lvl w:ilvl="0">
      <w:lvlJc w:val="left"/>
      <w:lvlText w:val="(%1)"/>
      <w:numFmt w:val="lowerLetter"/>
      <w:start w:val="1"/>
    </w:lvl>
  </w:abstractNum>
  <w:abstractNum w:abstractNumId="93">
    <w:nsid w:val="3D00B9D9"/>
    <w:multiLevelType w:val="hybridMultilevel"/>
    <w:lvl w:ilvl="0">
      <w:lvlJc w:val="left"/>
      <w:lvlText w:val="(%1)"/>
      <w:numFmt w:val="lowerLetter"/>
      <w:start w:val="3"/>
    </w:lvl>
  </w:abstractNum>
  <w:abstractNum w:abstractNumId="94">
    <w:nsid w:val="15BCABA8"/>
    <w:multiLevelType w:val="hybridMultilevel"/>
    <w:lvl w:ilvl="0">
      <w:lvlJc w:val="left"/>
      <w:lvlText w:val="(%1)"/>
      <w:numFmt w:val="lowerLetter"/>
      <w:start w:val="1"/>
    </w:lvl>
  </w:abstractNum>
  <w:abstractNum w:abstractNumId="95">
    <w:nsid w:val="4E0B9A87"/>
    <w:multiLevelType w:val="hybridMultilevel"/>
    <w:lvl w:ilvl="0">
      <w:lvlJc w:val="left"/>
      <w:lvlText w:val="(%1)"/>
      <w:numFmt w:val="lowerRoman"/>
      <w:start w:val="1"/>
    </w:lvl>
  </w:abstractNum>
  <w:abstractNum w:abstractNumId="96">
    <w:nsid w:val="434BAE75"/>
    <w:multiLevelType w:val="hybridMultilevel"/>
    <w:lvl w:ilvl="0">
      <w:lvlJc w:val="left"/>
      <w:lvlText w:val="(%1)"/>
      <w:numFmt w:val="lowerLetter"/>
      <w:start w:val="2"/>
    </w:lvl>
    <w:lvl w:ilvl="1">
      <w:lvlJc w:val="left"/>
      <w:lvlText w:val="(%2)"/>
      <w:numFmt w:val="lowerLetter"/>
      <w:start w:val="9"/>
    </w:lvl>
  </w:abstractNum>
  <w:abstractNum w:abstractNumId="97">
    <w:nsid w:val="4F38F265"/>
    <w:multiLevelType w:val="hybridMultilevel"/>
    <w:lvl w:ilvl="0">
      <w:lvlJc w:val="left"/>
      <w:lvlText w:val="%1"/>
      <w:numFmt w:val="lowerRoman"/>
      <w:start w:val="1"/>
    </w:lvl>
    <w:lvl w:ilvl="1">
      <w:lvlJc w:val="left"/>
      <w:lvlText w:val="(%2)"/>
      <w:numFmt w:val="lowerRoman"/>
      <w:start w:val="2"/>
    </w:lvl>
  </w:abstractNum>
  <w:abstractNum w:abstractNumId="98">
    <w:nsid w:val="4C502870"/>
    <w:multiLevelType w:val="hybridMultilevel"/>
    <w:lvl w:ilvl="0">
      <w:lvlJc w:val="left"/>
      <w:lvlText w:val="(%1)"/>
      <w:numFmt w:val="lowerRoman"/>
      <w:start w:val="2"/>
    </w:lvl>
    <w:lvl w:ilvl="1">
      <w:lvlJc w:val="left"/>
      <w:lvlText w:val="%2"/>
      <w:numFmt w:val="lowerRoman"/>
      <w:start w:val="1"/>
    </w:lvl>
  </w:abstractNum>
  <w:abstractNum w:abstractNumId="99">
    <w:nsid w:val="1DE8725A"/>
    <w:multiLevelType w:val="hybridMultilevel"/>
    <w:lvl w:ilvl="0">
      <w:lvlJc w:val="left"/>
      <w:lvlText w:val="(%1)"/>
      <w:numFmt w:val="lowerLetter"/>
      <w:start w:val="5"/>
    </w:lvl>
  </w:abstractNum>
  <w:abstractNum w:abstractNumId="100">
    <w:nsid w:val="6A37288A"/>
    <w:multiLevelType w:val="hybridMultilevel"/>
    <w:lvl w:ilvl="0">
      <w:lvlJc w:val="left"/>
      <w:lvlText w:val="(%1)"/>
      <w:numFmt w:val="lowerLetter"/>
      <w:start w:val="6"/>
    </w:lvl>
    <w:lvl w:ilvl="1">
      <w:lvlJc w:val="left"/>
      <w:lvlText w:val="(%2)"/>
      <w:numFmt w:val="lowerLetter"/>
      <w:start w:val="9"/>
    </w:lvl>
  </w:abstractNum>
  <w:abstractNum w:abstractNumId="101">
    <w:nsid w:val="8F8B73F"/>
    <w:multiLevelType w:val="hybridMultilevel"/>
    <w:lvl w:ilvl="0">
      <w:lvlJc w:val="left"/>
      <w:lvlText w:val="%1"/>
      <w:numFmt w:val="lowerRoman"/>
      <w:start w:val="1"/>
    </w:lvl>
    <w:lvl w:ilvl="1">
      <w:lvlJc w:val="left"/>
      <w:lvlText w:val="(%2)"/>
      <w:numFmt w:val="lowerRoman"/>
      <w:start w:val="2"/>
    </w:lvl>
  </w:abstractNum>
  <w:abstractNum w:abstractNumId="102">
    <w:nsid w:val="CA6B462"/>
    <w:multiLevelType w:val="hybridMultilevel"/>
    <w:lvl w:ilvl="0">
      <w:lvlJc w:val="left"/>
      <w:lvlText w:val="(%1)"/>
      <w:numFmt w:val="lowerRoman"/>
      <w:start w:val="1"/>
    </w:lvl>
    <w:lvl w:ilvl="1">
      <w:lvlJc w:val="left"/>
      <w:lvlText w:val="(%2)"/>
      <w:numFmt w:val="lowerRoman"/>
      <w:start w:val="1"/>
    </w:lvl>
  </w:abstractNum>
  <w:abstractNum w:abstractNumId="103">
    <w:nsid w:val="763CB680"/>
    <w:multiLevelType w:val="hybridMultilevel"/>
    <w:lvl w:ilvl="0">
      <w:lvlJc w:val="left"/>
      <w:lvlText w:val="(%1)"/>
      <w:numFmt w:val="lowerLetter"/>
      <w:start w:val="10"/>
    </w:lvl>
  </w:abstractNum>
  <w:abstractNum w:abstractNumId="104">
    <w:nsid w:val="15B71329"/>
    <w:multiLevelType w:val="hybridMultilevel"/>
    <w:lvl w:ilvl="0">
      <w:lvlJc w:val="left"/>
      <w:lvlText w:val="(%1)"/>
      <w:numFmt w:val="lowerLetter"/>
      <w:start w:val="1"/>
    </w:lvl>
  </w:abstractNum>
  <w:abstractNum w:abstractNumId="105">
    <w:nsid w:val="3DA97044"/>
    <w:multiLevelType w:val="hybridMultilevel"/>
    <w:lvl w:ilvl="0">
      <w:lvlJc w:val="left"/>
      <w:lvlText w:val="(%1)"/>
      <w:numFmt w:val="lowerLetter"/>
      <w:start w:val="1"/>
    </w:lvl>
  </w:abstractNum>
  <w:abstractNum w:abstractNumId="106">
    <w:nsid w:val="1CDCE2DE"/>
    <w:multiLevelType w:val="hybridMultilevel"/>
    <w:lvl w:ilvl="0">
      <w:lvlJc w:val="left"/>
      <w:lvlText w:val="(%1)"/>
      <w:numFmt w:val="lowerLetter"/>
      <w:start w:val="1"/>
    </w:lvl>
  </w:abstractNum>
  <w:abstractNum w:abstractNumId="107">
    <w:nsid w:val="69D3947C"/>
    <w:multiLevelType w:val="hybridMultilevel"/>
    <w:lvl w:ilvl="0">
      <w:lvlJc w:val="left"/>
      <w:lvlText w:val="%1"/>
      <w:numFmt w:val="lowerLetter"/>
      <w:start w:val="1"/>
    </w:lvl>
    <w:lvl w:ilvl="1">
      <w:lvlJc w:val="left"/>
      <w:lvlText w:val="(%2)"/>
      <w:numFmt w:val="lowerLetter"/>
      <w:start w:val="1"/>
    </w:lvl>
  </w:abstractNum>
  <w:abstractNum w:abstractNumId="108">
    <w:nsid w:val="2539DFA5"/>
    <w:multiLevelType w:val="hybridMultilevel"/>
    <w:lvl w:ilvl="0">
      <w:lvlJc w:val="left"/>
      <w:lvlText w:val="(%1)"/>
      <w:numFmt w:val="lowerLetter"/>
      <w:start w:val="24"/>
    </w:lvl>
    <w:lvl w:ilvl="1">
      <w:lvlJc w:val="left"/>
      <w:lvlText w:val="%2"/>
      <w:numFmt w:val="lowerLetter"/>
      <w:start w:val="1"/>
    </w:lvl>
  </w:abstractNum>
  <w:abstractNum w:abstractNumId="109">
    <w:nsid w:val="2DB88089"/>
    <w:multiLevelType w:val="hybridMultilevel"/>
    <w:lvl w:ilvl="0">
      <w:lvlJc w:val="left"/>
      <w:lvlText w:val="%1"/>
      <w:numFmt w:val="lowerLetter"/>
      <w:start w:val="1"/>
    </w:lvl>
    <w:lvl w:ilvl="1">
      <w:lvlJc w:val="left"/>
      <w:lvlText w:val="(%2)"/>
      <w:numFmt w:val="lowerLetter"/>
      <w:start w:val="35"/>
    </w:lvl>
  </w:abstractNum>
  <w:abstractNum w:abstractNumId="110">
    <w:nsid w:val="706B674E"/>
    <w:multiLevelType w:val="hybridMultilevel"/>
    <w:lvl w:ilvl="0">
      <w:lvlJc w:val="left"/>
      <w:lvlText w:val="(%1)"/>
      <w:numFmt w:val="lowerLetter"/>
      <w:start w:val="2"/>
    </w:lvl>
    <w:lvl w:ilvl="1">
      <w:lvlJc w:val="left"/>
      <w:lvlText w:val="(%2)"/>
      <w:numFmt w:val="lowerLetter"/>
      <w:start w:val="35"/>
    </w:lvl>
  </w:abstractNum>
  <w:abstractNum w:abstractNumId="111">
    <w:nsid w:val="2C106A57"/>
    <w:multiLevelType w:val="hybridMultilevel"/>
    <w:lvl w:ilvl="0">
      <w:lvlJc w:val="left"/>
      <w:lvlText w:val="(%1)"/>
      <w:numFmt w:val="lowerLetter"/>
      <w:start w:val="5"/>
    </w:lvl>
  </w:abstractNum>
  <w:abstractNum w:abstractNumId="112">
    <w:nsid w:val="684EED59"/>
    <w:multiLevelType w:val="hybridMultilevel"/>
    <w:lvl w:ilvl="0">
      <w:lvlJc w:val="left"/>
      <w:lvlText w:val="(%1)"/>
      <w:numFmt w:val="lowerLetter"/>
      <w:start w:val="1"/>
    </w:lvl>
    <w:lvl w:ilvl="1">
      <w:lvlJc w:val="left"/>
      <w:lvlText w:val="(%2)"/>
      <w:numFmt w:val="lowerRoman"/>
      <w:start w:val="1"/>
    </w:lvl>
  </w:abstractNum>
  <w:abstractNum w:abstractNumId="113">
    <w:nsid w:val="545EE5D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4">
    <w:nsid w:val="4A66051"/>
    <w:multiLevelType w:val="hybridMultilevel"/>
    <w:lvl w:ilvl="0">
      <w:lvlJc w:val="left"/>
      <w:lvlText w:val="%1"/>
      <w:numFmt w:val="lowerRoman"/>
      <w:start w:val="1"/>
    </w:lvl>
    <w:lvl w:ilvl="1">
      <w:lvlJc w:val="left"/>
      <w:lvlText w:val="(%2)"/>
      <w:numFmt w:val="upperLetter"/>
      <w:start w:val="3"/>
    </w:lvl>
  </w:abstractNum>
  <w:abstractNum w:abstractNumId="115">
    <w:nsid w:val="20F4BDAD"/>
    <w:multiLevelType w:val="hybridMultilevel"/>
    <w:lvl w:ilvl="0">
      <w:lvlJc w:val="left"/>
      <w:lvlText w:val="(%1)"/>
      <w:numFmt w:val="lowerRoman"/>
      <w:start w:val="3"/>
    </w:lvl>
    <w:lvl w:ilvl="1">
      <w:lvlJc w:val="left"/>
      <w:lvlText w:val="%2"/>
      <w:numFmt w:val="upperLetter"/>
      <w:start w:val="1"/>
    </w:lvl>
  </w:abstractNum>
  <w:abstractNum w:abstractNumId="116">
    <w:nsid w:val="639DEFAC"/>
    <w:multiLevelType w:val="hybridMultilevel"/>
    <w:lvl w:ilvl="0">
      <w:lvlJc w:val="left"/>
      <w:lvlText w:val="(%1)"/>
      <w:numFmt w:val="lowerRoman"/>
      <w:start w:val="4"/>
    </w:lvl>
    <w:lvl w:ilvl="1">
      <w:lvlJc w:val="left"/>
      <w:lvlText w:val="(%2)"/>
      <w:numFmt w:val="upperLetter"/>
      <w:start w:val="1"/>
    </w:lvl>
  </w:abstractNum>
  <w:abstractNum w:abstractNumId="117">
    <w:nsid w:val="501F9786"/>
    <w:multiLevelType w:val="hybridMultilevel"/>
    <w:lvl w:ilvl="0">
      <w:lvlJc w:val="left"/>
      <w:lvlText w:val="(%1)"/>
      <w:numFmt w:val="lowerRoman"/>
      <w:start w:val="6"/>
    </w:lvl>
  </w:abstractNum>
  <w:abstractNum w:abstractNumId="118">
    <w:nsid w:val="6B057295"/>
    <w:multiLevelType w:val="hybridMultilevel"/>
    <w:lvl w:ilvl="0">
      <w:lvlJc w:val="left"/>
      <w:lvlText w:val="%1"/>
      <w:numFmt w:val="lowerRoman"/>
      <w:start w:val="1"/>
    </w:lvl>
    <w:lvl w:ilvl="1">
      <w:lvlJc w:val="left"/>
      <w:lvlText w:val="(%2)"/>
      <w:numFmt w:val="upperLetter"/>
      <w:start w:val="2"/>
    </w:lvl>
  </w:abstractNum>
  <w:abstractNum w:abstractNumId="119">
    <w:nsid w:val="2771AC80"/>
    <w:multiLevelType w:val="hybridMultilevel"/>
    <w:lvl w:ilvl="0">
      <w:lvlJc w:val="left"/>
      <w:lvlText w:val="(%1)"/>
      <w:numFmt w:val="lowerRoman"/>
      <w:start w:val="8"/>
    </w:lvl>
    <w:lvl w:ilvl="1">
      <w:lvlJc w:val="left"/>
      <w:lvlText w:val="%2"/>
      <w:numFmt w:val="upperLetter"/>
      <w:start w:val="1"/>
    </w:lvl>
  </w:abstractNum>
  <w:abstractNum w:abstractNumId="120">
    <w:nsid w:val="1C4A08EC"/>
    <w:multiLevelType w:val="hybridMultilevel"/>
    <w:lvl w:ilvl="0">
      <w:lvlJc w:val="left"/>
      <w:lvlText w:val="(%1)"/>
      <w:numFmt w:val="lowerLetter"/>
      <w:start w:val="1"/>
    </w:lvl>
  </w:abstractNum>
  <w:abstractNum w:abstractNumId="121">
    <w:nsid w:val="1958BD17"/>
    <w:multiLevelType w:val="hybridMultilevel"/>
    <w:lvl w:ilvl="0">
      <w:lvlJc w:val="left"/>
      <w:lvlText w:val="(%1)"/>
      <w:numFmt w:val="lowerLetter"/>
      <w:start w:val="3"/>
    </w:lvl>
  </w:abstractNum>
  <w:abstractNum w:abstractNumId="122">
    <w:nsid w:val="4E647FE4"/>
    <w:multiLevelType w:val="hybridMultilevel"/>
    <w:lvl w:ilvl="0">
      <w:lvlJc w:val="left"/>
      <w:lvlText w:val="(%1)"/>
      <w:numFmt w:val="lowerLetter"/>
      <w:start w:val="1"/>
    </w:lvl>
  </w:abstractNum>
  <w:abstractNum w:abstractNumId="123">
    <w:nsid w:val="E0BB885"/>
    <w:multiLevelType w:val="hybridMultilevel"/>
    <w:lvl w:ilvl="0">
      <w:lvlJc w:val="left"/>
      <w:lvlText w:val="%1"/>
      <w:numFmt w:val="lowerLetter"/>
      <w:start w:val="1"/>
    </w:lvl>
    <w:lvl w:ilvl="1">
      <w:lvlJc w:val="left"/>
      <w:lvlText w:val="(%2)"/>
      <w:numFmt w:val="lowerLetter"/>
      <w:start w:val="5"/>
    </w:lvl>
  </w:abstractNum>
  <w:abstractNum w:abstractNumId="124">
    <w:nsid w:val="565976F1"/>
    <w:multiLevelType w:val="hybridMultilevel"/>
    <w:lvl w:ilvl="0">
      <w:lvlJc w:val="left"/>
      <w:lvlText w:val="(%1)"/>
      <w:numFmt w:val="lowerLetter"/>
      <w:start w:val="4"/>
    </w:lvl>
    <w:lvl w:ilvl="1">
      <w:lvlJc w:val="left"/>
      <w:lvlText w:val="(%2)"/>
      <w:numFmt w:val="lowerLetter"/>
      <w:start w:val="6"/>
    </w:lvl>
  </w:abstractNum>
  <w:abstractNum w:abstractNumId="125">
    <w:nsid w:val="64212B8C"/>
    <w:multiLevelType w:val="hybridMultilevel"/>
    <w:lvl w:ilvl="0">
      <w:lvlJc w:val="left"/>
      <w:lvlText w:val="(%1)"/>
      <w:numFmt w:val="lowerLetter"/>
      <w:start w:val="1"/>
    </w:lvl>
  </w:abstractNum>
  <w:abstractNum w:abstractNumId="126">
    <w:nsid w:val="5C17530C"/>
    <w:multiLevelType w:val="hybridMultilevel"/>
    <w:lvl w:ilvl="0">
      <w:lvlJc w:val="left"/>
      <w:lvlText w:val="(%1)"/>
      <w:numFmt w:val="lowerLetter"/>
      <w:start w:val="1"/>
    </w:lvl>
    <w:lvl w:ilvl="1">
      <w:lvlJc w:val="left"/>
      <w:lvlText w:val="(%2)"/>
      <w:numFmt w:val="lowerRoman"/>
      <w:start w:val="1"/>
    </w:lvl>
  </w:abstractNum>
  <w:abstractNum w:abstractNumId="127">
    <w:nsid w:val="19A52566"/>
    <w:multiLevelType w:val="hybridMultilevel"/>
    <w:lvl w:ilvl="0">
      <w:lvlJc w:val="left"/>
      <w:lvlText w:val="(%1)"/>
      <w:numFmt w:val="lowerLetter"/>
      <w:start w:val="2"/>
    </w:lvl>
  </w:abstractNum>
  <w:abstractNum w:abstractNumId="128">
    <w:nsid w:val="335A1DF1"/>
    <w:multiLevelType w:val="hybridMultilevel"/>
    <w:lvl w:ilvl="0">
      <w:lvlJc w:val="left"/>
      <w:lvlText w:val="(%1)"/>
      <w:numFmt w:val="lowerLetter"/>
      <w:start w:val="4"/>
    </w:lvl>
  </w:abstractNum>
  <w:abstractNum w:abstractNumId="129">
    <w:nsid w:val="28677B7C"/>
    <w:multiLevelType w:val="hybridMultilevel"/>
    <w:lvl w:ilvl="0">
      <w:lvlJc w:val="left"/>
      <w:lvlText w:val="(%1)"/>
      <w:numFmt w:val="lowerLetter"/>
      <w:start w:val="1"/>
    </w:lvl>
  </w:abstractNum>
  <w:abstractNum w:abstractNumId="130">
    <w:nsid w:val="378D97C0"/>
    <w:multiLevelType w:val="hybridMultilevel"/>
    <w:lvl w:ilvl="0">
      <w:lvlJc w:val="left"/>
      <w:lvlText w:val="(%1)"/>
      <w:numFmt w:val="lowerLetter"/>
      <w:start w:val="3"/>
    </w:lvl>
    <w:lvl w:ilvl="1">
      <w:lvlJc w:val="left"/>
      <w:lvlText w:val="(%2)"/>
      <w:numFmt w:val="lowerLetter"/>
      <w:start w:val="9"/>
    </w:lvl>
  </w:abstractNum>
  <w:abstractNum w:abstractNumId="131">
    <w:nsid w:val="1D91467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32">
    <w:nsid w:val="316032BB"/>
    <w:multiLevelType w:val="hybridMultilevel"/>
    <w:lvl w:ilvl="0">
      <w:lvlJc w:val="left"/>
      <w:lvlText w:val="(%1)"/>
      <w:numFmt w:val="upperLetter"/>
      <w:start w:val="4"/>
    </w:lvl>
  </w:abstractNum>
  <w:abstractNum w:abstractNumId="133">
    <w:nsid w:val="44344C22"/>
    <w:multiLevelType w:val="hybridMultilevel"/>
    <w:lvl w:ilvl="0">
      <w:lvlJc w:val="left"/>
      <w:lvlText w:val="(%1)"/>
      <w:numFmt w:val="lowerLetter"/>
      <w:start w:val="7"/>
    </w:lvl>
  </w:abstractNum>
  <w:abstractNum w:abstractNumId="134">
    <w:nsid w:val="13CDFCFC"/>
    <w:multiLevelType w:val="hybridMultilevel"/>
    <w:lvl w:ilvl="0">
      <w:lvlJc w:val="left"/>
      <w:lvlText w:val="(%1)"/>
      <w:numFmt w:val="lowerLetter"/>
      <w:start w:val="8"/>
    </w:lvl>
  </w:abstractNum>
  <w:abstractNum w:abstractNumId="135">
    <w:nsid w:val="471745E4"/>
    <w:multiLevelType w:val="hybridMultilevel"/>
    <w:lvl w:ilvl="0">
      <w:lvlJc w:val="left"/>
      <w:lvlText w:val="(%1)"/>
      <w:numFmt w:val="lowerLetter"/>
      <w:start w:val="1"/>
    </w:lvl>
  </w:abstractNum>
  <w:abstractNum w:abstractNumId="136">
    <w:nsid w:val="1DDBC66"/>
    <w:multiLevelType w:val="hybridMultilevel"/>
    <w:lvl w:ilvl="0">
      <w:lvlJc w:val="left"/>
      <w:lvlText w:val="(%1)"/>
      <w:numFmt w:val="lowerLetter"/>
      <w:start w:val="2"/>
    </w:lvl>
    <w:lvl w:ilvl="1">
      <w:lvlJc w:val="left"/>
      <w:lvlText w:val="(%2)"/>
      <w:numFmt w:val="lowerRoman"/>
      <w:start w:val="1"/>
    </w:lvl>
  </w:abstractNum>
  <w:abstractNum w:abstractNumId="137">
    <w:nsid w:val="30AADFDA"/>
    <w:multiLevelType w:val="hybridMultilevel"/>
    <w:lvl w:ilvl="0">
      <w:lvlJc w:val="left"/>
      <w:lvlText w:val="(%1)"/>
      <w:numFmt w:val="lowerLetter"/>
      <w:start w:val="4"/>
    </w:lvl>
  </w:abstractNum>
  <w:abstractNum w:abstractNumId="138">
    <w:nsid w:val="30EADA61"/>
    <w:multiLevelType w:val="hybridMultilevel"/>
    <w:lvl w:ilvl="0">
      <w:lvlJc w:val="left"/>
      <w:lvlText w:val="(%1)"/>
      <w:numFmt w:val="lowerLetter"/>
      <w:start w:val="1"/>
    </w:lvl>
  </w:abstractNum>
  <w:abstractNum w:abstractNumId="139">
    <w:nsid w:val="27179C0B"/>
    <w:multiLevelType w:val="hybridMultilevel"/>
    <w:lvl w:ilvl="0">
      <w:lvlJc w:val="left"/>
      <w:lvlText w:val="(%1)"/>
      <w:numFmt w:val="lowerLetter"/>
      <w:start w:val="1"/>
    </w:lvl>
  </w:abstractNum>
  <w:abstractNum w:abstractNumId="140">
    <w:nsid w:val="5E636063"/>
    <w:multiLevelType w:val="hybridMultilevel"/>
    <w:lvl w:ilvl="0">
      <w:lvlJc w:val="left"/>
      <w:lvlText w:val="(%1)"/>
      <w:numFmt w:val="lowerLetter"/>
      <w:start w:val="4"/>
    </w:lvl>
    <w:lvl w:ilvl="1">
      <w:lvlJc w:val="left"/>
      <w:lvlText w:val="(%2)"/>
      <w:numFmt w:val="lowerRoman"/>
      <w:start w:val="1"/>
    </w:lvl>
  </w:abstractNum>
  <w:abstractNum w:abstractNumId="141">
    <w:nsid w:val="215641AF"/>
    <w:multiLevelType w:val="hybridMultilevel"/>
    <w:lvl w:ilvl="0">
      <w:lvlJc w:val="left"/>
      <w:lvlText w:val="%1"/>
      <w:numFmt w:val="lowerLetter"/>
      <w:start w:val="1"/>
    </w:lvl>
    <w:lvl w:ilvl="1">
      <w:lvlJc w:val="left"/>
      <w:lvlText w:val="(%2)"/>
      <w:numFmt w:val="lowerRoman"/>
      <w:start w:val="3"/>
    </w:lvl>
  </w:abstractNum>
  <w:abstractNum w:abstractNumId="142">
    <w:nsid w:val="53280662"/>
    <w:multiLevelType w:val="hybridMultilevel"/>
    <w:lvl w:ilvl="0">
      <w:lvlJc w:val="left"/>
      <w:lvlText w:val="(%1)"/>
      <w:numFmt w:val="lowerLetter"/>
      <w:start w:val="5"/>
    </w:lvl>
    <w:lvl w:ilvl="1">
      <w:lvlJc w:val="left"/>
      <w:lvlText w:val="%2"/>
      <w:numFmt w:val="lowerRoman"/>
      <w:start w:val="1"/>
    </w:lvl>
  </w:abstractNum>
  <w:abstractNum w:abstractNumId="143">
    <w:nsid w:val="46B24DBC"/>
    <w:multiLevelType w:val="hybridMultilevel"/>
    <w:lvl w:ilvl="0">
      <w:lvlJc w:val="left"/>
      <w:lvlText w:val="(%1)"/>
      <w:numFmt w:val="lowerLetter"/>
      <w:start w:val="1"/>
    </w:lvl>
  </w:abstractNum>
  <w:abstractNum w:abstractNumId="144">
    <w:nsid w:val="75B52783"/>
    <w:multiLevelType w:val="hybridMultilevel"/>
    <w:lvl w:ilvl="0">
      <w:lvlJc w:val="left"/>
      <w:lvlText w:val="(%1)"/>
      <w:numFmt w:val="lowerRoman"/>
      <w:start w:val="1"/>
    </w:lvl>
    <w:lvl w:ilvl="1">
      <w:lvlJc w:val="left"/>
      <w:lvlText w:val="(%2)"/>
      <w:numFmt w:val="upperLetter"/>
      <w:start w:val="1"/>
    </w:lvl>
  </w:abstractNum>
  <w:abstractNum w:abstractNumId="145">
    <w:nsid w:val="57CE66B4"/>
    <w:multiLevelType w:val="hybridMultilevel"/>
    <w:lvl w:ilvl="0">
      <w:lvlJc w:val="left"/>
      <w:lvlText w:val="%1"/>
      <w:numFmt w:val="lowerRoman"/>
      <w:start w:val="1"/>
    </w:lvl>
    <w:lvl w:ilvl="1">
      <w:lvlJc w:val="left"/>
      <w:lvlText w:val="(%2)"/>
      <w:numFmt w:val="lowerRoman"/>
      <w:start w:val="5"/>
    </w:lvl>
  </w:abstractNum>
  <w:abstractNum w:abstractNumId="146">
    <w:nsid w:val="67A70B69"/>
    <w:multiLevelType w:val="hybridMultilevel"/>
    <w:lvl w:ilvl="0">
      <w:lvlJc w:val="left"/>
      <w:lvlText w:val="(%1)"/>
      <w:numFmt w:val="lowerRoman"/>
      <w:start w:val="10"/>
    </w:lvl>
    <w:lvl w:ilvl="1">
      <w:lvlJc w:val="left"/>
      <w:lvlText w:val="(%2)"/>
      <w:numFmt w:val="lowerRoman"/>
      <w:start w:val="11"/>
    </w:lvl>
  </w:abstractNum>
  <w:abstractNum w:abstractNumId="147">
    <w:nsid w:val="5953172F"/>
    <w:multiLevelType w:val="hybridMultilevel"/>
    <w:lvl w:ilvl="0">
      <w:lvlJc w:val="left"/>
      <w:lvlText w:val="%1"/>
      <w:numFmt w:val="lowerLetter"/>
      <w:start w:val="1"/>
    </w:lvl>
    <w:lvl w:ilvl="1">
      <w:lvlJc w:val="left"/>
      <w:lvlText w:val="(%2)"/>
      <w:numFmt w:val="lowerRoman"/>
      <w:start w:val="14"/>
    </w:lvl>
  </w:abstractNum>
  <w:abstractNum w:abstractNumId="148">
    <w:nsid w:val="27EDFE3A"/>
    <w:multiLevelType w:val="hybridMultilevel"/>
    <w:lvl w:ilvl="0">
      <w:lvlJc w:val="left"/>
      <w:lvlText w:val="(%1)"/>
      <w:numFmt w:val="lowerLetter"/>
      <w:start w:val="2"/>
    </w:lvl>
    <w:lvl w:ilvl="1">
      <w:lvlJc w:val="left"/>
      <w:lvlText w:val="(%2)"/>
      <w:numFmt w:val="lowerRoman"/>
      <w:start w:val="1"/>
    </w:lvl>
  </w:abstractNum>
  <w:abstractNum w:abstractNumId="149">
    <w:nsid w:val="52AC7DFF"/>
    <w:multiLevelType w:val="hybridMultilevel"/>
    <w:lvl w:ilvl="0">
      <w:lvlJc w:val="left"/>
      <w:lvlText w:val="%1"/>
      <w:numFmt w:val="lowerLetter"/>
      <w:start w:val="1"/>
    </w:lvl>
    <w:lvl w:ilvl="1">
      <w:lvlJc w:val="left"/>
      <w:lvlText w:val="(%2)"/>
      <w:numFmt w:val="lowerRoman"/>
      <w:start w:val="4"/>
    </w:lvl>
  </w:abstractNum>
  <w:abstractNum w:abstractNumId="150">
    <w:nsid w:val="C4C3AF"/>
    <w:multiLevelType w:val="hybridMultilevel"/>
    <w:lvl w:ilvl="0">
      <w:lvlJc w:val="left"/>
      <w:lvlText w:val="(%1)"/>
      <w:numFmt w:val="lowerLetter"/>
      <w:start w:val="5"/>
    </w:lvl>
    <w:lvl w:ilvl="1">
      <w:lvlJc w:val="left"/>
      <w:lvlText w:val="%2"/>
      <w:numFmt w:val="lowerRoman"/>
      <w:start w:val="1"/>
    </w:lvl>
  </w:abstractNum>
  <w:abstractNum w:abstractNumId="151">
    <w:nsid w:val="44380727"/>
    <w:multiLevelType w:val="hybridMultilevel"/>
    <w:lvl w:ilvl="0">
      <w:lvlJc w:val="left"/>
      <w:lvlText w:val="(%1)"/>
      <w:numFmt w:val="lowerRoman"/>
      <w:start w:val="1"/>
    </w:lvl>
  </w:abstractNum>
  <w:abstractNum w:abstractNumId="152">
    <w:nsid w:val="6C053B16"/>
    <w:multiLevelType w:val="hybridMultilevel"/>
    <w:lvl w:ilvl="0">
      <w:lvlJc w:val="left"/>
      <w:lvlText w:val="(%1)"/>
      <w:numFmt w:val="lowerLetter"/>
      <w:start w:val="1"/>
    </w:lvl>
    <w:lvl w:ilvl="1">
      <w:lvlJc w:val="left"/>
      <w:lvlText w:val="(%2)"/>
      <w:numFmt w:val="lowerLetter"/>
      <w:start w:val="9"/>
    </w:lvl>
  </w:abstractNum>
  <w:abstractNum w:abstractNumId="153">
    <w:nsid w:val="4F294393"/>
    <w:multiLevelType w:val="hybridMultilevel"/>
    <w:lvl w:ilvl="0">
      <w:lvlJc w:val="left"/>
      <w:lvlText w:val="(%1)"/>
      <w:numFmt w:val="lowerRoman"/>
      <w:start w:val="2"/>
    </w:lvl>
  </w:abstractNum>
  <w:abstractNum w:abstractNumId="154">
    <w:nsid w:val="5243BF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55">
    <w:nsid w:val="425EB20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6">
    <w:nsid w:val="334A6F1F"/>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57">
    <w:nsid w:val="2E5B12B8"/>
    <w:multiLevelType w:val="hybridMultilevel"/>
    <w:lvl w:ilvl="0">
      <w:lvlJc w:val="left"/>
      <w:lvlText w:val="(%1)"/>
      <w:numFmt w:val="lowerLetter"/>
      <w:start w:val="3"/>
    </w:lvl>
  </w:abstractNum>
  <w:abstractNum w:abstractNumId="158">
    <w:nsid w:val="5C03D76D"/>
    <w:multiLevelType w:val="hybridMultilevel"/>
    <w:lvl w:ilvl="0">
      <w:lvlJc w:val="left"/>
      <w:lvlText w:val="(%1)"/>
      <w:numFmt w:val="lowerRoman"/>
      <w:start w:val="2"/>
    </w:lvl>
  </w:abstractNum>
  <w:abstractNum w:abstractNumId="159">
    <w:nsid w:val="66A48D11"/>
    <w:multiLevelType w:val="hybridMultilevel"/>
    <w:lvl w:ilvl="0">
      <w:lvlJc w:val="left"/>
      <w:lvlText w:val="(%1)"/>
      <w:numFmt w:val="lowerLetter"/>
      <w:start w:val="1"/>
    </w:lvl>
  </w:abstractNum>
  <w:abstractNum w:abstractNumId="160">
    <w:nsid w:val="56C28E34"/>
    <w:multiLevelType w:val="hybridMultilevel"/>
    <w:lvl w:ilvl="0">
      <w:lvlJc w:val="left"/>
      <w:lvlText w:val="(%1)"/>
      <w:numFmt w:val="lowerLetter"/>
      <w:start w:val="1"/>
    </w:lvl>
  </w:abstractNum>
  <w:abstractNum w:abstractNumId="161">
    <w:nsid w:val="13916F2D"/>
    <w:multiLevelType w:val="hybridMultilevel"/>
    <w:lvl w:ilvl="0">
      <w:lvlJc w:val="left"/>
      <w:lvlText w:val="(%1)"/>
      <w:numFmt w:val="lowerLetter"/>
      <w:start w:val="1"/>
    </w:lvl>
  </w:abstractNum>
  <w:abstractNum w:abstractNumId="162">
    <w:nsid w:val="435D38D"/>
    <w:multiLevelType w:val="hybridMultilevel"/>
    <w:lvl w:ilvl="0">
      <w:lvlJc w:val="left"/>
      <w:lvlText w:val="(%1)"/>
      <w:numFmt w:val="lowerLetter"/>
      <w:start w:val="2"/>
    </w:lvl>
  </w:abstractNum>
  <w:abstractNum w:abstractNumId="163">
    <w:nsid w:val="822C0EF"/>
    <w:multiLevelType w:val="hybridMultilevel"/>
    <w:lvl w:ilvl="0">
      <w:lvlJc w:val="left"/>
      <w:lvlText w:val="(%1)"/>
      <w:numFmt w:val="lowerLetter"/>
      <w:start w:val="1"/>
    </w:lvl>
  </w:abstractNum>
  <w:abstractNum w:abstractNumId="164">
    <w:nsid w:val="57C5BB4F"/>
    <w:multiLevelType w:val="hybridMultilevel"/>
    <w:lvl w:ilvl="0">
      <w:lvlJc w:val="left"/>
      <w:lvlText w:val="(%1)"/>
      <w:numFmt w:val="lowerLetter"/>
      <w:start w:val="1"/>
    </w:lvl>
  </w:abstractNum>
  <w:abstractNum w:abstractNumId="165">
    <w:nsid w:val="1803D089"/>
    <w:multiLevelType w:val="hybridMultilevel"/>
    <w:lvl w:ilvl="0">
      <w:lvlJc w:val="left"/>
      <w:lvlText w:val="(%1)"/>
      <w:numFmt w:val="lowerLetter"/>
      <w:start w:val="2"/>
    </w:lvl>
  </w:abstractNum>
  <w:abstractNum w:abstractNumId="166">
    <w:nsid w:val="4F3A06D4"/>
    <w:multiLevelType w:val="hybridMultilevel"/>
    <w:lvl w:ilvl="0">
      <w:lvlJc w:val="left"/>
      <w:lvlText w:val="(%1)"/>
      <w:numFmt w:val="lowerLetter"/>
      <w:start w:val="1"/>
    </w:lvl>
  </w:abstractNum>
  <w:abstractNum w:abstractNumId="167">
    <w:nsid w:val="59A377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69">
    <w:nsid w:val="24E13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0">
    <w:nsid w:val="BB13C1"/>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171">
    <w:nsid w:val="271210C7"/>
    <w:multiLevelType w:val="hybridMultilevel"/>
    <w:lvl w:ilvl="0">
      <w:lvlJc w:val="left"/>
      <w:lvlText w:val="(%1)"/>
      <w:numFmt w:val="lowerLetter"/>
      <w:start w:val="10"/>
    </w:lvl>
  </w:abstractNum>
  <w:abstractNum w:abstractNumId="172">
    <w:nsid w:val="217B22E4"/>
    <w:multiLevelType w:val="hybridMultilevel"/>
    <w:lvl w:ilvl="0">
      <w:lvlJc w:val="left"/>
      <w:lvlText w:val="(%1)"/>
      <w:numFmt w:val="lowerLetter"/>
      <w:start w:val="1"/>
    </w:lvl>
  </w:abstractNum>
  <w:abstractNum w:abstractNumId="173">
    <w:nsid w:val="53E31A24"/>
    <w:multiLevelType w:val="hybridMultilevel"/>
    <w:lvl w:ilvl="0">
      <w:lvlJc w:val="left"/>
      <w:lvlText w:val="(%1)"/>
      <w:numFmt w:val="lowerLetter"/>
      <w:start w:val="2"/>
    </w:lvl>
  </w:abstractNum>
  <w:abstractNum w:abstractNumId="174">
    <w:nsid w:val="6DC45E83"/>
    <w:multiLevelType w:val="hybridMultilevel"/>
    <w:lvl w:ilvl="0">
      <w:lvlJc w:val="left"/>
      <w:lvlText w:val="(%1)"/>
      <w:numFmt w:val="lowerLetter"/>
      <w:start w:val="1"/>
    </w:lvl>
  </w:abstractNum>
  <w:abstractNum w:abstractNumId="175">
    <w:nsid w:val="17304A67"/>
    <w:multiLevelType w:val="hybridMultilevel"/>
    <w:lvl w:ilvl="0">
      <w:lvlJc w:val="left"/>
      <w:lvlText w:val="(%1)"/>
      <w:numFmt w:val="lowerLetter"/>
      <w:start w:val="2"/>
    </w:lvl>
  </w:abstractNum>
  <w:abstractNum w:abstractNumId="176">
    <w:nsid w:val="2BB180D8"/>
    <w:multiLevelType w:val="hybridMultilevel"/>
    <w:lvl w:ilvl="0">
      <w:lvlJc w:val="left"/>
      <w:lvlText w:val="(%1)"/>
      <w:numFmt w:val="lowerLetter"/>
      <w:start w:val="10"/>
    </w:lvl>
  </w:abstractNum>
  <w:abstractNum w:abstractNumId="177">
    <w:nsid w:val="556B69ED"/>
    <w:multiLevelType w:val="hybridMultilevel"/>
    <w:lvl w:ilvl="0">
      <w:lvlJc w:val="left"/>
      <w:lvlText w:val="(%1)"/>
      <w:numFmt w:val="lowerRoman"/>
      <w:start w:val="2"/>
    </w:lvl>
  </w:abstractNum>
  <w:abstractNum w:abstractNumId="178">
    <w:nsid w:val="70836196"/>
    <w:multiLevelType w:val="hybridMultilevel"/>
    <w:lvl w:ilvl="0">
      <w:lvlJc w:val="left"/>
      <w:lvlText w:val="%1"/>
      <w:numFmt w:val="upperLetter"/>
      <w:start w:val="1"/>
    </w:lvl>
    <w:lvl w:ilvl="1">
      <w:lvlJc w:val="left"/>
      <w:lvlText w:val="(%2)"/>
      <w:numFmt w:val="lowerLetter"/>
      <w:start w:val="1"/>
    </w:lvl>
  </w:abstractNum>
  <w:abstractNum w:abstractNumId="179">
    <w:nsid w:val="539F7F12"/>
    <w:multiLevelType w:val="hybridMultilevel"/>
    <w:lvl w:ilvl="0">
      <w:lvlJc w:val="left"/>
      <w:lvlText w:val="(%1)"/>
      <w:numFmt w:val="upperLetter"/>
      <w:start w:val="1"/>
    </w:lvl>
    <w:lvl w:ilvl="1">
      <w:lvlJc w:val="left"/>
      <w:lvlText w:val="%2"/>
      <w:numFmt w:val="lowerLetter"/>
      <w:start w:val="1"/>
    </w:lvl>
  </w:abstractNum>
  <w:abstractNum w:abstractNumId="180">
    <w:nsid w:val="2817E7EC"/>
    <w:multiLevelType w:val="hybridMultilevel"/>
    <w:lvl w:ilvl="0">
      <w:lvlJc w:val="left"/>
      <w:lvlText w:val="(%1)"/>
      <w:numFmt w:val="upperLetter"/>
      <w:start w:val="2"/>
    </w:lvl>
    <w:lvl w:ilvl="1">
      <w:lvlJc w:val="left"/>
      <w:lvlText w:val="(%2)"/>
      <w:numFmt w:val="lowerLetter"/>
      <w:start w:val="2"/>
    </w:lvl>
  </w:abstractNum>
  <w:abstractNum w:abstractNumId="181">
    <w:nsid w:val="71482545"/>
    <w:multiLevelType w:val="hybridMultilevel"/>
    <w:lvl w:ilvl="0">
      <w:lvlJc w:val="left"/>
      <w:lvlText w:val="(%1)"/>
      <w:numFmt w:val="lowerLetter"/>
      <w:start w:val="1"/>
    </w:lvl>
  </w:abstractNum>
  <w:abstractNum w:abstractNumId="182">
    <w:nsid w:val="17D78639"/>
    <w:multiLevelType w:val="hybridMultilevel"/>
    <w:lvl w:ilvl="0">
      <w:lvlJc w:val="left"/>
      <w:lvlText w:val="(%1)"/>
      <w:numFmt w:val="lowerLetter"/>
      <w:start w:val="2"/>
    </w:lvl>
  </w:abstractNum>
  <w:abstractNum w:abstractNumId="183">
    <w:nsid w:val="141D2302"/>
    <w:multiLevelType w:val="hybridMultilevel"/>
    <w:lvl w:ilvl="0">
      <w:lvlJc w:val="left"/>
      <w:lvlText w:val="(%1)"/>
      <w:numFmt w:val="lowerLetter"/>
      <w:start w:val="1"/>
    </w:lvl>
  </w:abstractNum>
  <w:abstractNum w:abstractNumId="184">
    <w:nsid w:val="407168D8"/>
    <w:multiLevelType w:val="hybridMultilevel"/>
    <w:lvl w:ilvl="0">
      <w:lvlJc w:val="left"/>
      <w:lvlText w:val="(%1)"/>
      <w:numFmt w:val="lowerLetter"/>
      <w:start w:val="4"/>
    </w:lvl>
    <w:lvl w:ilvl="1">
      <w:lvlJc w:val="left"/>
      <w:lvlText w:val="(%2)"/>
      <w:numFmt w:val="lowerRoman"/>
      <w:start w:val="1"/>
    </w:lvl>
  </w:abstractNum>
  <w:abstractNum w:abstractNumId="185">
    <w:nsid w:val="6A1B45E5"/>
    <w:multiLevelType w:val="hybridMultilevel"/>
    <w:lvl w:ilvl="0">
      <w:lvlJc w:val="left"/>
      <w:lvlText w:val="(%1)"/>
      <w:numFmt w:val="lowerRoman"/>
      <w:start w:val="8"/>
    </w:lvl>
  </w:abstractNum>
  <w:abstractNum w:abstractNumId="186">
    <w:nsid w:val="567BD50A"/>
    <w:multiLevelType w:val="hybridMultilevel"/>
    <w:lvl w:ilvl="0">
      <w:lvlJc w:val="left"/>
      <w:lvlText w:val="(%1)"/>
      <w:numFmt w:val="lowerRoman"/>
      <w:start w:val="14"/>
    </w:lvl>
  </w:abstractNum>
  <w:abstractNum w:abstractNumId="187">
    <w:nsid w:val="73BBD7F8"/>
    <w:multiLevelType w:val="hybridMultilevel"/>
    <w:lvl w:ilvl="0">
      <w:lvlJc w:val="left"/>
      <w:lvlText w:val="(%1)"/>
      <w:numFmt w:val="lowerLetter"/>
      <w:start w:val="5"/>
    </w:lvl>
  </w:abstractNum>
  <w:abstractNum w:abstractNumId="188">
    <w:nsid w:val="1876589D"/>
    <w:multiLevelType w:val="hybridMultilevel"/>
    <w:lvl w:ilvl="0">
      <w:lvlJc w:val="left"/>
      <w:lvlText w:val="(%1)"/>
      <w:numFmt w:val="lowerLetter"/>
      <w:start w:val="1"/>
    </w:lvl>
  </w:abstractNum>
  <w:abstractNum w:abstractNumId="189">
    <w:nsid w:val="327FAC77"/>
    <w:multiLevelType w:val="hybridMultilevel"/>
    <w:lvl w:ilvl="0">
      <w:lvlJc w:val="left"/>
      <w:lvlText w:val="(%1)"/>
      <w:numFmt w:val="lowerLetter"/>
      <w:start w:val="1"/>
    </w:lvl>
  </w:abstractNum>
  <w:abstractNum w:abstractNumId="190">
    <w:nsid w:val="5A606509"/>
    <w:multiLevelType w:val="hybridMultilevel"/>
    <w:lvl w:ilvl="0">
      <w:lvlJc w:val="left"/>
      <w:lvlText w:val="%1"/>
      <w:numFmt w:val="lowerLetter"/>
      <w:start w:val="1"/>
    </w:lvl>
    <w:lvl w:ilvl="1">
      <w:lvlJc w:val="left"/>
      <w:lvlText w:val="(%2)"/>
      <w:numFmt w:val="lowerLetter"/>
      <w:start w:val="7"/>
    </w:lvl>
  </w:abstractNum>
  <w:abstractNum w:abstractNumId="191">
    <w:nsid w:val="6F38E6D1"/>
    <w:multiLevelType w:val="hybridMultilevel"/>
    <w:lvl w:ilvl="0">
      <w:lvlJc w:val="left"/>
      <w:lvlText w:val="(%1)"/>
      <w:numFmt w:val="lowerLetter"/>
      <w:start w:val="35"/>
    </w:lvl>
    <w:lvl w:ilvl="1">
      <w:lvlJc w:val="left"/>
      <w:lvlText w:val="(%2)"/>
      <w:numFmt w:val="lowerLetter"/>
      <w:start w:val="13"/>
    </w:lvl>
  </w:abstractNum>
  <w:abstractNum w:abstractNumId="192">
    <w:nsid w:val="46111BA5"/>
    <w:multiLevelType w:val="hybridMultilevel"/>
    <w:lvl w:ilvl="0">
      <w:lvlJc w:val="left"/>
      <w:lvlText w:val="(%1)"/>
      <w:numFmt w:val="lowerLetter"/>
      <w:start w:val="17"/>
    </w:lvl>
  </w:abstractNum>
  <w:abstractNum w:abstractNumId="193">
    <w:nsid w:val="5E963896"/>
    <w:multiLevelType w:val="hybridMultilevel"/>
    <w:lvl w:ilvl="0">
      <w:lvlJc w:val="left"/>
      <w:lvlText w:val="(%1)"/>
      <w:numFmt w:val="lowerLetter"/>
      <w:start w:val="27"/>
    </w:lvl>
  </w:abstractNum>
  <w:abstractNum w:abstractNumId="194">
    <w:nsid w:val="775BA7C1"/>
    <w:multiLevelType w:val="hybridMultilevel"/>
    <w:lvl w:ilvl="0">
      <w:lvlJc w:val="left"/>
      <w:lvlText w:val="(%1)"/>
      <w:numFmt w:val="lowerLetter"/>
      <w:start w:val="1"/>
    </w:lvl>
  </w:abstractNum>
  <w:abstractNum w:abstractNumId="195">
    <w:nsid w:val="1DD6D6F4"/>
    <w:multiLevelType w:val="hybridMultilevel"/>
    <w:lvl w:ilvl="0">
      <w:lvlJc w:val="left"/>
      <w:lvlText w:val="(%1)"/>
      <w:numFmt w:val="lowerLetter"/>
      <w:start w:val="5"/>
    </w:lvl>
    <w:lvl w:ilvl="1">
      <w:lvlJc w:val="left"/>
      <w:lvlText w:val="(%2)"/>
      <w:numFmt w:val="lowerLetter"/>
      <w:start w:val="9"/>
    </w:lvl>
  </w:abstractNum>
  <w:abstractNum w:abstractNumId="196">
    <w:nsid w:val="769A091F"/>
    <w:multiLevelType w:val="hybridMultilevel"/>
    <w:lvl w:ilvl="0">
      <w:lvlJc w:val="left"/>
      <w:lvlText w:val="%1"/>
      <w:numFmt w:val="lowerLetter"/>
      <w:start w:val="1"/>
    </w:lvl>
    <w:lvl w:ilvl="1">
      <w:lvlJc w:val="left"/>
      <w:lvlText w:val="(%2)"/>
      <w:numFmt w:val="lowerLetter"/>
      <w:start w:val="35"/>
    </w:lvl>
  </w:abstractNum>
  <w:abstractNum w:abstractNumId="197">
    <w:nsid w:val="4695AE95"/>
    <w:multiLevelType w:val="hybridMultilevel"/>
    <w:lvl w:ilvl="0">
      <w:lvlJc w:val="left"/>
      <w:lvlText w:val="(%1)"/>
      <w:numFmt w:val="lowerLetter"/>
      <w:start w:val="15"/>
    </w:lvl>
    <w:lvl w:ilvl="1">
      <w:lvlJc w:val="left"/>
      <w:lvlText w:val="(%2)"/>
      <w:numFmt w:val="lowerLetter"/>
      <w:start w:val="9"/>
    </w:lvl>
  </w:abstractNum>
  <w:abstractNum w:abstractNumId="198">
    <w:nsid w:val="777A4EAA"/>
    <w:multiLevelType w:val="hybridMultilevel"/>
    <w:lvl w:ilvl="0">
      <w:lvlJc w:val="left"/>
      <w:lvlText w:val="(%1)"/>
      <w:numFmt w:val="lowerRoman"/>
      <w:start w:val="2"/>
    </w:lvl>
  </w:abstractNum>
  <w:abstractNum w:abstractNumId="199">
    <w:nsid w:val="3F48B982"/>
    <w:multiLevelType w:val="hybridMultilevel"/>
    <w:lvl w:ilvl="0">
      <w:lvlJc w:val="left"/>
      <w:lvlText w:val="%1"/>
      <w:numFmt w:val="lowerLetter"/>
      <w:start w:val="1"/>
    </w:lvl>
    <w:lvl w:ilvl="1">
      <w:lvlJc w:val="left"/>
      <w:lvlText w:val="(%2)"/>
      <w:numFmt w:val="lowerRoman"/>
      <w:start w:val="4"/>
    </w:lvl>
  </w:abstractNum>
  <w:abstractNum w:abstractNumId="200">
    <w:nsid w:val="46BA8FCA"/>
    <w:multiLevelType w:val="hybridMultilevel"/>
    <w:lvl w:ilvl="0">
      <w:lvlJc w:val="left"/>
      <w:lvlText w:val="(%1)"/>
      <w:numFmt w:val="lowerLetter"/>
      <w:start w:val="23"/>
    </w:lvl>
    <w:lvl w:ilvl="1">
      <w:lvlJc w:val="left"/>
      <w:lvlText w:val="%2"/>
      <w:numFmt w:val="lowerRoman"/>
      <w:start w:val="1"/>
    </w:lvl>
  </w:abstractNum>
  <w:abstractNum w:abstractNumId="201">
    <w:nsid w:val="7835626C"/>
    <w:multiLevelType w:val="hybridMultilevel"/>
    <w:lvl w:ilvl="0">
      <w:lvlJc w:val="left"/>
      <w:lvlText w:val="(%1)"/>
      <w:numFmt w:val="lowerLetter"/>
      <w:start w:val="36"/>
    </w:lvl>
    <w:lvl w:ilvl="1">
      <w:lvlJc w:val="left"/>
      <w:lvlText w:val="(%2)"/>
      <w:numFmt w:val="lowerRoman"/>
      <w:start w:val="5"/>
    </w:lvl>
  </w:abstractNum>
  <w:abstractNum w:abstractNumId="202">
    <w:nsid w:val="665ACA49"/>
    <w:multiLevelType w:val="hybridMultilevel"/>
    <w:lvl w:ilvl="0">
      <w:lvlJc w:val="left"/>
      <w:lvlText w:val="(%1)"/>
      <w:numFmt w:val="lowerLetter"/>
      <w:start w:val="25"/>
    </w:lvl>
    <w:lvl w:ilvl="1">
      <w:lvlJc w:val="left"/>
      <w:lvlText w:val="(%2)"/>
      <w:numFmt w:val="lowerRoman"/>
      <w:start w:val="6"/>
    </w:lvl>
  </w:abstractNum>
  <w:abstractNum w:abstractNumId="203">
    <w:nsid w:val="6835B2AE"/>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abstractNum>
  <w:abstractNum w:abstractNumId="204">
    <w:nsid w:val="4C187C90"/>
    <w:multiLevelType w:val="hybridMultilevel"/>
    <w:lvl w:ilvl="0">
      <w:lvlJc w:val="left"/>
      <w:lvlText w:val="%1"/>
      <w:numFmt w:val="lowerLetter"/>
      <w:start w:val="1"/>
    </w:lvl>
    <w:lvl w:ilvl="1">
      <w:lvlJc w:val="left"/>
      <w:lvlText w:val="(%2)"/>
      <w:numFmt w:val="upperLetter"/>
      <w:start w:val="2"/>
    </w:lvl>
  </w:abstractNum>
  <w:abstractNum w:abstractNumId="205">
    <w:nsid w:val="541F28CD"/>
    <w:multiLevelType w:val="hybridMultilevel"/>
    <w:lvl w:ilvl="0">
      <w:lvlJc w:val="left"/>
      <w:lvlText w:val="(%1)"/>
      <w:numFmt w:val="lowerLetter"/>
      <w:start w:val="24"/>
    </w:lvl>
    <w:lvl w:ilvl="1">
      <w:lvlJc w:val="left"/>
      <w:lvlText w:val="%2"/>
      <w:numFmt w:val="upperLetter"/>
      <w:start w:val="1"/>
    </w:lvl>
  </w:abstractNum>
  <w:abstractNum w:abstractNumId="206">
    <w:nsid w:val="7F65FD16"/>
    <w:multiLevelType w:val="hybridMultilevel"/>
    <w:lvl w:ilvl="0">
      <w:lvlJc w:val="left"/>
      <w:lvlText w:val="(%1)"/>
      <w:numFmt w:val="lowerLetter"/>
      <w:start w:val="27"/>
    </w:lvl>
  </w:abstractNum>
  <w:abstractNum w:abstractNumId="207">
    <w:nsid w:val="77C9FD68"/>
    <w:multiLevelType w:val="hybridMultilevel"/>
    <w:lvl w:ilvl="0">
      <w:lvlJc w:val="left"/>
      <w:lvlText w:val="(%1)"/>
      <w:numFmt w:val="lowerLetter"/>
      <w:start w:val="35"/>
    </w:lvl>
  </w:abstractNum>
  <w:abstractNum w:abstractNumId="208">
    <w:nsid w:val="298A92BA"/>
    <w:multiLevelType w:val="hybridMultilevel"/>
    <w:lvl w:ilvl="0">
      <w:lvlJc w:val="left"/>
      <w:lvlText w:val="(%1)"/>
      <w:numFmt w:val="lowerLetter"/>
      <w:start w:val="1"/>
    </w:lvl>
  </w:abstractNum>
  <w:abstractNum w:abstractNumId="209">
    <w:nsid w:val="6FE95EAC"/>
    <w:multiLevelType w:val="hybridMultilevel"/>
    <w:lvl w:ilvl="0">
      <w:lvlJc w:val="left"/>
      <w:lvlText w:val="(%1)"/>
      <w:numFmt w:val="lowerLetter"/>
      <w:start w:val="7"/>
    </w:lvl>
  </w:abstractNum>
  <w:abstractNum w:abstractNumId="210">
    <w:nsid w:val="4B697C7A"/>
    <w:multiLevelType w:val="hybridMultilevel"/>
    <w:lvl w:ilvl="0">
      <w:lvlJc w:val="left"/>
      <w:lvlText w:val="%1"/>
      <w:numFmt w:val="lowerRoman"/>
      <w:start w:val="1"/>
    </w:lvl>
    <w:lvl w:ilvl="1">
      <w:lvlJc w:val="left"/>
      <w:lvlText w:val="(%2)"/>
      <w:numFmt w:val="lowerLetter"/>
      <w:start w:val="13"/>
    </w:lvl>
  </w:abstractNum>
  <w:abstractNum w:abstractNumId="211">
    <w:nsid w:val="51A27AA6"/>
    <w:multiLevelType w:val="hybridMultilevel"/>
    <w:lvl w:ilvl="0">
      <w:lvlJc w:val="left"/>
      <w:lvlText w:val="(%1)"/>
      <w:numFmt w:val="lowerRoman"/>
      <w:start w:val="4"/>
    </w:lvl>
    <w:lvl w:ilvl="1">
      <w:lvlJc w:val="left"/>
      <w:lvlText w:val="(%2)"/>
      <w:numFmt w:val="lowerLetter"/>
      <w:start w:val="17"/>
    </w:lvl>
  </w:abstractNum>
  <w:abstractNum w:abstractNumId="212">
    <w:nsid w:val="613183F2"/>
    <w:multiLevelType w:val="hybridMultilevel"/>
    <w:lvl w:ilvl="0">
      <w:lvlJc w:val="left"/>
      <w:lvlText w:val="(%1)"/>
      <w:numFmt w:val="lowerLetter"/>
      <w:start w:val="20"/>
    </w:lvl>
  </w:abstractNum>
  <w:abstractNum w:abstractNumId="213">
    <w:nsid w:val="634102B4"/>
    <w:multiLevelType w:val="hybridMultilevel"/>
    <w:lvl w:ilvl="0">
      <w:lvlJc w:val="left"/>
      <w:lvlText w:val="(%1)"/>
      <w:numFmt w:val="lowerLetter"/>
      <w:start w:val="27"/>
    </w:lvl>
  </w:abstractNum>
  <w:abstractNum w:abstractNumId="214">
    <w:nsid w:val="65BF9DA8"/>
    <w:multiLevelType w:val="hybridMultilevel"/>
    <w:lvl w:ilvl="0">
      <w:lvlJc w:val="left"/>
      <w:lvlText w:val="(%1)"/>
      <w:numFmt w:val="lowerLetter"/>
      <w:start w:val="32"/>
    </w:lvl>
  </w:abstractNum>
  <w:abstractNum w:abstractNumId="215">
    <w:nsid w:val="21A2EC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6">
    <w:nsid w:val="4D5C4899"/>
    <w:multiLevelType w:val="hybridMultilevel"/>
    <w:lvl w:ilvl="0">
      <w:lvlJc w:val="left"/>
      <w:lvlText w:val="(%1)"/>
      <w:numFmt w:val="upperLetter"/>
      <w:start w:val="2"/>
    </w:lvl>
  </w:abstractNum>
  <w:abstractNum w:abstractNumId="217">
    <w:nsid w:val="3C3B72B2"/>
    <w:multiLevelType w:val="hybridMultilevel"/>
    <w:lvl w:ilvl="0">
      <w:lvlJc w:val="left"/>
      <w:lvlText w:val="(%1)"/>
      <w:numFmt w:val="upperLetter"/>
      <w:start w:val="3"/>
    </w:lvl>
  </w:abstractNum>
  <w:abstractNum w:abstractNumId="218">
    <w:nsid w:val="155EC4C2"/>
    <w:multiLevelType w:val="hybridMultilevel"/>
    <w:lvl w:ilvl="0">
      <w:lvlJc w:val="left"/>
      <w:lvlText w:val="(%1)"/>
      <w:numFmt w:val="lowerRoman"/>
      <w:start w:val="2"/>
    </w:lvl>
    <w:lvl w:ilvl="1">
      <w:lvlJc w:val="left"/>
      <w:lvlText w:val="(%2)"/>
      <w:numFmt w:val="upperLetter"/>
      <w:start w:val="1"/>
    </w:lvl>
  </w:abstractNum>
  <w:abstractNum w:abstractNumId="219">
    <w:nsid w:val="65D2A137"/>
    <w:multiLevelType w:val="hybridMultilevel"/>
    <w:lvl w:ilvl="0">
      <w:lvlJc w:val="left"/>
      <w:lvlText w:val="%1"/>
      <w:numFmt w:val="lowerRoman"/>
      <w:start w:val="1"/>
    </w:lvl>
    <w:lvl w:ilvl="1">
      <w:lvlJc w:val="left"/>
      <w:lvlText w:val="(%2)"/>
      <w:numFmt w:val="upperLetter"/>
      <w:start w:val="2"/>
    </w:lvl>
  </w:abstractNum>
  <w:abstractNum w:abstractNumId="220">
    <w:nsid w:val="6EBB1F2A"/>
    <w:multiLevelType w:val="hybridMultilevel"/>
    <w:lvl w:ilvl="0">
      <w:lvlJc w:val="left"/>
      <w:lvlText w:val="(%1)"/>
      <w:numFmt w:val="lowerRoman"/>
      <w:start w:val="3"/>
    </w:lvl>
    <w:lvl w:ilvl="1">
      <w:lvlJc w:val="left"/>
      <w:lvlText w:val="(%2)"/>
      <w:numFmt w:val="upperLetter"/>
      <w:start w:val="1"/>
    </w:lvl>
  </w:abstractNum>
  <w:abstractNum w:abstractNumId="221">
    <w:nsid w:val="6FBF29CB"/>
    <w:multiLevelType w:val="hybridMultilevel"/>
    <w:lvl w:ilvl="0">
      <w:lvlJc w:val="left"/>
      <w:lvlText w:val="(%1)"/>
      <w:numFmt w:val="lowerRoman"/>
      <w:start w:val="9"/>
    </w:lvl>
  </w:abstractNum>
  <w:abstractNum w:abstractNumId="222">
    <w:nsid w:val="550B8808"/>
    <w:multiLevelType w:val="hybridMultilevel"/>
    <w:lvl w:ilvl="0">
      <w:lvlJc w:val="left"/>
      <w:lvlText w:val="(%1)"/>
      <w:numFmt w:val="lowerLetter"/>
      <w:start w:val="2"/>
    </w:lvl>
  </w:abstractNum>
  <w:abstractNum w:abstractNumId="223">
    <w:nsid w:val="34CC3ACF"/>
    <w:multiLevelType w:val="hybridMultilevel"/>
    <w:lvl w:ilvl="0">
      <w:lvlJc w:val="left"/>
      <w:lvlText w:val="(%1)"/>
      <w:numFmt w:val="lowerRoman"/>
      <w:start w:val="1"/>
    </w:lvl>
  </w:abstractNum>
  <w:abstractNum w:abstractNumId="224">
    <w:nsid w:val="4E556261"/>
    <w:multiLevelType w:val="hybridMultilevel"/>
    <w:lvl w:ilvl="0">
      <w:lvlJc w:val="left"/>
      <w:lvlText w:val="(%1)"/>
      <w:numFmt w:val="lowerLetter"/>
      <w:start w:val="1"/>
    </w:lvl>
  </w:abstractNum>
  <w:abstractNum w:abstractNumId="225">
    <w:nsid w:val="4C672FC9"/>
    <w:multiLevelType w:val="hybridMultilevel"/>
    <w:lvl w:ilvl="0">
      <w:lvlJc w:val="left"/>
      <w:lvlText w:val="(%1)"/>
      <w:numFmt w:val="lowerLetter"/>
      <w:start w:val="13"/>
    </w:lvl>
  </w:abstractNum>
  <w:abstractNum w:abstractNumId="226">
    <w:nsid w:val="52A311C3"/>
    <w:multiLevelType w:val="hybridMultilevel"/>
    <w:lvl w:ilvl="0">
      <w:lvlJc w:val="left"/>
      <w:lvlText w:val="(%1)"/>
      <w:numFmt w:val="lowerLetter"/>
      <w:start w:val="1"/>
    </w:lvl>
  </w:abstractNum>
  <w:abstractNum w:abstractNumId="227">
    <w:nsid w:val="44EF6B80"/>
    <w:multiLevelType w:val="hybridMultilevel"/>
    <w:lvl w:ilvl="0">
      <w:lvlJc w:val="left"/>
      <w:lvlText w:val="(%1)"/>
      <w:numFmt w:val="lowerLetter"/>
      <w:start w:val="4"/>
    </w:lvl>
  </w:abstractNum>
  <w:abstractNum w:abstractNumId="228">
    <w:nsid w:val="12FCDE5E"/>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229">
    <w:nsid w:val="4A1D606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30">
    <w:nsid w:val="4382503"/>
    <w:multiLevelType w:val="hybridMultilevel"/>
    <w:lvl w:ilvl="0">
      <w:lvlJc w:val="left"/>
      <w:lvlText w:val="(%1)"/>
      <w:numFmt w:val="lowerLetter"/>
      <w:start w:val="19"/>
    </w:lvl>
  </w:abstractNum>
  <w:abstractNum w:abstractNumId="231">
    <w:nsid w:val="59B76E28"/>
    <w:multiLevelType w:val="hybridMultilevel"/>
    <w:lvl w:ilvl="0">
      <w:lvlJc w:val="left"/>
      <w:lvlText w:val="(%1)"/>
      <w:numFmt w:val="lowerLetter"/>
      <w:start w:val="27"/>
    </w:lvl>
  </w:abstractNum>
  <w:abstractNum w:abstractNumId="232">
    <w:nsid w:val="4252C2DA"/>
    <w:multiLevelType w:val="hybridMultilevel"/>
    <w:lvl w:ilvl="0">
      <w:lvlJc w:val="left"/>
      <w:lvlText w:val="(%1)"/>
      <w:numFmt w:val="lowerLetter"/>
      <w:start w:val="32"/>
    </w:lvl>
  </w:abstractNum>
  <w:abstractNum w:abstractNumId="233">
    <w:nsid w:val="6A92EF4C"/>
    <w:multiLevelType w:val="hybridMultilevel"/>
    <w:lvl w:ilvl="0">
      <w:lvlJc w:val="left"/>
      <w:lvlText w:val="(%1)"/>
      <w:numFmt w:val="lowerLetter"/>
      <w:start w:val="1"/>
    </w:lvl>
    <w:lvl w:ilvl="1">
      <w:lvlJc w:val="left"/>
      <w:lvlText w:val="(%2)"/>
      <w:numFmt w:val="lowerLetter"/>
      <w:start w:val="9"/>
    </w:lvl>
  </w:abstractNum>
  <w:abstractNum w:abstractNumId="234">
    <w:nsid w:val="41ED20D7"/>
    <w:multiLevelType w:val="hybridMultilevel"/>
    <w:lvl w:ilvl="0">
      <w:lvlJc w:val="left"/>
      <w:lvlText w:val="%1"/>
      <w:numFmt w:val="lowerLetter"/>
      <w:start w:val="1"/>
    </w:lvl>
    <w:lvl w:ilvl="1">
      <w:lvlJc w:val="left"/>
      <w:lvlText w:val="(%2)"/>
      <w:numFmt w:val="lowerLetter"/>
      <w:start w:val="35"/>
    </w:lvl>
  </w:abstractNum>
  <w:abstractNum w:abstractNumId="235">
    <w:nsid w:val="E6B3F6A"/>
    <w:multiLevelType w:val="hybridMultilevel"/>
    <w:lvl w:ilvl="0">
      <w:lvlJc w:val="left"/>
      <w:lvlText w:val="(%1)"/>
      <w:numFmt w:val="lowerLetter"/>
      <w:start w:val="2"/>
    </w:lvl>
    <w:lvl w:ilvl="1">
      <w:lvlJc w:val="left"/>
      <w:lvlText w:val="%2"/>
      <w:numFmt w:val="lowerLetter"/>
      <w:start w:val="1"/>
    </w:lvl>
  </w:abstractNum>
  <w:abstractNum w:abstractNumId="236">
    <w:nsid w:val="3EB2181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37">
    <w:nsid w:val="41531DED"/>
    <w:multiLevelType w:val="hybridMultilevel"/>
    <w:lvl w:ilvl="0">
      <w:lvlJc w:val="left"/>
      <w:lvlText w:val="(%1)"/>
      <w:numFmt w:val="lowerLetter"/>
      <w:start w:val="9"/>
    </w:lvl>
  </w:abstractNum>
  <w:abstractNum w:abstractNumId="238">
    <w:nsid w:val="6353CD2"/>
    <w:multiLevelType w:val="hybridMultilevel"/>
    <w:lvl w:ilvl="0">
      <w:lvlJc w:val="left"/>
      <w:lvlText w:val="(%1)"/>
      <w:numFmt w:val="lowerLetter"/>
      <w:start w:val="12"/>
    </w:lvl>
  </w:abstractNum>
  <w:abstractNum w:abstractNumId="239">
    <w:nsid w:val="683CAAD3"/>
    <w:multiLevelType w:val="hybridMultilevel"/>
    <w:lvl w:ilvl="0">
      <w:lvlJc w:val="left"/>
      <w:lvlText w:val="(%1)"/>
      <w:numFmt w:val="lowerLetter"/>
      <w:start w:val="25"/>
    </w:lvl>
  </w:abstractNum>
  <w:abstractNum w:abstractNumId="240">
    <w:nsid w:val="313C7C99"/>
    <w:multiLevelType w:val="hybridMultilevel"/>
    <w:lvl w:ilvl="0">
      <w:lvlJc w:val="left"/>
      <w:lvlText w:val="(%1)"/>
      <w:numFmt w:val="lowerLetter"/>
      <w:start w:val="27"/>
    </w:lvl>
  </w:abstractNum>
  <w:abstractNum w:abstractNumId="241">
    <w:nsid w:val="519EB94C"/>
    <w:multiLevelType w:val="hybridMultilevel"/>
    <w:lvl w:ilvl="0">
      <w:lvlJc w:val="left"/>
      <w:lvlText w:val="(%1)"/>
      <w:numFmt w:val="lowerLetter"/>
      <w:start w:val="1"/>
    </w:lvl>
  </w:abstractNum>
  <w:abstractNum w:abstractNumId="242">
    <w:nsid w:val="39DF2579"/>
    <w:multiLevelType w:val="hybridMultilevel"/>
    <w:lvl w:ilvl="0">
      <w:lvlJc w:val="left"/>
      <w:lvlText w:val="(%1)"/>
      <w:numFmt w:val="lowerLetter"/>
      <w:start w:val="1"/>
    </w:lvl>
    <w:lvl w:ilvl="1">
      <w:lvlJc w:val="left"/>
      <w:lvlText w:val="(%2)"/>
      <w:numFmt w:val="lowerRoman"/>
      <w:start w:val="1"/>
    </w:lvl>
  </w:abstractNum>
  <w:abstractNum w:abstractNumId="243">
    <w:nsid w:val="126E008B"/>
    <w:multiLevelType w:val="hybridMultilevel"/>
    <w:lvl w:ilvl="0">
      <w:lvlJc w:val="left"/>
      <w:lvlText w:val="(%1)"/>
      <w:numFmt w:val="lowerRoman"/>
      <w:start w:val="5"/>
    </w:lvl>
  </w:abstractNum>
  <w:abstractNum w:abstractNumId="244">
    <w:nsid w:val="34DFBC00"/>
    <w:multiLevelType w:val="hybridMultilevel"/>
    <w:lvl w:ilvl="0">
      <w:lvlJc w:val="left"/>
      <w:lvlText w:val="(%1)"/>
      <w:numFmt w:val="lowerLetter"/>
      <w:start w:val="1"/>
    </w:lvl>
  </w:abstractNum>
  <w:abstractNum w:abstractNumId="245">
    <w:nsid w:val="1F9EC322"/>
    <w:multiLevelType w:val="hybridMultilevel"/>
    <w:lvl w:ilvl="0">
      <w:lvlJc w:val="left"/>
      <w:lvlText w:val="(%1)"/>
      <w:numFmt w:val="lowerLetter"/>
      <w:start w:val="3"/>
    </w:lvl>
    <w:lvl w:ilvl="1">
      <w:lvlJc w:val="left"/>
      <w:lvlText w:val="(%2)"/>
      <w:numFmt w:val="lowerRoman"/>
      <w:start w:val="1"/>
    </w:lvl>
  </w:abstractNum>
  <w:abstractNum w:abstractNumId="246">
    <w:nsid w:val="3410ED56"/>
    <w:multiLevelType w:val="hybridMultilevel"/>
    <w:lvl w:ilvl="0">
      <w:lvlJc w:val="left"/>
      <w:lvlText w:val="(%1)"/>
      <w:numFmt w:val="lowerLetter"/>
      <w:start w:val="7"/>
    </w:lvl>
  </w:abstractNum>
  <w:abstractNum w:abstractNumId="247">
    <w:nsid w:val="23C049A"/>
    <w:multiLevelType w:val="hybridMultilevel"/>
    <w:lvl w:ilvl="0">
      <w:lvlJc w:val="left"/>
      <w:lvlText w:val="(%1)"/>
      <w:numFmt w:val="decimal"/>
      <w:start w:val="2"/>
    </w:lvl>
    <w:lvl w:ilvl="1">
      <w:lvlJc w:val="left"/>
      <w:lvlText w:val="(%2)"/>
      <w:numFmt w:val="lowerLetter"/>
      <w:start w:val="12"/>
    </w:lvl>
  </w:abstractNum>
  <w:abstractNum w:abstractNumId="248">
    <w:nsid w:val="5BDA35D4"/>
    <w:multiLevelType w:val="hybridMultilevel"/>
    <w:lvl w:ilvl="0">
      <w:lvlJc w:val="left"/>
      <w:lvlText w:val="(%1)"/>
      <w:numFmt w:val="lowerLetter"/>
      <w:start w:val="1"/>
    </w:lvl>
  </w:abstractNum>
  <w:abstractNum w:abstractNumId="249">
    <w:nsid w:val="496FB218"/>
    <w:multiLevelType w:val="hybridMultilevel"/>
    <w:lvl w:ilvl="0">
      <w:lvlJc w:val="left"/>
      <w:lvlText w:val="(%1)"/>
      <w:numFmt w:val="lowerLetter"/>
      <w:start w:val="4"/>
    </w:lvl>
  </w:abstractNum>
  <w:abstractNum w:abstractNumId="250">
    <w:nsid w:val="680EA5D1"/>
    <w:multiLevelType w:val="hybridMultilevel"/>
    <w:lvl w:ilvl="0">
      <w:lvlJc w:val="left"/>
      <w:lvlText w:val="(%1)"/>
      <w:numFmt w:val="lowerLetter"/>
      <w:start w:val="1"/>
    </w:lvl>
  </w:abstractNum>
  <w:abstractNum w:abstractNumId="251">
    <w:nsid w:val="4A9554FE"/>
    <w:multiLevelType w:val="hybridMultilevel"/>
    <w:lvl w:ilvl="0">
      <w:lvlJc w:val="left"/>
      <w:lvlText w:val="(%1)"/>
      <w:numFmt w:val="lowerLetter"/>
      <w:start w:val="3"/>
    </w:lvl>
  </w:abstractNum>
  <w:abstractNum w:abstractNumId="252">
    <w:nsid w:val="392EDBE4"/>
    <w:multiLevelType w:val="hybridMultilevel"/>
    <w:lvl w:ilvl="0">
      <w:lvlJc w:val="left"/>
      <w:lvlText w:val="(%1)"/>
      <w:numFmt w:val="lowerLetter"/>
      <w:start w:val="1"/>
    </w:lvl>
  </w:abstractNum>
  <w:abstractNum w:abstractNumId="253">
    <w:nsid w:val="3D1A2DD9"/>
    <w:multiLevelType w:val="hybridMultilevel"/>
    <w:lvl w:ilvl="0">
      <w:lvlJc w:val="left"/>
      <w:lvlText w:val="(%1)"/>
      <w:numFmt w:val="lowerLetter"/>
      <w:start w:val="2"/>
    </w:lvl>
  </w:abstractNum>
  <w:abstractNum w:abstractNumId="254">
    <w:nsid w:val="7F618FCD"/>
    <w:multiLevelType w:val="hybridMultilevel"/>
    <w:lvl w:ilvl="0">
      <w:lvlJc w:val="left"/>
      <w:lvlText w:val="(%1)"/>
      <w:numFmt w:val="lowerLetter"/>
      <w:start w:val="1"/>
    </w:lvl>
  </w:abstractNum>
  <w:abstractNum w:abstractNumId="255">
    <w:nsid w:val="7843E45"/>
    <w:multiLevelType w:val="hybridMultilevel"/>
    <w:lvl w:ilvl="0">
      <w:lvlJc w:val="left"/>
      <w:lvlText w:val="%1"/>
      <w:numFmt w:val="upperLetter"/>
      <w:start w:val="1"/>
    </w:lvl>
    <w:lvl w:ilvl="1">
      <w:lvlJc w:val="left"/>
      <w:lvlText w:val="(%2)"/>
      <w:numFmt w:val="lowerLetter"/>
      <w:start w:val="2"/>
    </w:lvl>
  </w:abstractNum>
  <w:abstractNum w:abstractNumId="256">
    <w:nsid w:val="9815DA3"/>
    <w:multiLevelType w:val="hybridMultilevel"/>
    <w:lvl w:ilvl="0">
      <w:lvlJc w:val="left"/>
      <w:lvlText w:val="(%1)"/>
      <w:numFmt w:val="upperLetter"/>
      <w:start w:val="1"/>
    </w:lvl>
    <w:lvl w:ilvl="1">
      <w:lvlJc w:val="left"/>
      <w:lvlText w:val="(%2)"/>
      <w:numFmt w:val="lowerLetter"/>
      <w:start w:val="3"/>
    </w:lvl>
  </w:abstractNum>
  <w:abstractNum w:abstractNumId="257">
    <w:nsid w:val="5204A191"/>
    <w:multiLevelType w:val="hybridMultilevel"/>
    <w:lvl w:ilvl="0">
      <w:lvlJc w:val="left"/>
      <w:lvlText w:val="(%1)"/>
      <w:numFmt w:val="lowerLetter"/>
      <w:start w:val="1"/>
    </w:lvl>
  </w:abstractNum>
  <w:abstractNum w:abstractNumId="258">
    <w:nsid w:val="4C73A9C6"/>
    <w:multiLevelType w:val="hybridMultilevel"/>
    <w:lvl w:ilvl="0">
      <w:lvlJc w:val="left"/>
      <w:lvlText w:val="(%1)"/>
      <w:numFmt w:val="lowerLetter"/>
      <w:start w:val="1"/>
    </w:lvl>
  </w:abstractNum>
  <w:abstractNum w:abstractNumId="259">
    <w:nsid w:val="1C7E3C01"/>
    <w:multiLevelType w:val="hybridMultilevel"/>
    <w:lvl w:ilvl="0">
      <w:lvlJc w:val="left"/>
      <w:lvlText w:val="(%1)"/>
      <w:numFmt w:val="lowerLetter"/>
      <w:start w:val="4"/>
    </w:lvl>
  </w:abstractNum>
  <w:abstractNum w:abstractNumId="260">
    <w:nsid w:val="1C2201FF"/>
    <w:multiLevelType w:val="hybridMultilevel"/>
    <w:lvl w:ilvl="0">
      <w:lvlJc w:val="left"/>
      <w:lvlText w:val="%1"/>
      <w:numFmt w:val="lowerLetter"/>
      <w:start w:val="1"/>
    </w:lvl>
    <w:lvl w:ilvl="1">
      <w:lvlJc w:val="left"/>
      <w:lvlText w:val="(%2)"/>
      <w:numFmt w:val="lowerLetter"/>
      <w:start w:val="1"/>
    </w:lvl>
  </w:abstractNum>
  <w:abstractNum w:abstractNumId="261">
    <w:nsid w:val="50ABCEC9"/>
    <w:multiLevelType w:val="hybridMultilevel"/>
    <w:lvl w:ilvl="0">
      <w:lvlJc w:val="left"/>
      <w:lvlText w:val="(%1)"/>
      <w:numFmt w:val="lowerLetter"/>
      <w:start w:val="2"/>
    </w:lvl>
    <w:lvl w:ilvl="1">
      <w:lvlJc w:val="left"/>
      <w:lvlText w:val="%2"/>
      <w:numFmt w:val="lowerLetter"/>
      <w:start w:val="1"/>
    </w:lvl>
  </w:abstractNum>
  <w:abstractNum w:abstractNumId="262">
    <w:nsid w:val="7635AA2A"/>
    <w:multiLevelType w:val="hybridMultilevel"/>
    <w:lvl w:ilvl="0">
      <w:lvlJc w:val="left"/>
      <w:lvlText w:val="(%1)"/>
      <w:numFmt w:val="lowerRoman"/>
      <w:start w:val="1"/>
    </w:lvl>
  </w:abstractNum>
  <w:abstractNum w:abstractNumId="263">
    <w:nsid w:val="5E74C4D9"/>
    <w:multiLevelType w:val="hybridMultilevel"/>
    <w:lvl w:ilvl="0">
      <w:lvlJc w:val="left"/>
      <w:lvlText w:val="(%1)"/>
      <w:numFmt w:val="lowerRoman"/>
      <w:start w:val="2"/>
    </w:lvl>
  </w:abstractNum>
  <w:abstractNum w:abstractNumId="264">
    <w:nsid w:val="3B3EBE15"/>
    <w:multiLevelType w:val="hybridMultilevel"/>
    <w:lvl w:ilvl="0">
      <w:lvlJc w:val="left"/>
      <w:lvlText w:val="(%1)"/>
      <w:numFmt w:val="lowerRoman"/>
      <w:start w:val="3"/>
    </w:lvl>
    <w:lvl w:ilvl="1">
      <w:lvlJc w:val="left"/>
      <w:lvlText w:val="%2"/>
      <w:numFmt w:val="lowerRoman"/>
      <w:start w:val="1"/>
    </w:lvl>
  </w:abstractNum>
  <w:abstractNum w:abstractNumId="265">
    <w:nsid w:val="3822CB01"/>
    <w:multiLevelType w:val="hybridMultilevel"/>
    <w:lvl w:ilvl="0">
      <w:lvlJc w:val="left"/>
      <w:lvlText w:val="(%1)"/>
      <w:numFmt w:val="lowerRoman"/>
      <w:start w:val="3"/>
    </w:lvl>
    <w:lvl w:ilvl="1">
      <w:lvlJc w:val="left"/>
      <w:lvlText w:val="%2"/>
      <w:numFmt w:val="lowerRoman"/>
      <w:start w:val="1"/>
    </w:lvl>
  </w:abstractNum>
  <w:abstractNum w:abstractNumId="266">
    <w:nsid w:val="6CE00443"/>
    <w:multiLevelType w:val="hybridMultilevel"/>
    <w:lvl w:ilvl="0">
      <w:lvlJc w:val="left"/>
      <w:lvlText w:val="(%1)"/>
      <w:numFmt w:val="lowerLetter"/>
      <w:start w:val="2"/>
    </w:lvl>
  </w:abstractNum>
  <w:abstractNum w:abstractNumId="267">
    <w:nsid w:val="79F0D62F"/>
    <w:multiLevelType w:val="hybridMultilevel"/>
    <w:lvl w:ilvl="0">
      <w:lvlJc w:val="left"/>
      <w:lvlText w:val="(%1)"/>
      <w:numFmt w:val="lowerLetter"/>
      <w:start w:val="3"/>
    </w:lvl>
  </w:abstractNum>
  <w:abstractNum w:abstractNumId="268">
    <w:nsid w:val="7975E8E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269">
    <w:nsid w:val="73154115"/>
    <w:multiLevelType w:val="hybridMultilevel"/>
    <w:lvl w:ilvl="0">
      <w:lvlJc w:val="left"/>
      <w:lvlText w:val="%1"/>
      <w:numFmt w:val="upperLetter"/>
      <w:start w:val="1"/>
    </w:lvl>
    <w:lvl w:ilvl="1">
      <w:lvlJc w:val="left"/>
      <w:lvlText w:val="(%2)"/>
      <w:numFmt w:val="decimal"/>
      <w:start w:val="2"/>
    </w:lvl>
  </w:abstractNum>
  <w:abstractNum w:abstractNumId="270">
    <w:nsid w:val="622D8102"/>
    <w:multiLevelType w:val="hybridMultilevel"/>
    <w:lvl w:ilvl="0">
      <w:lvlJc w:val="left"/>
      <w:lvlText w:val="(%1)"/>
      <w:numFmt w:val="upperLetter"/>
      <w:start w:val="2"/>
    </w:lvl>
    <w:lvl w:ilvl="1">
      <w:lvlJc w:val="left"/>
      <w:lvlText w:val="(%2)"/>
      <w:numFmt w:val="decimal"/>
      <w:start w:val="1"/>
    </w:lvl>
  </w:abstractNum>
  <w:abstractNum w:abstractNumId="271">
    <w:nsid w:val="2AB265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3"/>
    </w:lvl>
  </w:abstractNum>
  <w:abstractNum w:abstractNumId="272">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273">
    <w:nsid w:val="1C0CA67C"/>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274">
    <w:nsid w:val="3D206613"/>
    <w:multiLevelType w:val="hybridMultilevel"/>
    <w:lvl w:ilvl="0">
      <w:lvlJc w:val="left"/>
      <w:lvlText w:val="(%1)"/>
      <w:numFmt w:val="upperLetter"/>
      <w:start w:val="2"/>
    </w:lvl>
  </w:abstractNum>
  <w:abstractNum w:abstractNumId="275">
    <w:nsid w:val="7993B662"/>
    <w:multiLevelType w:val="hybridMultilevel"/>
    <w:lvl w:ilvl="0">
      <w:lvlJc w:val="left"/>
      <w:lvlText w:val="%1"/>
      <w:numFmt w:val="lowerRoman"/>
      <w:start w:val="1"/>
    </w:lvl>
    <w:lvl w:ilvl="1">
      <w:lvlJc w:val="left"/>
      <w:lvlText w:val="(%2)"/>
      <w:numFmt w:val="upperLetter"/>
      <w:start w:val="9"/>
    </w:lvl>
  </w:abstractNum>
  <w:abstractNum w:abstractNumId="276">
    <w:nsid w:val="3BAB699E"/>
    <w:multiLevelType w:val="hybridMultilevel"/>
    <w:lvl w:ilvl="0">
      <w:lvlJc w:val="left"/>
      <w:lvlText w:val="(%1)"/>
      <w:numFmt w:val="lowerRoman"/>
      <w:start w:val="2"/>
    </w:lvl>
    <w:lvl w:ilvl="1">
      <w:lvlJc w:val="left"/>
      <w:lvlText w:val="(%2)"/>
      <w:numFmt w:val="upperLetter"/>
      <w:start w:val="1"/>
    </w:lvl>
  </w:abstractNum>
  <w:abstractNum w:abstractNumId="277">
    <w:nsid w:val="71315369"/>
    <w:multiLevelType w:val="hybridMultilevel"/>
    <w:lvl w:ilvl="0">
      <w:lvlJc w:val="left"/>
      <w:lvlText w:val="(%1)"/>
      <w:numFmt w:val="upperLetter"/>
      <w:start w:val="7"/>
    </w:lvl>
  </w:abstractNum>
  <w:abstractNum w:abstractNumId="278">
    <w:nsid w:val="7BCFBAFC"/>
    <w:multiLevelType w:val="hybridMultilevel"/>
    <w:lvl w:ilvl="0">
      <w:lvlJc w:val="left"/>
      <w:lvlText w:val="(%1)"/>
      <w:numFmt w:val="upperLetter"/>
      <w:start w:val="9"/>
    </w:lvl>
  </w:abstractNum>
  <w:abstractNum w:abstractNumId="279">
    <w:nsid w:val="17859F72"/>
    <w:multiLevelType w:val="hybridMultilevel"/>
    <w:lvl w:ilvl="0">
      <w:lvlJc w:val="left"/>
      <w:lvlText w:val="(%1)"/>
      <w:numFmt w:val="lowerLetter"/>
      <w:start w:val="4"/>
    </w:lvl>
    <w:lvl w:ilvl="1">
      <w:lvlJc w:val="left"/>
      <w:lvlText w:val="(%2)"/>
      <w:numFmt w:val="lowerLetter"/>
      <w:start w:val="9"/>
    </w:lvl>
  </w:abstractNum>
  <w:abstractNum w:abstractNumId="280">
    <w:nsid w:val="3AA10581"/>
    <w:multiLevelType w:val="hybridMultilevel"/>
    <w:lvl w:ilvl="0">
      <w:lvlJc w:val="left"/>
      <w:lvlText w:val="(%1)"/>
      <w:numFmt w:val="lowerRoman"/>
      <w:start w:val="2"/>
    </w:lvl>
  </w:abstractNum>
  <w:abstractNum w:abstractNumId="281">
    <w:nsid w:val="63DE60CD"/>
    <w:multiLevelType w:val="hybridMultilevel"/>
    <w:lvl w:ilvl="0">
      <w:lvlJc w:val="left"/>
      <w:lvlText w:val="%1"/>
      <w:numFmt w:val="lowerLetter"/>
      <w:start w:val="1"/>
    </w:lvl>
    <w:lvl w:ilvl="1">
      <w:lvlJc w:val="left"/>
      <w:lvlText w:val="(%2)"/>
      <w:numFmt w:val="lowerRoman"/>
      <w:start w:val="10"/>
    </w:lvl>
  </w:abstractNum>
  <w:abstractNum w:abstractNumId="282">
    <w:nsid w:val="621AF471"/>
    <w:multiLevelType w:val="hybridMultilevel"/>
    <w:lvl w:ilvl="0">
      <w:lvlJc w:val="left"/>
      <w:lvlText w:val="(%1)"/>
      <w:numFmt w:val="lowerLetter"/>
      <w:start w:val="5"/>
    </w:lvl>
    <w:lvl w:ilvl="1">
      <w:lvlJc w:val="left"/>
      <w:lvlText w:val="(%2)"/>
      <w:numFmt w:val="lowerRoman"/>
      <w:start w:val="1"/>
    </w:lvl>
  </w:abstractNum>
  <w:abstractNum w:abstractNumId="283">
    <w:nsid w:val="73CFE165"/>
    <w:multiLevelType w:val="hybridMultilevel"/>
    <w:lvl w:ilvl="0">
      <w:lvlJc w:val="left"/>
      <w:lvlText w:val="(%1)"/>
      <w:numFmt w:val="lowerRoman"/>
      <w:start w:val="3"/>
    </w:lvl>
  </w:abstractNum>
  <w:abstractNum w:abstractNumId="284">
    <w:nsid w:val="20F88EA6"/>
    <w:multiLevelType w:val="hybridMultilevel"/>
    <w:lvl w:ilvl="0">
      <w:lvlJc w:val="left"/>
      <w:lvlText w:val="(%1)"/>
      <w:numFmt w:val="lowerLetter"/>
      <w:start w:val="1"/>
    </w:lvl>
  </w:abstractNum>
  <w:abstractNum w:abstractNumId="285">
    <w:nsid w:val="617C843E"/>
    <w:multiLevelType w:val="hybridMultilevel"/>
    <w:lvl w:ilvl="0">
      <w:lvlJc w:val="left"/>
      <w:lvlText w:val="(%1)"/>
      <w:numFmt w:val="lowerLetter"/>
      <w:start w:val="2"/>
    </w:lvl>
  </w:abstractNum>
  <w:abstractNum w:abstractNumId="286">
    <w:nsid w:val="7B541FAB"/>
    <w:multiLevelType w:val="hybridMultilevel"/>
    <w:lvl w:ilvl="0">
      <w:lvlJc w:val="left"/>
      <w:lvlText w:val="(%1)"/>
      <w:numFmt w:val="lowerLetter"/>
      <w:start w:val="3"/>
    </w:lvl>
  </w:abstractNum>
  <w:abstractNum w:abstractNumId="287">
    <w:nsid w:val="2A79EC49"/>
    <w:multiLevelType w:val="hybridMultilevel"/>
    <w:lvl w:ilvl="0">
      <w:lvlJc w:val="left"/>
      <w:lvlText w:val="(%1)"/>
      <w:numFmt w:val="lowerLetter"/>
      <w:start w:val="1"/>
    </w:lvl>
  </w:abstractNum>
  <w:abstractNum w:abstractNumId="288">
    <w:nsid w:val="338125CF"/>
    <w:multiLevelType w:val="hybridMultilevel"/>
    <w:lvl w:ilvl="0">
      <w:lvlJc w:val="left"/>
      <w:lvlText w:val="%1"/>
      <w:numFmt w:val="lowerLetter"/>
      <w:start w:val="1"/>
    </w:lvl>
    <w:lvl w:ilvl="1">
      <w:lvlJc w:val="left"/>
      <w:lvlText w:val="(%2)"/>
      <w:numFmt w:val="upperLetter"/>
      <w:start w:val="1"/>
    </w:lvl>
  </w:abstractNum>
  <w:abstractNum w:abstractNumId="289">
    <w:nsid w:val="47C7C971"/>
    <w:multiLevelType w:val="hybridMultilevel"/>
    <w:lvl w:ilvl="0">
      <w:lvlJc w:val="left"/>
      <w:lvlText w:val="(%1)"/>
      <w:numFmt w:val="lowerLetter"/>
      <w:start w:val="25"/>
    </w:lvl>
    <w:lvl w:ilvl="1">
      <w:lvlJc w:val="left"/>
      <w:lvlText w:val="(%2)"/>
      <w:numFmt w:val="upperLetter"/>
      <w:start w:val="2"/>
    </w:lvl>
  </w:abstractNum>
  <w:abstractNum w:abstractNumId="290">
    <w:nsid w:val="46F8284B"/>
    <w:multiLevelType w:val="hybridMultilevel"/>
    <w:lvl w:ilvl="0">
      <w:lvlJc w:val="left"/>
      <w:lvlText w:val="(%1)"/>
      <w:numFmt w:val="lowerRoman"/>
      <w:start w:val="2"/>
    </w:lvl>
    <w:lvl w:ilvl="1">
      <w:lvlJc w:val="left"/>
      <w:lvlText w:val="(%2)"/>
      <w:numFmt w:val="upperLetter"/>
      <w:start w:val="1"/>
    </w:lvl>
  </w:abstractNum>
  <w:abstractNum w:abstractNumId="291">
    <w:nsid w:val="4FA327CE"/>
    <w:multiLevelType w:val="hybridMultilevel"/>
    <w:lvl w:ilvl="0">
      <w:lvlJc w:val="left"/>
      <w:lvlText w:val="%1"/>
      <w:numFmt w:val="lowerRoman"/>
      <w:start w:val="1"/>
    </w:lvl>
    <w:lvl w:ilvl="1">
      <w:lvlJc w:val="left"/>
      <w:lvlText w:val="(%2)"/>
      <w:numFmt w:val="upperLetter"/>
      <w:start w:val="4"/>
    </w:lvl>
  </w:abstractNum>
  <w:abstractNum w:abstractNumId="292">
    <w:nsid w:val="1873983A"/>
    <w:multiLevelType w:val="hybridMultilevel"/>
    <w:lvl w:ilvl="0">
      <w:lvlJc w:val="left"/>
      <w:lvlText w:val="(%1)"/>
      <w:numFmt w:val="lowerRoman"/>
      <w:start w:val="3"/>
    </w:lvl>
    <w:lvl w:ilvl="1">
      <w:lvlJc w:val="left"/>
      <w:lvlText w:val="%2"/>
      <w:numFmt w:val="upperLetter"/>
      <w:start w:val="1"/>
    </w:lvl>
  </w:abstractNum>
  <w:abstractNum w:abstractNumId="293">
    <w:nsid w:val="3D2DD275"/>
    <w:multiLevelType w:val="hybridMultilevel"/>
    <w:lvl w:ilvl="0">
      <w:lvlJc w:val="left"/>
      <w:lvlText w:val="(%1)"/>
      <w:numFmt w:val="lowerLetter"/>
      <w:start w:val="3"/>
    </w:lvl>
  </w:abstractNum>
  <w:abstractNum w:abstractNumId="294">
    <w:nsid w:val="2E17ECA7"/>
    <w:multiLevelType w:val="hybridMultilevel"/>
    <w:lvl w:ilvl="0">
      <w:lvlJc w:val="left"/>
      <w:lvlText w:val="(%1)"/>
      <w:numFmt w:val="lowerRoman"/>
      <w:start w:val="2"/>
    </w:lvl>
  </w:abstractNum>
  <w:abstractNum w:abstractNumId="295">
    <w:nsid w:val="53B2564F"/>
    <w:multiLevelType w:val="hybridMultilevel"/>
    <w:lvl w:ilvl="0">
      <w:lvlJc w:val="left"/>
      <w:lvlText w:val="(%1)"/>
      <w:numFmt w:val="lowerLetter"/>
      <w:start w:val="4"/>
    </w:lvl>
    <w:lvl w:ilvl="1">
      <w:lvlJc w:val="left"/>
      <w:lvlText w:val="(%2)"/>
      <w:numFmt w:val="lowerLetter"/>
      <w:start w:val="35"/>
    </w:lvl>
  </w:abstractNum>
  <w:abstractNum w:abstractNumId="296">
    <w:nsid w:val="75509D76"/>
    <w:multiLevelType w:val="hybridMultilevel"/>
    <w:lvl w:ilvl="0">
      <w:lvlJc w:val="left"/>
      <w:lvlText w:val="(%1)"/>
      <w:numFmt w:val="lowerLetter"/>
      <w:start w:val="5"/>
    </w:lvl>
  </w:abstractNum>
  <w:abstractNum w:abstractNumId="297">
    <w:nsid w:val="1AF7F0EA"/>
    <w:multiLevelType w:val="hybridMultilevel"/>
    <w:lvl w:ilvl="0">
      <w:lvlJc w:val="left"/>
      <w:lvlText w:val="(%1)"/>
      <w:numFmt w:val="lowerRoman"/>
      <w:start w:val="2"/>
    </w:lvl>
  </w:abstractNum>
  <w:abstractNum w:abstractNumId="298">
    <w:nsid w:val="4DA32C7E"/>
    <w:multiLevelType w:val="hybridMultilevel"/>
    <w:lvl w:ilvl="0">
      <w:lvlJc w:val="left"/>
      <w:lvlText w:val="%1"/>
      <w:numFmt w:val="lowerLetter"/>
      <w:start w:val="1"/>
    </w:lvl>
    <w:lvl w:ilvl="1">
      <w:lvlJc w:val="left"/>
      <w:lvlText w:val="(%2)"/>
      <w:numFmt w:val="lowerLetter"/>
      <w:start w:val="61"/>
    </w:lvl>
  </w:abstractNum>
  <w:abstractNum w:abstractNumId="299">
    <w:nsid w:val="6EC68664"/>
    <w:multiLevelType w:val="hybridMultilevel"/>
    <w:lvl w:ilvl="0">
      <w:lvlJc w:val="left"/>
      <w:lvlText w:val="(%1)"/>
      <w:numFmt w:val="lowerLetter"/>
      <w:start w:val="7"/>
    </w:lvl>
    <w:lvl w:ilvl="1">
      <w:lvlJc w:val="left"/>
      <w:lvlText w:val="(%2)"/>
      <w:numFmt w:val="lowerLetter"/>
      <w:start w:val="9"/>
    </w:lvl>
  </w:abstractNum>
  <w:abstractNum w:abstractNumId="300">
    <w:nsid w:val="E0D31FF"/>
    <w:multiLevelType w:val="hybridMultilevel"/>
    <w:lvl w:ilvl="0">
      <w:lvlJc w:val="left"/>
      <w:lvlText w:val="(%1)"/>
      <w:numFmt w:val="lowerRoman"/>
      <w:start w:val="2"/>
    </w:lvl>
  </w:abstractNum>
  <w:abstractNum w:abstractNumId="301">
    <w:nsid w:val="2FD0AD81"/>
    <w:multiLevelType w:val="hybridMultilevel"/>
    <w:lvl w:ilvl="0">
      <w:lvlJc w:val="left"/>
      <w:lvlText w:val="(%1)"/>
      <w:numFmt w:val="lowerRoman"/>
      <w:start w:val="4"/>
    </w:lvl>
    <w:lvl w:ilvl="1">
      <w:lvlJc w:val="left"/>
      <w:lvlText w:val="(%2)"/>
      <w:numFmt w:val="lowerRoman"/>
      <w:start w:val="5"/>
    </w:lvl>
    <w:lvl w:ilvl="2">
      <w:lvlJc w:val="left"/>
      <w:lvlText w:val="(%3)"/>
      <w:numFmt w:val="upperLetter"/>
      <w:start w:val="1"/>
    </w:lvl>
  </w:abstractNum>
  <w:abstractNum w:abstractNumId="302">
    <w:nsid w:val="1978EBEB"/>
    <w:multiLevelType w:val="hybridMultilevel"/>
    <w:lvl w:ilvl="0">
      <w:lvlJc w:val="left"/>
      <w:lvlText w:val="(%1)"/>
      <w:numFmt w:val="lowerRoman"/>
      <w:start w:val="8"/>
    </w:lvl>
  </w:abstractNum>
  <w:abstractNum w:abstractNumId="303">
    <w:nsid w:val="52C12C61"/>
    <w:multiLevelType w:val="hybridMultilevel"/>
    <w:lvl w:ilvl="0">
      <w:lvlJc w:val="left"/>
      <w:lvlText w:val="(%1)"/>
      <w:numFmt w:val="lowerLetter"/>
      <w:start w:val="1"/>
    </w:lvl>
  </w:abstractNum>
  <w:abstractNum w:abstractNumId="304">
    <w:nsid w:val="4BDD53FD"/>
    <w:multiLevelType w:val="hybridMultilevel"/>
    <w:lvl w:ilvl="0">
      <w:lvlJc w:val="left"/>
      <w:lvlText w:val="(%1)"/>
      <w:numFmt w:val="lowerLetter"/>
      <w:start w:val="3"/>
    </w:lvl>
  </w:abstractNum>
  <w:abstractNum w:abstractNumId="305">
    <w:nsid w:val="569951FE"/>
    <w:multiLevelType w:val="hybridMultilevel"/>
    <w:lvl w:ilvl="0">
      <w:lvlJc w:val="left"/>
      <w:lvlText w:val="(%1)"/>
      <w:numFmt w:val="lowerLetter"/>
      <w:start w:val="1"/>
    </w:lvl>
  </w:abstractNum>
  <w:abstractNum w:abstractNumId="306">
    <w:nsid w:val="4C54E2C3"/>
    <w:multiLevelType w:val="hybridMultilevel"/>
    <w:lvl w:ilvl="0">
      <w:lvlJc w:val="left"/>
      <w:lvlText w:val="(%1)"/>
      <w:numFmt w:val="lowerLetter"/>
      <w:start w:val="2"/>
    </w:lvl>
  </w:abstractNum>
  <w:abstractNum w:abstractNumId="307">
    <w:nsid w:val="788BD9B"/>
    <w:multiLevelType w:val="hybridMultilevel"/>
    <w:lvl w:ilvl="0">
      <w:lvlJc w:val="left"/>
      <w:lvlText w:val="(%1)"/>
      <w:numFmt w:val="lowerLetter"/>
      <w:start w:val="1"/>
    </w:lvl>
  </w:abstractNum>
  <w:abstractNum w:abstractNumId="308">
    <w:nsid w:val="47CAA567"/>
    <w:multiLevelType w:val="hybridMultilevel"/>
    <w:lvl w:ilvl="0">
      <w:lvlJc w:val="left"/>
      <w:lvlText w:val="(%1)"/>
      <w:numFmt w:val="lowerLetter"/>
      <w:start w:val="4"/>
    </w:lvl>
  </w:abstractNum>
  <w:abstractNum w:abstractNumId="309">
    <w:nsid w:val="48249DBF"/>
    <w:multiLevelType w:val="hybridMultilevel"/>
    <w:lvl w:ilvl="0">
      <w:lvlJc w:val="left"/>
      <w:lvlText w:val="(%1)"/>
      <w:numFmt w:val="lowerLetter"/>
      <w:start w:val="25"/>
    </w:lvl>
  </w:abstractNum>
  <w:abstractNum w:abstractNumId="310">
    <w:nsid w:val="1F0E5D0D"/>
    <w:multiLevelType w:val="hybridMultilevel"/>
    <w:lvl w:ilvl="0">
      <w:lvlJc w:val="left"/>
      <w:lvlText w:val="(%1)"/>
      <w:numFmt w:val="lowerLetter"/>
      <w:start w:val="1"/>
    </w:lvl>
    <w:lvl w:ilvl="1">
      <w:lvlJc w:val="left"/>
      <w:lvlText w:val="(%2)"/>
      <w:numFmt w:val="lowerRoman"/>
      <w:start w:val="1"/>
    </w:lvl>
  </w:abstractNum>
  <w:abstractNum w:abstractNumId="311">
    <w:nsid w:val="26BAAE9"/>
    <w:multiLevelType w:val="hybridMultilevel"/>
    <w:lvl w:ilvl="0">
      <w:lvlJc w:val="left"/>
      <w:lvlText w:val="(%1)"/>
      <w:numFmt w:val="lowerLetter"/>
      <w:start w:val="1"/>
    </w:lvl>
  </w:abstractNum>
  <w:abstractNum w:abstractNumId="312">
    <w:nsid w:val="2C02FE8C"/>
    <w:multiLevelType w:val="hybridMultilevel"/>
    <w:lvl w:ilvl="0">
      <w:lvlJc w:val="left"/>
      <w:lvlText w:val="(%1)"/>
      <w:numFmt w:val="lowerLetter"/>
      <w:start w:val="4"/>
    </w:lvl>
  </w:abstractNum>
  <w:abstractNum w:abstractNumId="313">
    <w:nsid w:val="129517E"/>
    <w:multiLevelType w:val="hybridMultilevel"/>
    <w:lvl w:ilvl="0">
      <w:lvlJc w:val="left"/>
      <w:lvlText w:val="(%1)"/>
      <w:numFmt w:val="lowerLetter"/>
      <w:start w:val="1"/>
    </w:lvl>
  </w:abstractNum>
  <w:abstractNum w:abstractNumId="314">
    <w:nsid w:val="763B8C4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2025-01-16T15:24:45Z</dcterms:created>
  <dcterms:modified xsi:type="dcterms:W3CDTF">2025-01-16T15:24:45Z</dcterms:modified>
</cp:coreProperties>
</file>