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Graboske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Data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0"/>
        <w:gridCol w:w="901"/>
        <w:gridCol w:w="772"/>
        <w:gridCol w:w="598"/>
        <w:gridCol w:w="338"/>
        <w:gridCol w:w="1042"/>
        <w:gridCol w:w="427"/>
        <w:gridCol w:w="590"/>
        <w:gridCol w:w="1565"/>
        <w:gridCol w:w="963"/>
        <w:gridCol w:w="90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631,068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5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1,312,026.654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("RSUs"), each representing a contingent right to receive one share of the Issuer's Class A Common Stock, par value $0.001, with 25% of the RSUs vesting on March 1, 2027, followed by vesting of 6.25%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Paris,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028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3310</Characters>
  <CharactersWithSpaces>3858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