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-224155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6"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1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6"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5740" w:type="dxa"/>
            <w:vAlign w:val="bottom"/>
            <w:gridSpan w:val="5"/>
          </w:tcPr>
          <w:p>
            <w:pPr>
              <w:ind w:left="360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4660" w:type="dxa"/>
            <w:vAlign w:val="bottom"/>
            <w:gridSpan w:val="4"/>
          </w:tcPr>
          <w:p>
            <w:pPr>
              <w:jc w:val="right"/>
              <w:ind w:right="4406"/>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312"/>
        </w:trPr>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0" w:type="dxa"/>
            <w:vAlign w:val="bottom"/>
            <w:gridSpan w:val="8"/>
          </w:tcPr>
          <w:p>
            <w:pPr>
              <w:jc w:val="center"/>
              <w:ind w:right="4126"/>
              <w:spacing w:after="0"/>
              <w:rPr>
                <w:sz w:val="20"/>
                <w:szCs w:val="20"/>
                <w:color w:val="auto"/>
              </w:rPr>
            </w:pPr>
            <w:r>
              <w:rPr>
                <w:rFonts w:ascii="Times New Roman" w:cs="Times New Roman" w:eastAsia="Times New Roman" w:hAnsi="Times New Roman"/>
                <w:sz w:val="16"/>
                <w:szCs w:val="16"/>
                <w:b w:val="1"/>
                <w:bCs w:val="1"/>
                <w:color w:val="auto"/>
              </w:rPr>
              <w:t>Commission File Number 001-40815</w:t>
            </w:r>
          </w:p>
        </w:tc>
        <w:tc>
          <w:tcPr>
            <w:tcW w:w="0" w:type="dxa"/>
            <w:vAlign w:val="bottom"/>
          </w:tcPr>
          <w:p>
            <w:pPr>
              <w:spacing w:after="0"/>
              <w:rPr>
                <w:sz w:val="1"/>
                <w:szCs w:val="1"/>
                <w:color w:val="auto"/>
              </w:rPr>
            </w:pPr>
          </w:p>
        </w:tc>
      </w:tr>
      <w:tr>
        <w:trPr>
          <w:trHeight w:val="154"/>
        </w:trPr>
        <w:tc>
          <w:tcPr>
            <w:tcW w:w="4480" w:type="dxa"/>
            <w:vAlign w:val="bottom"/>
            <w:gridSpan w:val="4"/>
            <w:vMerge w:val="restart"/>
          </w:tcPr>
          <w:p>
            <w:pPr>
              <w:ind w:left="3100"/>
              <w:spacing w:after="0"/>
              <w:rPr>
                <w:sz w:val="20"/>
                <w:szCs w:val="20"/>
                <w:color w:val="auto"/>
              </w:rPr>
            </w:pPr>
            <w:r>
              <w:rPr>
                <w:rFonts w:ascii="Times New Roman" w:cs="Times New Roman" w:eastAsia="Times New Roman" w:hAnsi="Times New Roman"/>
                <w:sz w:val="41"/>
                <w:szCs w:val="41"/>
                <w:b w:val="1"/>
                <w:bCs w:val="1"/>
                <w:color w:val="auto"/>
                <w:w w:val="79"/>
              </w:rPr>
              <w:t>Definitive</w:t>
            </w:r>
          </w:p>
        </w:tc>
        <w:tc>
          <w:tcPr>
            <w:tcW w:w="1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spacing w:after="0"/>
              <w:rPr>
                <w:sz w:val="13"/>
                <w:szCs w:val="13"/>
                <w:color w:val="auto"/>
              </w:rPr>
            </w:pPr>
          </w:p>
        </w:tc>
        <w:tc>
          <w:tcPr>
            <w:tcW w:w="220" w:type="dxa"/>
            <w:vAlign w:val="bottom"/>
            <w:vMerge w:val="restart"/>
          </w:tcPr>
          <w:p>
            <w:pPr>
              <w:spacing w:after="0"/>
              <w:rPr>
                <w:sz w:val="13"/>
                <w:szCs w:val="13"/>
                <w:color w:val="auto"/>
              </w:rPr>
            </w:pPr>
          </w:p>
        </w:tc>
        <w:tc>
          <w:tcPr>
            <w:tcW w:w="4260" w:type="dxa"/>
            <w:vAlign w:val="bottom"/>
            <w:gridSpan w:val="2"/>
            <w:vMerge w:val="restart"/>
          </w:tcPr>
          <w:p>
            <w:pPr>
              <w:ind w:left="40"/>
              <w:spacing w:after="0"/>
              <w:rPr>
                <w:sz w:val="20"/>
                <w:szCs w:val="20"/>
                <w:color w:val="auto"/>
              </w:rPr>
            </w:pPr>
            <w:r>
              <w:rPr>
                <w:rFonts w:ascii="Times New Roman" w:cs="Times New Roman" w:eastAsia="Times New Roman" w:hAnsi="Times New Roman"/>
                <w:sz w:val="41"/>
                <w:szCs w:val="41"/>
                <w:b w:val="1"/>
                <w:bCs w:val="1"/>
                <w:color w:val="auto"/>
              </w:rPr>
              <w:t>Corp.</w:t>
            </w:r>
          </w:p>
        </w:tc>
        <w:tc>
          <w:tcPr>
            <w:tcW w:w="0" w:type="dxa"/>
            <w:vAlign w:val="bottom"/>
          </w:tcPr>
          <w:p>
            <w:pPr>
              <w:spacing w:after="0"/>
              <w:rPr>
                <w:sz w:val="1"/>
                <w:szCs w:val="1"/>
                <w:color w:val="auto"/>
              </w:rPr>
            </w:pPr>
          </w:p>
        </w:tc>
      </w:tr>
      <w:tr>
        <w:trPr>
          <w:trHeight w:val="477"/>
        </w:trPr>
        <w:tc>
          <w:tcPr>
            <w:tcW w:w="4480" w:type="dxa"/>
            <w:vAlign w:val="bottom"/>
            <w:gridSpan w:val="4"/>
            <w:vMerge w:val="continue"/>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41"/>
                <w:szCs w:val="41"/>
                <w:b w:val="1"/>
                <w:bCs w:val="1"/>
                <w:color w:val="auto"/>
              </w:rPr>
              <w:t>Healthcare</w:t>
            </w:r>
          </w:p>
        </w:tc>
        <w:tc>
          <w:tcPr>
            <w:tcW w:w="220" w:type="dxa"/>
            <w:vAlign w:val="bottom"/>
            <w:vMerge w:val="continue"/>
          </w:tcPr>
          <w:p>
            <w:pPr>
              <w:spacing w:after="0"/>
              <w:rPr>
                <w:sz w:val="24"/>
                <w:szCs w:val="24"/>
                <w:color w:val="auto"/>
              </w:rPr>
            </w:pPr>
          </w:p>
        </w:tc>
        <w:tc>
          <w:tcPr>
            <w:tcW w:w="4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60" w:type="dxa"/>
            <w:vAlign w:val="bottom"/>
          </w:tcPr>
          <w:p>
            <w:pPr>
              <w:spacing w:after="0"/>
              <w:rPr>
                <w:sz w:val="18"/>
                <w:szCs w:val="18"/>
                <w:color w:val="auto"/>
              </w:rPr>
            </w:pPr>
          </w:p>
        </w:tc>
        <w:tc>
          <w:tcPr>
            <w:tcW w:w="7440" w:type="dxa"/>
            <w:vAlign w:val="bottom"/>
            <w:gridSpan w:val="9"/>
          </w:tcPr>
          <w:p>
            <w:pPr>
              <w:jc w:val="center"/>
              <w:ind w:right="370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168"/>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7"/>
        </w:trPr>
        <w:tc>
          <w:tcPr>
            <w:tcW w:w="3760" w:type="dxa"/>
            <w:vAlign w:val="bottom"/>
          </w:tcPr>
          <w:p>
            <w:pPr>
              <w:jc w:val="center"/>
              <w:ind w:left="17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60" w:type="dxa"/>
            <w:vAlign w:val="bottom"/>
            <w:gridSpan w:val="4"/>
          </w:tcPr>
          <w:p>
            <w:pPr>
              <w:jc w:val="right"/>
              <w:ind w:right="2326"/>
              <w:spacing w:after="0"/>
              <w:rPr>
                <w:sz w:val="20"/>
                <w:szCs w:val="20"/>
                <w:color w:val="auto"/>
              </w:rPr>
            </w:pPr>
            <w:r>
              <w:rPr>
                <w:rFonts w:ascii="Times New Roman" w:cs="Times New Roman" w:eastAsia="Times New Roman" w:hAnsi="Times New Roman"/>
                <w:sz w:val="16"/>
                <w:szCs w:val="16"/>
                <w:b w:val="1"/>
                <w:bCs w:val="1"/>
                <w:color w:val="auto"/>
              </w:rPr>
              <w:t>86-3988281</w:t>
            </w:r>
          </w:p>
        </w:tc>
        <w:tc>
          <w:tcPr>
            <w:tcW w:w="0" w:type="dxa"/>
            <w:vAlign w:val="bottom"/>
          </w:tcPr>
          <w:p>
            <w:pPr>
              <w:spacing w:after="0"/>
              <w:rPr>
                <w:sz w:val="1"/>
                <w:szCs w:val="1"/>
                <w:color w:val="auto"/>
              </w:rPr>
            </w:pPr>
          </w:p>
        </w:tc>
      </w:tr>
      <w:tr>
        <w:trPr>
          <w:trHeight w:val="148"/>
        </w:trPr>
        <w:tc>
          <w:tcPr>
            <w:tcW w:w="3760" w:type="dxa"/>
            <w:vAlign w:val="bottom"/>
          </w:tcPr>
          <w:p>
            <w:pPr>
              <w:jc w:val="center"/>
              <w:ind w:left="175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20" w:type="dxa"/>
            <w:vAlign w:val="bottom"/>
          </w:tcPr>
          <w:p>
            <w:pPr>
              <w:jc w:val="center"/>
              <w:ind w:right="136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60" w:type="dxa"/>
            <w:vAlign w:val="bottom"/>
          </w:tcPr>
          <w:p>
            <w:pPr>
              <w:jc w:val="center"/>
              <w:ind w:left="175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tcPr>
          <w:p>
            <w:pPr>
              <w:jc w:val="center"/>
              <w:ind w:right="138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7"/>
        </w:trPr>
        <w:tc>
          <w:tcPr>
            <w:tcW w:w="3760" w:type="dxa"/>
            <w:vAlign w:val="bottom"/>
          </w:tcPr>
          <w:p>
            <w:pPr>
              <w:jc w:val="center"/>
              <w:ind w:left="1751"/>
              <w:spacing w:after="0"/>
              <w:rPr>
                <w:sz w:val="20"/>
                <w:szCs w:val="20"/>
                <w:color w:val="auto"/>
              </w:rPr>
            </w:pPr>
            <w:r>
              <w:rPr>
                <w:rFonts w:ascii="Times New Roman" w:cs="Times New Roman" w:eastAsia="Times New Roman" w:hAnsi="Times New Roman"/>
                <w:sz w:val="16"/>
                <w:szCs w:val="16"/>
                <w:b w:val="1"/>
                <w:bCs w:val="1"/>
                <w:color w:val="auto"/>
              </w:rPr>
              <w:t>550 Cochituate Road</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760" w:type="dxa"/>
            <w:vAlign w:val="bottom"/>
          </w:tcPr>
          <w:p>
            <w:pPr>
              <w:jc w:val="center"/>
              <w:ind w:left="1731"/>
              <w:spacing w:after="0"/>
              <w:rPr>
                <w:sz w:val="20"/>
                <w:szCs w:val="20"/>
                <w:color w:val="auto"/>
              </w:rPr>
            </w:pPr>
            <w:r>
              <w:rPr>
                <w:rFonts w:ascii="Times New Roman" w:cs="Times New Roman" w:eastAsia="Times New Roman" w:hAnsi="Times New Roman"/>
                <w:sz w:val="16"/>
                <w:szCs w:val="16"/>
                <w:b w:val="1"/>
                <w:bCs w:val="1"/>
                <w:color w:val="auto"/>
              </w:rPr>
              <w:t>Framingham, MA</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60" w:type="dxa"/>
            <w:vAlign w:val="bottom"/>
            <w:gridSpan w:val="4"/>
          </w:tcPr>
          <w:p>
            <w:pPr>
              <w:jc w:val="right"/>
              <w:ind w:right="2506"/>
              <w:spacing w:after="0"/>
              <w:rPr>
                <w:sz w:val="20"/>
                <w:szCs w:val="20"/>
                <w:color w:val="auto"/>
              </w:rPr>
            </w:pPr>
            <w:r>
              <w:rPr>
                <w:rFonts w:ascii="Times New Roman" w:cs="Times New Roman" w:eastAsia="Times New Roman" w:hAnsi="Times New Roman"/>
                <w:sz w:val="16"/>
                <w:szCs w:val="16"/>
                <w:b w:val="1"/>
                <w:bCs w:val="1"/>
                <w:color w:val="auto"/>
              </w:rPr>
              <w:t>01701</w:t>
            </w:r>
          </w:p>
        </w:tc>
        <w:tc>
          <w:tcPr>
            <w:tcW w:w="0" w:type="dxa"/>
            <w:vAlign w:val="bottom"/>
          </w:tcPr>
          <w:p>
            <w:pPr>
              <w:spacing w:after="0"/>
              <w:rPr>
                <w:sz w:val="1"/>
                <w:szCs w:val="1"/>
                <w:color w:val="auto"/>
              </w:rPr>
            </w:pPr>
          </w:p>
        </w:tc>
      </w:tr>
      <w:tr>
        <w:trPr>
          <w:trHeight w:val="190"/>
        </w:trPr>
        <w:tc>
          <w:tcPr>
            <w:tcW w:w="6540" w:type="dxa"/>
            <w:vAlign w:val="bottom"/>
            <w:gridSpan w:val="6"/>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tcPr>
          <w:p>
            <w:pPr>
              <w:jc w:val="center"/>
              <w:ind w:right="138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23"/>
        </w:trPr>
        <w:tc>
          <w:tcPr>
            <w:tcW w:w="3760" w:type="dxa"/>
            <w:vAlign w:val="bottom"/>
          </w:tcPr>
          <w:p>
            <w:pPr>
              <w:spacing w:after="0"/>
              <w:rPr>
                <w:sz w:val="24"/>
                <w:szCs w:val="24"/>
                <w:color w:val="auto"/>
              </w:rPr>
            </w:pPr>
          </w:p>
        </w:tc>
        <w:tc>
          <w:tcPr>
            <w:tcW w:w="2780" w:type="dxa"/>
            <w:vAlign w:val="bottom"/>
            <w:gridSpan w:val="5"/>
          </w:tcPr>
          <w:p>
            <w:pPr>
              <w:jc w:val="center"/>
              <w:ind w:left="782"/>
              <w:spacing w:after="0"/>
              <w:rPr>
                <w:sz w:val="20"/>
                <w:szCs w:val="20"/>
                <w:color w:val="auto"/>
              </w:rPr>
            </w:pPr>
            <w:r>
              <w:rPr>
                <w:rFonts w:ascii="Times New Roman" w:cs="Times New Roman" w:eastAsia="Times New Roman" w:hAnsi="Times New Roman"/>
                <w:sz w:val="16"/>
                <w:szCs w:val="16"/>
                <w:b w:val="1"/>
                <w:bCs w:val="1"/>
                <w:color w:val="auto"/>
                <w:w w:val="99"/>
              </w:rPr>
              <w:t>(508) 720-4224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7440" w:type="dxa"/>
            <w:vAlign w:val="bottom"/>
            <w:gridSpan w:val="9"/>
          </w:tcPr>
          <w:p>
            <w:pPr>
              <w:jc w:val="center"/>
              <w:ind w:right="372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158"/>
        </w:trPr>
        <w:tc>
          <w:tcPr>
            <w:tcW w:w="42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6540" w:type="dxa"/>
            <w:vAlign w:val="bottom"/>
            <w:gridSpan w:val="6"/>
          </w:tcPr>
          <w:p>
            <w:pPr>
              <w:ind w:left="5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76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0"/>
        </w:trPr>
        <w:tc>
          <w:tcPr>
            <w:tcW w:w="3760" w:type="dxa"/>
            <w:vAlign w:val="bottom"/>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Class A Common Stock, $0.001 par value</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DH</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2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87" w:lineRule="exact"/>
        <w:rPr>
          <w:sz w:val="24"/>
          <w:szCs w:val="24"/>
          <w:color w:val="auto"/>
        </w:rPr>
      </w:pPr>
    </w:p>
    <w:p>
      <w:pPr>
        <w:ind w:firstLine="50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ind w:right="18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240" w:firstLine="509"/>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ind w:right="80" w:firstLine="509"/>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520" w:right="2120"/>
        <w:spacing w:after="0" w:line="26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3, 2022, the number of outstanding shares of the registrant’s Class A Common Stock was 97,660,738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Glossary</w:t>
            </w:r>
          </w:p>
        </w:tc>
        <w:tc>
          <w:tcPr>
            <w:tcW w:w="20" w:type="dxa"/>
            <w:vAlign w:val="bottom"/>
            <w:tcBorders>
              <w:bottom w:val="single" w:sz="8" w:color="0000EE"/>
            </w:tcBorders>
          </w:tcPr>
          <w:p>
            <w:pPr>
              <w:spacing w:after="0"/>
              <w:rPr>
                <w:sz w:val="24"/>
                <w:szCs w:val="24"/>
                <w:color w:val="auto"/>
              </w:rPr>
            </w:pPr>
          </w:p>
        </w:tc>
        <w:tc>
          <w:tcPr>
            <w:tcW w:w="8600" w:type="dxa"/>
            <w:vAlign w:val="bottom"/>
            <w:gridSpan w:val="19"/>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1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120" w:type="dxa"/>
            <w:vAlign w:val="bottom"/>
            <w:gridSpan w:val="13"/>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2022 and December 31, 2021</w:t>
            </w:r>
          </w:p>
        </w:tc>
        <w:tc>
          <w:tcPr>
            <w:tcW w:w="3200" w:type="dxa"/>
            <w:vAlign w:val="bottom"/>
            <w:gridSpan w:val="7"/>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 Three Months ended March 31, 2022 and 2021</w:t>
            </w:r>
          </w:p>
        </w:tc>
        <w:tc>
          <w:tcPr>
            <w:tcW w:w="20" w:type="dxa"/>
            <w:vAlign w:val="bottom"/>
            <w:tcBorders>
              <w:bottom w:val="single" w:sz="8" w:color="0000EE"/>
            </w:tcBorders>
          </w:tcPr>
          <w:p>
            <w:pPr>
              <w:spacing w:after="0"/>
              <w:rPr>
                <w:sz w:val="24"/>
                <w:szCs w:val="24"/>
                <w:color w:val="auto"/>
              </w:rPr>
            </w:pPr>
          </w:p>
        </w:tc>
        <w:tc>
          <w:tcPr>
            <w:tcW w:w="2020" w:type="dxa"/>
            <w:vAlign w:val="bottom"/>
            <w:gridSpan w:val="4"/>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 Three Months ended March 31, 2022 and 2021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Members’ Equity and Total Equity – Three Months ended March 31, 2022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6"/>
              </w:rPr>
              <w:t>and 2021</w:t>
            </w:r>
          </w:p>
        </w:tc>
        <w:tc>
          <w:tcPr>
            <w:tcW w:w="20" w:type="dxa"/>
            <w:vAlign w:val="bottom"/>
            <w:tcBorders>
              <w:top w:val="single" w:sz="8" w:color="0000FF"/>
              <w:bottom w:val="single" w:sz="8" w:color="0000EE"/>
            </w:tcBorders>
          </w:tcPr>
          <w:p>
            <w:pPr>
              <w:spacing w:after="0"/>
              <w:rPr>
                <w:sz w:val="14"/>
                <w:szCs w:val="14"/>
                <w:color w:val="auto"/>
              </w:rPr>
            </w:pPr>
          </w:p>
        </w:tc>
        <w:tc>
          <w:tcPr>
            <w:tcW w:w="8440" w:type="dxa"/>
            <w:vAlign w:val="bottom"/>
            <w:tcBorders>
              <w:top w:val="single" w:sz="8" w:color="0000FF"/>
            </w:tcBorders>
            <w:gridSpan w:val="17"/>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March 31, 2022 and 2021</w:t>
            </w:r>
          </w:p>
        </w:tc>
        <w:tc>
          <w:tcPr>
            <w:tcW w:w="1980" w:type="dxa"/>
            <w:vAlign w:val="bottom"/>
            <w:gridSpan w:val="3"/>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24"/>
                <w:szCs w:val="24"/>
                <w:color w:val="auto"/>
              </w:rPr>
            </w:pPr>
          </w:p>
        </w:tc>
        <w:tc>
          <w:tcPr>
            <w:tcW w:w="4980" w:type="dxa"/>
            <w:vAlign w:val="bottom"/>
            <w:gridSpan w:val="11"/>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gridSpan w:val="6"/>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60" w:type="dxa"/>
            <w:vAlign w:val="bottom"/>
            <w:gridSpan w:val="10"/>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3"/>
            <w:vMerge w:val="continue"/>
          </w:tcPr>
          <w:p>
            <w:pPr>
              <w:spacing w:after="0"/>
              <w:rPr>
                <w:sz w:val="24"/>
                <w:szCs w:val="24"/>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380" w:type="dxa"/>
            <w:vAlign w:val="bottom"/>
            <w:gridSpan w:val="15"/>
          </w:tcPr>
          <w:p>
            <w:pPr>
              <w:spacing w:after="0"/>
              <w:rPr>
                <w:sz w:val="24"/>
                <w:szCs w:val="24"/>
                <w:color w:val="auto"/>
              </w:rPr>
            </w:pPr>
          </w:p>
        </w:tc>
        <w:tc>
          <w:tcPr>
            <w:tcW w:w="9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4"/>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920" w:type="dxa"/>
            <w:vAlign w:val="bottom"/>
            <w:gridSpan w:val="9"/>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40" w:type="dxa"/>
            <w:vAlign w:val="bottom"/>
            <w:gridSpan w:val="17"/>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020" w:type="dxa"/>
            <w:vAlign w:val="bottom"/>
            <w:gridSpan w:val="14"/>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324"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As used in this quarterly report on Form 10-Q, the terms identified below have the meanings specified below unless otherwise noted or the context indicates otherwise. References in this Form 10-Q to “Definitive Healthcare Corp.” refer to Definitive Healthcare Corp. and not to any of its subsidiaries unless the context indicates otherwise. References in this Form 10-Q to “Definitive Healthcare”, "Definitive”, the “Company”, “we”, “us”, and “our” refer</w:t>
      </w:r>
    </w:p>
    <w:p>
      <w:pPr>
        <w:spacing w:after="0" w:line="2" w:lineRule="exact"/>
        <w:rPr>
          <w:sz w:val="20"/>
          <w:szCs w:val="20"/>
          <w:color w:val="auto"/>
        </w:rPr>
      </w:pPr>
    </w:p>
    <w:p>
      <w:pPr>
        <w:ind w:right="120" w:firstLine="8"/>
        <w:spacing w:after="0" w:line="243"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spacing w:after="0" w:line="2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w:t>
      </w:r>
      <w:r>
        <w:rPr>
          <w:rFonts w:ascii="Times New Roman" w:cs="Times New Roman" w:eastAsia="Times New Roman" w:hAnsi="Times New Roman"/>
          <w:sz w:val="18"/>
          <w:szCs w:val="18"/>
          <w:color w:val="auto"/>
        </w:rPr>
        <w:t>” refers to funds affiliated with Advent International, a global private equity firm.</w:t>
      </w:r>
    </w:p>
    <w:p>
      <w:pPr>
        <w:spacing w:after="0" w:line="15" w:lineRule="exact"/>
        <w:rPr>
          <w:rFonts w:ascii="Times New Roman" w:cs="Times New Roman" w:eastAsia="Times New Roman" w:hAnsi="Times New Roman"/>
          <w:sz w:val="18"/>
          <w:szCs w:val="18"/>
          <w:color w:val="auto"/>
        </w:rPr>
      </w:pPr>
    </w:p>
    <w:p>
      <w:pPr>
        <w:ind w:left="1020" w:right="240" w:hanging="503"/>
        <w:spacing w:after="0" w:line="24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 Acquisition</w:t>
      </w:r>
      <w:r>
        <w:rPr>
          <w:rFonts w:ascii="Times New Roman" w:cs="Times New Roman" w:eastAsia="Times New Roman" w:hAnsi="Times New Roman"/>
          <w:sz w:val="18"/>
          <w:szCs w:val="18"/>
          <w:color w:val="auto"/>
          <w:highlight w:val="white"/>
        </w:rPr>
        <w:t>” refers to the purchase of a majority of the issued and outstanding units of DH Holdings by Advent on July 16, 2019.</w:t>
      </w:r>
      <w:r>
        <w:rPr>
          <w:rFonts w:ascii="Times New Roman" w:cs="Times New Roman" w:eastAsia="Times New Roman" w:hAnsi="Times New Roman"/>
          <w:sz w:val="18"/>
          <w:szCs w:val="18"/>
          <w:color w:val="auto"/>
        </w:rPr>
        <w:t xml:space="preserve"> The acquisition was accounted for as a business combination and purchase accounting was applied.</w:t>
      </w:r>
    </w:p>
    <w:p>
      <w:pPr>
        <w:spacing w:after="0" w:line="1" w:lineRule="exact"/>
        <w:rPr>
          <w:rFonts w:ascii="Times New Roman" w:cs="Times New Roman" w:eastAsia="Times New Roman" w:hAnsi="Times New Roman"/>
          <w:sz w:val="18"/>
          <w:szCs w:val="18"/>
          <w:color w:val="auto"/>
        </w:rPr>
      </w:pPr>
    </w:p>
    <w:p>
      <w:pPr>
        <w:ind w:left="1020" w:hanging="503"/>
        <w:spacing w:after="0" w:line="234"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AIDH Management Holdings, LLC</w:t>
      </w:r>
      <w:r>
        <w:rPr>
          <w:rFonts w:ascii="Times New Roman" w:cs="Times New Roman" w:eastAsia="Times New Roman" w:hAnsi="Times New Roman"/>
          <w:sz w:val="18"/>
          <w:szCs w:val="18"/>
          <w:color w:val="auto"/>
        </w:rPr>
        <w:t>” is a special purpose investment vehicle through which certain persons, primarily employees and certain legacy investors, indirectly hold interests in Definitive OpCo.</w:t>
      </w:r>
    </w:p>
    <w:p>
      <w:pPr>
        <w:spacing w:after="0" w:line="1" w:lineRule="exact"/>
        <w:rPr>
          <w:rFonts w:ascii="Times New Roman" w:cs="Times New Roman" w:eastAsia="Times New Roman" w:hAnsi="Times New Roman"/>
          <w:sz w:val="18"/>
          <w:szCs w:val="18"/>
          <w:color w:val="auto"/>
        </w:rPr>
      </w:pPr>
    </w:p>
    <w:p>
      <w:pPr>
        <w:ind w:left="1020" w:right="120" w:hanging="503"/>
        <w:spacing w:after="0" w:line="24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LLC Agreement</w:t>
      </w:r>
      <w:r>
        <w:rPr>
          <w:rFonts w:ascii="Times New Roman" w:cs="Times New Roman" w:eastAsia="Times New Roman" w:hAnsi="Times New Roman"/>
          <w:sz w:val="18"/>
          <w:szCs w:val="18"/>
          <w:color w:val="auto"/>
          <w:highlight w:val="white"/>
        </w:rPr>
        <w:t>” refers to the agreement entered into by Definitive Opco pursuant to which members have the right to exchange</w:t>
      </w:r>
      <w:r>
        <w:rPr>
          <w:rFonts w:ascii="Times New Roman" w:cs="Times New Roman" w:eastAsia="Times New Roman" w:hAnsi="Times New Roman"/>
          <w:sz w:val="18"/>
          <w:szCs w:val="18"/>
          <w:color w:val="auto"/>
        </w:rPr>
        <w:t xml:space="preserve"> all or a portion of their LLC units for newly issued shares of Class A Common Stock in Definitive Healthcare Corp.</w:t>
      </w:r>
    </w:p>
    <w:p>
      <w:pPr>
        <w:spacing w:after="0" w:line="1" w:lineRule="exact"/>
        <w:rPr>
          <w:rFonts w:ascii="Times New Roman" w:cs="Times New Roman" w:eastAsia="Times New Roman" w:hAnsi="Times New Roman"/>
          <w:sz w:val="18"/>
          <w:szCs w:val="18"/>
          <w:color w:val="auto"/>
        </w:rPr>
      </w:pPr>
    </w:p>
    <w:p>
      <w:pPr>
        <w:ind w:left="1020" w:hanging="503"/>
        <w:spacing w:after="0" w:line="234"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w:t>
      </w:r>
      <w:r>
        <w:rPr>
          <w:rFonts w:ascii="Times New Roman" w:cs="Times New Roman" w:eastAsia="Times New Roman" w:hAnsi="Times New Roman"/>
          <w:sz w:val="18"/>
          <w:szCs w:val="18"/>
          <w:color w:val="auto"/>
        </w:rPr>
        <w:t>” refers to annualized recurring revenue as of period end.</w:t>
      </w:r>
    </w:p>
    <w:p>
      <w:pPr>
        <w:ind w:left="1020" w:right="30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entities treated as corporations for U.S. tax purposes that held LLC units in Definitive OpCo which, through the Reorganization Transactions, were merged into Definitive Healthcare Corp. and are now holders of Class A Common Stock.</w:t>
      </w:r>
    </w:p>
    <w:p>
      <w:pPr>
        <w:jc w:val="both"/>
        <w:ind w:left="1020" w:right="6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Units</w:t>
      </w:r>
      <w:r>
        <w:rPr>
          <w:rFonts w:ascii="Times New Roman" w:cs="Times New Roman" w:eastAsia="Times New Roman" w:hAnsi="Times New Roman"/>
          <w:sz w:val="18"/>
          <w:szCs w:val="18"/>
          <w:color w:val="auto"/>
        </w:rPr>
        <w:t>” refers to units granted by AIDH Management Holdings, LLC prior to the Reorganization Transactions intended to be treated as “profit interests” for U.S. federal income tax purposes which have economic interests similar to Stock Appreciation Rights (“SARS”) and which are subject to vesting.</w:t>
      </w: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LLC Members</w:t>
      </w:r>
      <w:r>
        <w:rPr>
          <w:rFonts w:ascii="Times New Roman" w:cs="Times New Roman" w:eastAsia="Times New Roman" w:hAnsi="Times New Roman"/>
          <w:sz w:val="18"/>
          <w:szCs w:val="18"/>
          <w:color w:val="auto"/>
        </w:rPr>
        <w:t>” refers to holders of LLC Units under the Amended LLC Agreement.</w:t>
      </w:r>
    </w:p>
    <w:p>
      <w:pPr>
        <w:spacing w:after="0" w:line="7" w:lineRule="exact"/>
        <w:rPr>
          <w:rFonts w:ascii="Times New Roman" w:cs="Times New Roman" w:eastAsia="Times New Roman" w:hAnsi="Times New Roman"/>
          <w:sz w:val="18"/>
          <w:szCs w:val="18"/>
          <w:color w:val="auto"/>
        </w:rPr>
      </w:pPr>
    </w:p>
    <w:p>
      <w:pPr>
        <w:ind w:left="1020" w:right="460" w:hanging="503"/>
        <w:spacing w:after="0" w:line="235"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OpCo</w:t>
      </w:r>
      <w:r>
        <w:rPr>
          <w:rFonts w:ascii="Times New Roman" w:cs="Times New Roman" w:eastAsia="Times New Roman" w:hAnsi="Times New Roman"/>
          <w:sz w:val="18"/>
          <w:szCs w:val="18"/>
          <w:color w:val="auto"/>
        </w:rPr>
        <w:t>” refers to AIDH TopCo, LLC, a Delaware limited liability company, and a subsidiary of Definitive Healthcare Corp., following the Reorganization Transactions.</w:t>
      </w:r>
    </w:p>
    <w:p>
      <w:pPr>
        <w:spacing w:after="0" w:line="1" w:lineRule="exact"/>
        <w:rPr>
          <w:rFonts w:ascii="Times New Roman" w:cs="Times New Roman" w:eastAsia="Times New Roman" w:hAnsi="Times New Roman"/>
          <w:sz w:val="18"/>
          <w:szCs w:val="18"/>
          <w:color w:val="auto"/>
        </w:rPr>
      </w:pPr>
    </w:p>
    <w:p>
      <w:pPr>
        <w:ind w:left="1020" w:right="24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OpCo Units</w:t>
      </w:r>
      <w:r>
        <w:rPr>
          <w:rFonts w:ascii="Times New Roman" w:cs="Times New Roman" w:eastAsia="Times New Roman" w:hAnsi="Times New Roman"/>
          <w:sz w:val="18"/>
          <w:szCs w:val="18"/>
          <w:color w:val="auto"/>
        </w:rPr>
        <w:t>” refers to unvested Class B Units held by employees of the Company or indirectly through Definitive OpCo at the time of the Reorganization Transactions that were exchanged for unvested Definitive OpCo units based on their respective participation thresholds and the IPO price of $27.00 per share.</w:t>
      </w:r>
    </w:p>
    <w:p>
      <w:pPr>
        <w:ind w:left="1020" w:right="580" w:hanging="503"/>
        <w:spacing w:after="0" w:line="241"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DH Holdings</w:t>
      </w:r>
      <w:r>
        <w:rPr>
          <w:rFonts w:ascii="Times New Roman" w:cs="Times New Roman" w:eastAsia="Times New Roman" w:hAnsi="Times New Roman"/>
          <w:sz w:val="18"/>
          <w:szCs w:val="18"/>
          <w:color w:val="auto"/>
        </w:rPr>
        <w:t>” refers to Definitive Healthcare Holdings, LLC, a Delaware limited liability company and wholly-owned subsidiary of Definitive Healthcare Corp.</w:t>
      </w:r>
    </w:p>
    <w:p>
      <w:pPr>
        <w:spacing w:after="0" w:line="1"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Units</w:t>
      </w:r>
      <w:r>
        <w:rPr>
          <w:rFonts w:ascii="Times New Roman" w:cs="Times New Roman" w:eastAsia="Times New Roman" w:hAnsi="Times New Roman"/>
          <w:sz w:val="18"/>
          <w:szCs w:val="18"/>
          <w:color w:val="auto"/>
        </w:rPr>
        <w:t>” refers to limited liability company interests in Definitive OpCo.</w:t>
      </w:r>
    </w:p>
    <w:p>
      <w:pPr>
        <w:ind w:left="1020" w:hanging="503"/>
        <w:spacing w:after="0" w:line="234"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refers to the initial public offering of Class A Common Stock of Definitive Healthcare Corp.</w:t>
      </w:r>
    </w:p>
    <w:p>
      <w:pPr>
        <w:ind w:left="1020" w:right="20" w:hanging="503"/>
        <w:spacing w:after="0" w:line="24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Net Dollar Retention Rate</w:t>
      </w:r>
      <w:r>
        <w:rPr>
          <w:rFonts w:ascii="Times New Roman" w:cs="Times New Roman" w:eastAsia="Times New Roman" w:hAnsi="Times New Roman"/>
          <w:sz w:val="18"/>
          <w:szCs w:val="18"/>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ind w:left="1020" w:right="520" w:hanging="503"/>
        <w:spacing w:after="0" w:line="235"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highlight w:val="white"/>
        </w:rPr>
        <w:t>” refers to transactions completed in connection with the Company’s IPO as defined within Note 1 to our</w:t>
      </w:r>
      <w:r>
        <w:rPr>
          <w:rFonts w:ascii="Times New Roman" w:cs="Times New Roman" w:eastAsia="Times New Roman" w:hAnsi="Times New Roman"/>
          <w:sz w:val="18"/>
          <w:szCs w:val="18"/>
          <w:color w:val="auto"/>
        </w:rPr>
        <w:t xml:space="preserve"> unaudited consolidated financial statements included in Part I, Item 1 of this Form 10-Q.</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Spectrum Equity</w:t>
      </w:r>
      <w:r>
        <w:rPr>
          <w:rFonts w:ascii="Times New Roman" w:cs="Times New Roman" w:eastAsia="Times New Roman" w:hAnsi="Times New Roman"/>
          <w:sz w:val="18"/>
          <w:szCs w:val="18"/>
          <w:color w:val="auto"/>
          <w:highlight w:val="white"/>
        </w:rPr>
        <w:t>” refers to investment funds associated with Spectrum Equity Management, L.P., a private equity firm.</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highlight w:val="white"/>
        </w:rPr>
        <w:t>” refers collectively to Advent, 22C Capital, and Spectrum Equity.</w:t>
      </w: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22C Capital</w:t>
      </w:r>
      <w:r>
        <w:rPr>
          <w:rFonts w:ascii="Times New Roman" w:cs="Times New Roman" w:eastAsia="Times New Roman" w:hAnsi="Times New Roman"/>
          <w:sz w:val="18"/>
          <w:szCs w:val="18"/>
          <w:color w:val="auto"/>
          <w:highlight w:val="white"/>
        </w:rPr>
        <w:t>” refers to investment funds associated with 22C Capital LLC, a private equity firm.</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This Quarterly Report on Form 10-Q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5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spacing w:after="0" w:line="87"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Part I, Item 1A, “Risk Factors”, in our Annual Report on Form 10-K for the year ended December 31, 2021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PART I -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w:t>
      </w: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229,795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387,498</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deferred contract costs</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444,232</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 net of current portion</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32,675</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387,241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352,470</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1,323,516</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1,261,444</w:t>
            </w:r>
          </w:p>
        </w:tc>
        <w:tc>
          <w:tcPr>
            <w:tcW w:w="8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2,141,728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2,115,988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83,611</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122,015</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117,795</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263,808</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154,673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153,529</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86,144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75,888</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644,463</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612,726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42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76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Class A Common Stock, par value $0.001, 600,000,000 shares authorized, 97,574,397 and</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4"/>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97,030,095 shares issued and outstanding at March 31, 2022 and December 31, 2021, respectively</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20"/>
                <w:szCs w:val="20"/>
                <w:color w:val="auto"/>
              </w:rPr>
            </w:pPr>
          </w:p>
        </w:tc>
      </w:tr>
      <w:tr>
        <w:trPr>
          <w:trHeight w:val="171"/>
        </w:trPr>
        <w:tc>
          <w:tcPr>
            <w:tcW w:w="76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Class B Common Stock, par value $0.00001, 65,000,000 shares authorized, 57,666,776 and</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76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55,040,110 shares issued and outstanding, respectively, at March 31, 2022, and 58,244,627 and</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55,488,221 shares issued and outstanding, respectively at December 31, 2021</w:t>
            </w:r>
          </w:p>
        </w:tc>
        <w:tc>
          <w:tcPr>
            <w:tcW w:w="22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899,485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890,724</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(26,301 )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(17,677 )</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623,065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630,056</w:t>
            </w:r>
          </w:p>
        </w:tc>
        <w:tc>
          <w:tcPr>
            <w:tcW w:w="8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1,497,265</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1,503,262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2,141,728</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2,115,988</w:t>
            </w:r>
          </w:p>
        </w:tc>
        <w:tc>
          <w:tcPr>
            <w:tcW w:w="8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-5408295</wp:posOffset>
            </wp:positionV>
            <wp:extent cx="5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-5408295</wp:posOffset>
            </wp:positionV>
            <wp:extent cx="51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-4020185</wp:posOffset>
            </wp:positionV>
            <wp:extent cx="51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-4002405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-4020185</wp:posOffset>
            </wp:positionV>
            <wp:extent cx="51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-4002405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-1782445</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-1782445</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ind w:left="41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ind w:right="20"/>
        <w:spacing w:after="0" w:line="234" w:lineRule="auto"/>
        <w:rPr>
          <w:sz w:val="20"/>
          <w:szCs w:val="20"/>
          <w:color w:val="auto"/>
        </w:rPr>
      </w:pPr>
      <w:r>
        <w:rPr>
          <w:rFonts w:ascii="Times New Roman" w:cs="Times New Roman" w:eastAsia="Times New Roman" w:hAnsi="Times New Roman"/>
          <w:sz w:val="18"/>
          <w:szCs w:val="18"/>
          <w:i w:val="1"/>
          <w:iCs w:val="1"/>
          <w:color w:val="auto"/>
        </w:rPr>
        <w:t>(amounts in thousands, except share amounts and per share data)</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6"/>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5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exclusive of amortization shown below</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expenses</w:t>
            </w: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(1,884 )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(8,454 )</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7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(12,970 )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(10,488 )</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(13,057 )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(10,488 )</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520" w:type="dxa"/>
            <w:vAlign w:val="bottom"/>
            <w:shd w:val="clear" w:color="auto" w:fill="CFF0FC"/>
          </w:tcPr>
          <w:p>
            <w:pPr>
              <w:ind w:left="200"/>
              <w:spacing w:after="0" w:line="164" w:lineRule="exact"/>
              <w:rPr>
                <w:sz w:val="20"/>
                <w:szCs w:val="20"/>
                <w:color w:val="auto"/>
              </w:rPr>
            </w:pPr>
            <w:r>
              <w:rPr>
                <w:rFonts w:ascii="Times New Roman" w:cs="Times New Roman" w:eastAsia="Times New Roman" w:hAnsi="Times New Roman"/>
                <w:sz w:val="18"/>
                <w:szCs w:val="18"/>
                <w:color w:val="auto"/>
              </w:rPr>
              <w:t>Less: Net loss attributable to Definitive OpCo prior to the Reorganization</w:t>
            </w:r>
          </w:p>
        </w:tc>
        <w:tc>
          <w:tcPr>
            <w:tcW w:w="40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(10,488 )</w:t>
            </w:r>
          </w:p>
        </w:tc>
        <w:tc>
          <w:tcPr>
            <w:tcW w:w="0" w:type="dxa"/>
            <w:vAlign w:val="bottom"/>
          </w:tcPr>
          <w:p>
            <w:pPr>
              <w:spacing w:after="0"/>
              <w:rPr>
                <w:sz w:val="1"/>
                <w:szCs w:val="1"/>
                <w:color w:val="auto"/>
              </w:rPr>
            </w:pPr>
          </w:p>
        </w:tc>
      </w:tr>
      <w:tr>
        <w:trPr>
          <w:trHeight w:val="140"/>
        </w:trPr>
        <w:tc>
          <w:tcPr>
            <w:tcW w:w="752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Transactions</w:t>
            </w:r>
          </w:p>
        </w:tc>
        <w:tc>
          <w:tcPr>
            <w:tcW w:w="400" w:type="dxa"/>
            <w:vAlign w:val="bottom"/>
            <w:shd w:val="clear" w:color="auto" w:fill="CFF0FC"/>
          </w:tcPr>
          <w:p>
            <w:pPr>
              <w:spacing w:after="0"/>
              <w:rPr>
                <w:sz w:val="12"/>
                <w:szCs w:val="12"/>
                <w:color w:val="auto"/>
              </w:rPr>
            </w:pPr>
          </w:p>
        </w:tc>
        <w:tc>
          <w:tcPr>
            <w:tcW w:w="1260" w:type="dxa"/>
            <w:vAlign w:val="bottom"/>
            <w:vMerge w:val="continue"/>
            <w:shd w:val="clear" w:color="auto" w:fill="CFF0FC"/>
          </w:tcPr>
          <w:p>
            <w:pPr>
              <w:spacing w:after="0"/>
              <w:rPr>
                <w:sz w:val="12"/>
                <w:szCs w:val="12"/>
                <w:color w:val="auto"/>
              </w:rPr>
            </w:pPr>
          </w:p>
        </w:tc>
        <w:tc>
          <w:tcPr>
            <w:tcW w:w="260" w:type="dxa"/>
            <w:vAlign w:val="bottom"/>
            <w:gridSpan w:val="2"/>
            <w:vMerge w:val="continue"/>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520" w:type="dxa"/>
            <w:vAlign w:val="bottom"/>
            <w:vMerge w:val="continue"/>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(4,433 )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5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of Class A Common Stock:</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520" w:type="dxa"/>
            <w:vAlign w:val="bottom"/>
            <w:shd w:val="clear" w:color="auto" w:fill="CFF0FC"/>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Basic and diluted </w:t>
            </w:r>
            <w:r>
              <w:rPr>
                <w:rFonts w:ascii="Times New Roman" w:cs="Times New Roman" w:eastAsia="Times New Roman" w:hAnsi="Times New Roman"/>
                <w:sz w:val="24"/>
                <w:szCs w:val="24"/>
                <w:color w:val="auto"/>
                <w:vertAlign w:val="superscript"/>
              </w:rPr>
              <w:t>(1)</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7"/>
        </w:trPr>
        <w:tc>
          <w:tcPr>
            <w:tcW w:w="75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Class A Common Stock outstanding:</w:t>
            </w: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520" w:type="dxa"/>
            <w:vAlign w:val="bottom"/>
            <w:tcBorders>
              <w:bottom w:val="single" w:sz="8" w:color="CFF0FC"/>
            </w:tcBorders>
            <w:shd w:val="clear" w:color="auto" w:fill="CFF0FC"/>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Basic and diluted </w:t>
            </w:r>
            <w:r>
              <w:rPr>
                <w:rFonts w:ascii="Times New Roman" w:cs="Times New Roman" w:eastAsia="Times New Roman" w:hAnsi="Times New Roman"/>
                <w:sz w:val="24"/>
                <w:szCs w:val="24"/>
                <w:color w:val="auto"/>
                <w:vertAlign w:val="superscript"/>
              </w:rPr>
              <w:t>(1)</w:t>
            </w:r>
          </w:p>
        </w:tc>
        <w:tc>
          <w:tcPr>
            <w:tcW w:w="4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97,158,823</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-3282315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-3282315</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-2451100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-2451100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-1760855</wp:posOffset>
            </wp:positionV>
            <wp:extent cx="8572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6995795</wp:posOffset>
            </wp:positionH>
            <wp:positionV relativeFrom="paragraph">
              <wp:posOffset>-1760855</wp:posOffset>
            </wp:positionV>
            <wp:extent cx="7683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-1319530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-1319530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-624840</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-607695</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-624840</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-607695</wp:posOffset>
            </wp:positionV>
            <wp:extent cx="51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-325120</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-307975</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-325120</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-307975</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51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5" w:lineRule="exact"/>
        <w:rPr>
          <w:sz w:val="20"/>
          <w:szCs w:val="20"/>
          <w:color w:val="auto"/>
        </w:rPr>
      </w:pPr>
    </w:p>
    <w:p>
      <w:pPr>
        <w:ind w:firstLine="8"/>
        <w:spacing w:after="0" w:line="282" w:lineRule="auto"/>
        <w:tabs>
          <w:tab w:leader="none" w:pos="20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loss per share of Class A Common Stock is applicable only for the periods beginning from September 15, 2021, which is the period following the IPO and related Reorganization Transactions. See Note 18 for the number of shares used in the computation of net loss per share of Class A Common Stock and the basis for the computation of net loss per share.</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3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112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(309 )</w:t>
            </w:r>
          </w:p>
        </w:tc>
        <w:tc>
          <w:tcPr>
            <w:tcW w:w="110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interest rate hedging instruments</w:t>
            </w:r>
          </w:p>
        </w:tc>
        <w:tc>
          <w:tcPr>
            <w:tcW w:w="1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112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(11,714 )</w:t>
            </w:r>
          </w:p>
        </w:tc>
        <w:tc>
          <w:tcPr>
            <w:tcW w:w="1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(10,325 )</w:t>
            </w:r>
          </w:p>
        </w:tc>
      </w:tr>
      <w:tr>
        <w:trPr>
          <w:trHeight w:val="171"/>
        </w:trPr>
        <w:tc>
          <w:tcPr>
            <w:tcW w:w="73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Less: Comprehensive loss attributable to Definitive OpCo prior to the Reorganization</w:t>
            </w:r>
          </w:p>
        </w:tc>
        <w:tc>
          <w:tcPr>
            <w:tcW w:w="1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4"/>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Transactions</w:t>
            </w:r>
          </w:p>
        </w:tc>
        <w:tc>
          <w:tcPr>
            <w:tcW w:w="1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(10,325 )</w:t>
            </w: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112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(3,946 )</w:t>
            </w:r>
          </w:p>
        </w:tc>
        <w:tc>
          <w:tcPr>
            <w:tcW w:w="110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loss attributable to Definitive Healthcare Corp.</w:t>
            </w:r>
          </w:p>
        </w:tc>
        <w:tc>
          <w:tcPr>
            <w:tcW w:w="1120" w:type="dxa"/>
            <w:vAlign w:val="bottom"/>
            <w:tcBorders>
              <w:top w:val="single" w:sz="8" w:color="auto"/>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-710565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-710565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19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MEMBERS’ EQUITY AND TOTAL EQUITY</w:t>
      </w:r>
    </w:p>
    <w:p>
      <w:pPr>
        <w:spacing w:after="0" w:line="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i w:val="1"/>
          <w:iCs w:val="1"/>
          <w:color w:val="auto"/>
        </w:rPr>
        <w:t>(amounts in thousands, except share and unit amounts)</w:t>
      </w: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tcPr>
          <w:p>
            <w:pPr>
              <w:spacing w:after="0"/>
              <w:rPr>
                <w:sz w:val="14"/>
                <w:szCs w:val="14"/>
                <w:color w:val="auto"/>
              </w:rPr>
            </w:pPr>
          </w:p>
        </w:tc>
        <w:tc>
          <w:tcPr>
            <w:tcW w:w="9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60" w:type="dxa"/>
            <w:vAlign w:val="bottom"/>
            <w:gridSpan w:val="5"/>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4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40" w:type="dxa"/>
            <w:vAlign w:val="bottom"/>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180" w:type="dxa"/>
            <w:vAlign w:val="bottom"/>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5"/>
                <w:szCs w:val="15"/>
                <w:color w:val="auto"/>
              </w:rPr>
            </w:pP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920" w:type="dxa"/>
            <w:vAlign w:val="bottom"/>
            <w:gridSpan w:val="4"/>
          </w:tcPr>
          <w:p>
            <w:pPr>
              <w:jc w:val="center"/>
              <w:ind w:right="29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64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40" w:type="dxa"/>
            <w:vAlign w:val="bottom"/>
          </w:tcPr>
          <w:p>
            <w:pPr>
              <w:spacing w:after="0"/>
              <w:rPr>
                <w:sz w:val="15"/>
                <w:szCs w:val="15"/>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8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1, 2022</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97,030,095</w:t>
            </w:r>
          </w:p>
        </w:tc>
        <w:tc>
          <w:tcPr>
            <w:tcW w:w="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58,244,627</w:t>
            </w: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890,724</w:t>
            </w: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(17,677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630,056</w:t>
            </w:r>
          </w:p>
        </w:tc>
        <w:tc>
          <w:tcPr>
            <w:tcW w:w="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1,503,262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4"/>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(8,624 )</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(4,433 )</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60" w:type="dxa"/>
            <w:vAlign w:val="bottom"/>
            <w:gridSpan w:val="4"/>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1,343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incentive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4"/>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(696 )</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LLC unit exchanges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544,302</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(544,302 )</w:t>
            </w:r>
          </w:p>
        </w:tc>
        <w:tc>
          <w:tcPr>
            <w:tcW w:w="180" w:type="dxa"/>
            <w:vAlign w:val="bottom"/>
            <w:shd w:val="clear" w:color="auto" w:fill="CFF0FC"/>
          </w:tcPr>
          <w:p>
            <w:pPr>
              <w:spacing w:after="0"/>
              <w:rPr>
                <w:sz w:val="17"/>
                <w:szCs w:val="17"/>
                <w:color w:val="auto"/>
              </w:rPr>
            </w:pPr>
          </w:p>
        </w:tc>
        <w:tc>
          <w:tcPr>
            <w:tcW w:w="960" w:type="dxa"/>
            <w:vAlign w:val="bottom"/>
            <w:gridSpan w:val="4"/>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(5,978 )</w:t>
            </w:r>
          </w:p>
        </w:tc>
        <w:tc>
          <w:tcPr>
            <w:tcW w:w="1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unvested incentive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(33,549 )</w:t>
            </w:r>
          </w:p>
        </w:tc>
        <w:tc>
          <w:tcPr>
            <w:tcW w:w="180" w:type="dxa"/>
            <w:vAlign w:val="bottom"/>
          </w:tcPr>
          <w:p>
            <w:pPr>
              <w:spacing w:after="0"/>
              <w:rPr>
                <w:sz w:val="17"/>
                <w:szCs w:val="17"/>
                <w:color w:val="auto"/>
              </w:rPr>
            </w:pPr>
          </w:p>
        </w:tc>
        <w:tc>
          <w:tcPr>
            <w:tcW w:w="960" w:type="dxa"/>
            <w:vAlign w:val="bottom"/>
            <w:gridSpan w:val="4"/>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60" w:type="dxa"/>
            <w:vAlign w:val="bottom"/>
            <w:gridSpan w:val="4"/>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6,872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960" w:type="dxa"/>
            <w:vAlign w:val="bottom"/>
            <w:gridSpan w:val="4"/>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(258 )</w:t>
            </w:r>
          </w:p>
        </w:tc>
        <w:tc>
          <w:tcPr>
            <w:tcW w:w="180" w:type="dxa"/>
            <w:vAlign w:val="bottom"/>
          </w:tcPr>
          <w:p>
            <w:pPr>
              <w:spacing w:after="0"/>
              <w:rPr>
                <w:sz w:val="12"/>
                <w:szCs w:val="12"/>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(258 )</w:t>
            </w:r>
          </w:p>
        </w:tc>
        <w:tc>
          <w:tcPr>
            <w:tcW w:w="0" w:type="dxa"/>
            <w:vAlign w:val="bottom"/>
          </w:tcPr>
          <w:p>
            <w:pPr>
              <w:spacing w:after="0"/>
              <w:rPr>
                <w:sz w:val="1"/>
                <w:szCs w:val="1"/>
                <w:color w:val="auto"/>
              </w:rPr>
            </w:pPr>
          </w:p>
        </w:tc>
      </w:tr>
      <w:tr>
        <w:trPr>
          <w:trHeight w:val="20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gridSpan w:val="3"/>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97,574,397</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57,666,776</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899,485</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623,065</w:t>
            </w: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1,497,265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3"/>
        </w:trPr>
        <w:tc>
          <w:tcPr>
            <w:tcW w:w="2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3"/>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Members'</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1, 2021</w:t>
            </w: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tcBorders>
              <w:top w:val="single" w:sz="8" w:color="auto"/>
            </w:tcBorders>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gridSpan w:val="4"/>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1,195,694</w:t>
            </w:r>
          </w:p>
        </w:tc>
        <w:tc>
          <w:tcPr>
            <w:tcW w:w="30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gridSpan w:val="3"/>
            <w:shd w:val="clear" w:color="auto" w:fill="CFF0FC"/>
          </w:tcPr>
          <w:p>
            <w:pPr>
              <w:jc w:val="right"/>
              <w:ind w:right="301"/>
              <w:spacing w:after="0"/>
              <w:rPr>
                <w:sz w:val="20"/>
                <w:szCs w:val="20"/>
                <w:color w:val="auto"/>
              </w:rPr>
            </w:pPr>
            <w:r>
              <w:rPr>
                <w:rFonts w:ascii="Times New Roman" w:cs="Times New Roman" w:eastAsia="Times New Roman" w:hAnsi="Times New Roman"/>
                <w:sz w:val="16"/>
                <w:szCs w:val="16"/>
                <w:color w:val="auto"/>
                <w:w w:val="98"/>
              </w:rPr>
              <w:t>(131 ) $</w:t>
            </w: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1,195,563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 prior to Reorganization Transactions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(10,488 )</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prior to Reorganization Transactions</w:t>
            </w: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406</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1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gridSpan w:val="4"/>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1,185,612</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560" w:type="dxa"/>
            <w:vAlign w:val="bottom"/>
            <w:tcBorders>
              <w:bottom w:val="single" w:sz="8" w:color="auto"/>
            </w:tcBorders>
            <w:shd w:val="clear" w:color="auto" w:fill="CFF0FC"/>
          </w:tcPr>
          <w:p>
            <w:pPr>
              <w:jc w:val="center"/>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1,185,644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-1276350</wp:posOffset>
            </wp:positionV>
            <wp:extent cx="34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-1259205</wp:posOffset>
            </wp:positionV>
            <wp:extent cx="34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-1276350</wp:posOffset>
            </wp:positionV>
            <wp:extent cx="34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-1259205</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-1276350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-1259205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-1276350</wp:posOffset>
            </wp:positionV>
            <wp:extent cx="342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-1259205</wp:posOffset>
            </wp:positionV>
            <wp:extent cx="342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-1276350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-1259205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-1276350</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-1259205</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-1276350</wp:posOffset>
            </wp:positionV>
            <wp:extent cx="25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-1259205</wp:posOffset>
            </wp:positionV>
            <wp:extent cx="25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-1276350</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-1259205</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-1276350</wp:posOffset>
            </wp:positionV>
            <wp:extent cx="4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-1259205</wp:posOffset>
            </wp:positionV>
            <wp:extent cx="4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9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(13,057 )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(10,488 )</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8"/>
                <w:szCs w:val="18"/>
                <w:color w:val="auto"/>
              </w:rPr>
            </w:pPr>
          </w:p>
        </w:tc>
      </w:tr>
      <w:tr>
        <w:trPr>
          <w:trHeight w:val="216"/>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Amortization of deferred contract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Pr>
          <w:p>
            <w:pPr>
              <w:spacing w:after="0"/>
              <w:rPr>
                <w:sz w:val="18"/>
                <w:szCs w:val="18"/>
                <w:color w:val="auto"/>
              </w:rPr>
            </w:pPr>
          </w:p>
        </w:tc>
      </w:tr>
      <w:tr>
        <w:trPr>
          <w:trHeight w:val="216"/>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18"/>
                <w:szCs w:val="18"/>
                <w:color w:val="auto"/>
              </w:rPr>
            </w:pPr>
          </w:p>
        </w:tc>
      </w:tr>
      <w:tr>
        <w:trPr>
          <w:trHeight w:val="216"/>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Provision for doubtful accounts receivable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Tax receivable agreement remeasurement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(559 )</w:t>
            </w:r>
          </w:p>
        </w:tc>
      </w:tr>
      <w:tr>
        <w:trPr>
          <w:trHeight w:val="216"/>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(3,299 )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(2,854 )</w:t>
            </w:r>
          </w:p>
        </w:tc>
      </w:tr>
      <w:tr>
        <w:trPr>
          <w:trHeight w:val="216"/>
        </w:trPr>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(6,400 )</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(3,579 )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(3,908 )</w:t>
            </w:r>
          </w:p>
        </w:tc>
      </w:tr>
      <w:tr>
        <w:trPr>
          <w:trHeight w:val="216"/>
        </w:trPr>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80" w:type="dxa"/>
            <w:vAlign w:val="bottom"/>
          </w:tcPr>
          <w:p>
            <w:pPr>
              <w:spacing w:after="0"/>
              <w:rPr>
                <w:sz w:val="18"/>
                <w:szCs w:val="18"/>
                <w:color w:val="auto"/>
              </w:rPr>
            </w:pPr>
          </w:p>
        </w:tc>
      </w:tr>
      <w:tr>
        <w:trPr>
          <w:trHeight w:val="209"/>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(794 )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(3,842 )</w:t>
            </w: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2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(109,559 )</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(56,499 )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(166,852 )</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(3,842 )</w:t>
            </w: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term loans</w:t>
            </w:r>
          </w:p>
        </w:tc>
        <w:tc>
          <w:tcPr>
            <w:tcW w:w="32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(1,719 )</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(1,170 )</w:t>
            </w:r>
          </w:p>
        </w:tc>
      </w:tr>
      <w:tr>
        <w:trPr>
          <w:trHeight w:val="216"/>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(1,100 )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equity offering issuance costs</w:t>
            </w:r>
          </w:p>
        </w:tc>
        <w:tc>
          <w:tcPr>
            <w:tcW w:w="32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(1,299 )</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(126 )</w:t>
            </w:r>
          </w:p>
        </w:tc>
      </w:tr>
      <w:tr>
        <w:trPr>
          <w:trHeight w:val="216"/>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Member distributions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(258 )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(4,376 )</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(1,296 )</w:t>
            </w: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(157,595</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(108 )</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r>
      <w:tr>
        <w:trPr>
          <w:trHeight w:val="216"/>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387,498</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229,795</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33,079</w:t>
            </w:r>
          </w:p>
        </w:tc>
        <w:tc>
          <w:tcPr>
            <w:tcW w:w="8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Acquisitions: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Net assets acquired, net of cash acquired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97,499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Initial cash investment in prior year</w:t>
            </w:r>
          </w:p>
        </w:tc>
        <w:tc>
          <w:tcPr>
            <w:tcW w:w="32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(40,000 )</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(1,000 )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40" w:type="dxa"/>
            <w:vAlign w:val="bottom"/>
            <w:tcBorders>
              <w:top w:val="single" w:sz="8" w:color="CFF0FC"/>
            </w:tcBorders>
          </w:tcPr>
          <w:p>
            <w:pPr>
              <w:ind w:left="900"/>
              <w:spacing w:after="0"/>
              <w:rPr>
                <w:sz w:val="20"/>
                <w:szCs w:val="20"/>
                <w:color w:val="auto"/>
              </w:rPr>
            </w:pPr>
            <w:r>
              <w:rPr>
                <w:rFonts w:ascii="Times New Roman" w:cs="Times New Roman" w:eastAsia="Times New Roman" w:hAnsi="Times New Roman"/>
                <w:sz w:val="18"/>
                <w:szCs w:val="18"/>
                <w:color w:val="auto"/>
              </w:rPr>
              <w:t>Net cash paid for acquisitions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56,499</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included in accrued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-3551555</wp:posOffset>
            </wp:positionV>
            <wp:extent cx="59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-3551555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-2994025</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-2994025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-2153920</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-2153920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-1588135</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-1588135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-456565</wp:posOffset>
            </wp:positionV>
            <wp:extent cx="59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-456565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0" w:right="899" w:bottom="1440" w:gutter="0" w:footer="0" w:header="0"/>
        </w:sectPr>
      </w:pPr>
    </w:p>
    <w:bookmarkStart w:id="9" w:name="page10"/>
    <w:bookmarkEnd w:id="9"/>
    <w:p>
      <w:pPr>
        <w:ind w:left="41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right="280" w:firstLine="509"/>
        <w:spacing w:after="0" w:line="246" w:lineRule="auto"/>
        <w:rPr>
          <w:sz w:val="20"/>
          <w:szCs w:val="20"/>
          <w:color w:val="auto"/>
        </w:rPr>
      </w:pPr>
      <w:r>
        <w:rPr>
          <w:rFonts w:ascii="Times New Roman" w:cs="Times New Roman" w:eastAsia="Times New Roman" w:hAnsi="Times New Roman"/>
          <w:sz w:val="18"/>
          <w:szCs w:val="18"/>
          <w:color w:val="auto"/>
        </w:rPr>
        <w:t>Definitive Healthcare Corp., through its operating subsidiary, Definitive OpCo, provides comprehensive and up-to-date hospital and healthcare-related information and insight across the entire healthcare continuum via a multi-tenant software-as-a-service (“SaaS”) platform which combines proprietary and public sources to deliver insights. Unless otherwise stated, references to “we,” “us,” “our,” “Definitive Healthcare” and the “Company” refer (1) prior to the consummation of the Reorganization Transactions (as defined below), to Definitive OpCo and its consolidated subsidiaries, and (2) after the consummation of the Reorganization Transactions, to Definitive Healthcare Corp. and its consolidated subsidiaries.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Definitive Healthcare Corp. was formed on May 5, 2021 as a Delaware corporation to facilitate an initial public offering (“IPO”) and other related transactions to carry on the business of Definitive OpCo, a Delaware limited liability company. Following consummation of the Reorganization Transactions, Definitive OpCo became an indirect subsidiary of Definitive Healthcare Corp.</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headquartered in Framingham, MA.</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0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On September 17, 2021, Definitive Healthcare completed its IPO, in which it sold 17,888,888 shares of Class A Common Stock (including shares issued pursuant to the exercise in full of the underwriters’ option to purchase additional shares) at a public offering price of $27.00 per share for net proceeds of $452.8 million, after deducting underwriters’ discounts and commissions (but excluding other offering expenses and reimbursements).</w:t>
      </w:r>
    </w:p>
    <w:p>
      <w:pPr>
        <w:spacing w:after="0" w:line="6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Definitive Healthcare used net proceeds from the IPO to (i) acquire 14,222,222 newly issued limited liability company interests (“LLC Units”) from Definitive OpCo; (ii) purchase 1,169,378 LLC Units from certain holders of LLC Units prior to the IPO; and (iii) repurchase 2,497,288 shares of Class A Common Stock received by the former shareholders of certain Blocker Companies (as defined below). Definitive OpCo used proceeds from the IPO to pay fees and expenses of approximately $11.4 million incurred in connection with the IPO and the Reorganization Transactions and to repay $199.6 million, inclusive of accrued interest expense, of the outstanding borrowings under our 2019 Credit Agreement, with the remaining proceeds intended to be used for general corporate purposes.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10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connection with the IPO, the Company completed the following transactions (the “Reorganization Transactions”). Definitive OpCo entered into a second amended and restated limited liability company agreement (the “Amended LLC Agreement”) pursuant to which members of Definitive OpCo prior to the IPO who continue to hold LLC Units have the right to require Definitive OpCo to exchange all or a portion of their LLC Units for newly issued shares of Class A Common Stock. Until exchanged, each LLC Unit is coupled with one share of Definitive Healthcare Corp. Class B Common Stock. The total amount of shares of Class B Common Stock outstanding is equal to the number of vested LLC Units outstanding. Entities treated as corporations for U.S. tax purposes that held LLC Units (individually, a “Blocker Company” and collectively, the "Blocker Companies") each merged with a merger subsidiary and subsequently merged into Definitive Healthcare Corp. and are now holders of Class A Common Stock.</w:t>
      </w:r>
    </w:p>
    <w:p>
      <w:pPr>
        <w:spacing w:after="0" w:line="18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consolidated financial statements.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Reorganization Transactions and the IPO, Definitive Healthcare Corp entered into a tax receivable agreement. See Note 17.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On November 22, 2021, Definitive Healthcare Corp. completed a follow-on offering, in which it sold 11,000,000 shares of Class A Common Stock at a public offering price of $36.00 per share for net proceeds of $382.1 million, after deducting underwriters’ discounts and commissions (but excluding other offering expenses and reimbursements).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Definitive Healthcare Corp. used net proceeds from the follow-on offering to (i) acquire 7,000,000 newly issued LLC Units from Definitive OpCo;</w:t>
      </w:r>
    </w:p>
    <w:p>
      <w:pPr>
        <w:spacing w:after="0" w:line="16" w:lineRule="exact"/>
        <w:rPr>
          <w:sz w:val="20"/>
          <w:szCs w:val="20"/>
          <w:color w:val="auto"/>
        </w:rPr>
      </w:pPr>
    </w:p>
    <w:p>
      <w:pPr>
        <w:ind w:right="540" w:firstLine="8"/>
        <w:spacing w:after="0" w:line="243"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1,766,762 LLC Units from certain unitholders; and (iii) repurchase 2,233,238 shares of Class A Common Stock received by the former shareholders of certain Blocker Companies. Definitive OpCo used net proceeds from the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 w:name="page11"/>
    <w:bookmarkEnd w:id="10"/>
    <w:p>
      <w:pPr>
        <w:ind w:right="80"/>
        <w:spacing w:after="0" w:line="282" w:lineRule="auto"/>
        <w:rPr>
          <w:sz w:val="20"/>
          <w:szCs w:val="20"/>
          <w:color w:val="auto"/>
        </w:rPr>
      </w:pPr>
      <w:r>
        <w:rPr>
          <w:rFonts w:ascii="Times New Roman" w:cs="Times New Roman" w:eastAsia="Times New Roman" w:hAnsi="Times New Roman"/>
          <w:sz w:val="18"/>
          <w:szCs w:val="18"/>
          <w:color w:val="auto"/>
        </w:rPr>
        <w:t>follow-on offering to pay fees and expenses of approximately $1.6 million incurred in connection with the follow-on offering, with the remaining proceeds intended to be used for general corporate purposes.</w:t>
      </w:r>
    </w:p>
    <w:p>
      <w:pPr>
        <w:spacing w:after="0" w:line="252" w:lineRule="exact"/>
        <w:rPr>
          <w:sz w:val="20"/>
          <w:szCs w:val="20"/>
          <w:color w:val="auto"/>
        </w:rPr>
      </w:pPr>
    </w:p>
    <w:p>
      <w:pPr>
        <w:ind w:left="520" w:right="7680" w:hanging="512"/>
        <w:spacing w:after="0" w:line="370" w:lineRule="auto"/>
        <w:tabs>
          <w:tab w:leader="none" w:pos="19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condensed consolidated financial statements as of March 31, 2022 and for the three months ended March 31, 2022 and 2021 are unaudited. Amounts for the period from January 1, 2021 through March 31, 2021 presented in the condensed consolidated financial statements and notes to the condensed consolidated financial statements herein represent the historical operations of Definitive OpCo. The amounts as of March 31, 2022 and December 31, 2021 and for the period from January 1, 2022 through March 31, 2022 reflect the consolidated operations of Definitive Healthcare Corp. and its consolidated subsidiaries.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93"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color w:val="auto"/>
        </w:rPr>
        <w:t xml:space="preserve">Refer below and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 the Annual Report on Form 10-K for the fiscal year ended December 31, 2021 for the Company’s significant accounting policies and estimates.</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right="260" w:firstLine="509"/>
        <w:spacing w:after="0" w:line="24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Effective January 1, 2022, the Company adopted Accounting Standards Update (“ASU”) No. 2016-02—</w:t>
      </w:r>
      <w:r>
        <w:rPr>
          <w:rFonts w:ascii="Times New Roman" w:cs="Times New Roman" w:eastAsia="Times New Roman" w:hAnsi="Times New Roman"/>
          <w:sz w:val="18"/>
          <w:szCs w:val="18"/>
          <w:i w:val="1"/>
          <w:iCs w:val="1"/>
          <w:color w:val="auto"/>
        </w:rPr>
        <w:t>Leases (Topic 842) (“ASC 842”)</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In accordance with ASC 842, 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p>
    <w:p>
      <w:pPr>
        <w:spacing w:after="0" w:line="9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Some of the Company's leases contain rent escalations over the lease term. The Company recognizes expense for operating leases on a straight-line basis over the lease term. The Company’s lease agreements contain variable lease payments for common area maintenance, utility, and taxes.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19"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FASB Accounting Standards Codification (“ASC”) 815—</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and disclosures about credit-risk-related contingent features in derivative instruments.</w:t>
      </w:r>
    </w:p>
    <w:p>
      <w:pPr>
        <w:spacing w:after="0" w:line="1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 w:name="page12"/>
    <w:bookmarkEnd w:id="11"/>
    <w:p>
      <w:pPr>
        <w:ind w:firstLine="509"/>
        <w:spacing w:after="0" w:line="247" w:lineRule="auto"/>
        <w:rPr>
          <w:sz w:val="20"/>
          <w:szCs w:val="20"/>
          <w:color w:val="auto"/>
        </w:rPr>
      </w:pPr>
      <w:r>
        <w:rPr>
          <w:rFonts w:ascii="Times New Roman" w:cs="Times New Roman" w:eastAsia="Times New Roman" w:hAnsi="Times New Roman"/>
          <w:sz w:val="18"/>
          <w:szCs w:val="18"/>
          <w:color w:val="auto"/>
        </w:rPr>
        <w:t>As required by ASC 815, 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95" w:lineRule="exact"/>
        <w:rPr>
          <w:sz w:val="20"/>
          <w:szCs w:val="20"/>
          <w:color w:val="auto"/>
        </w:rPr>
      </w:pPr>
    </w:p>
    <w:p>
      <w:pPr>
        <w:ind w:right="100" w:firstLine="509"/>
        <w:spacing w:after="0" w:line="251" w:lineRule="auto"/>
        <w:rPr>
          <w:sz w:val="20"/>
          <w:szCs w:val="20"/>
          <w:color w:val="auto"/>
        </w:rPr>
      </w:pPr>
      <w:r>
        <w:rPr>
          <w:rFonts w:ascii="Times New Roman" w:cs="Times New Roman" w:eastAsia="Times New Roman" w:hAnsi="Times New Roman"/>
          <w:sz w:val="18"/>
          <w:szCs w:val="18"/>
          <w:color w:val="auto"/>
        </w:rPr>
        <w:t>In accordance with the FASB’s fair value measurement guidance in ASU 2011-04—</w:t>
      </w:r>
      <w:r>
        <w:rPr>
          <w:rFonts w:ascii="Times New Roman" w:cs="Times New Roman" w:eastAsia="Times New Roman" w:hAnsi="Times New Roman"/>
          <w:sz w:val="18"/>
          <w:szCs w:val="18"/>
          <w:i w:val="1"/>
          <w:iCs w:val="1"/>
          <w:color w:val="auto"/>
        </w:rPr>
        <w:t>Amendments to Achieve Common Fair Value Measurement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Requirements in U.S. GAAP and IFRS </w:t>
      </w:r>
      <w:r>
        <w:rPr>
          <w:rFonts w:ascii="Times New Roman" w:cs="Times New Roman" w:eastAsia="Times New Roman" w:hAnsi="Times New Roman"/>
          <w:sz w:val="18"/>
          <w:szCs w:val="18"/>
          <w:color w:val="auto"/>
        </w:rPr>
        <w:t>(“ASC 820”), the Company made an accounting policy election to measure the credit risk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financial instruments that are subject to master netting agreements on a net basis by counterparty portfolio.</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Adoption of Recently Issued Financial Accounting Standards</w:t>
      </w:r>
    </w:p>
    <w:p>
      <w:pPr>
        <w:spacing w:after="0" w:line="106"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October 2021, the FASB issued ASU No. 2021-08—</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This new accounting standard requires contract assets and contract liabilities (i.e., deferred revenue)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to be recognized and measured by the acquirer on the acquisition date in accordance with ASC 606—</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standard requires the acquirer to recognize contract assets and contract liabilities at the same amounts recorded by the acquiree. The new accounting guidance is effective for fiscal years beginning after December 15, 2022, with early adoption permitted. The Company adopted this new accounting guidance effective January 1, 2022. In connection with the acquisition of Analytical Wizards completed in the first quarter of 2022, the Company recorded contract liabilities of $3.7 million. 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details.</w:t>
      </w:r>
    </w:p>
    <w:p>
      <w:pPr>
        <w:spacing w:after="0" w:line="73" w:lineRule="exact"/>
        <w:rPr>
          <w:sz w:val="20"/>
          <w:szCs w:val="20"/>
          <w:color w:val="auto"/>
        </w:rPr>
      </w:pPr>
    </w:p>
    <w:p>
      <w:pPr>
        <w:ind w:right="100" w:firstLine="509"/>
        <w:spacing w:after="0" w:line="251" w:lineRule="auto"/>
        <w:rPr>
          <w:sz w:val="20"/>
          <w:szCs w:val="20"/>
          <w:color w:val="auto"/>
        </w:rPr>
      </w:pPr>
      <w:r>
        <w:rPr>
          <w:rFonts w:ascii="Times New Roman" w:cs="Times New Roman" w:eastAsia="Times New Roman" w:hAnsi="Times New Roman"/>
          <w:sz w:val="18"/>
          <w:szCs w:val="18"/>
          <w:color w:val="auto"/>
        </w:rPr>
        <w:t>In December 2019, the FASB issued ASU No. 2019-12—</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The Company adopted this new accounting guidance effective January 1, 2022, but the adoption did not have a material impact on the Company’s consolidated financial statements.</w:t>
      </w:r>
    </w:p>
    <w:p>
      <w:pPr>
        <w:spacing w:after="0" w:line="66"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FASB subsequently issued supplemental and/or clarifying ASUs inclusive of ASU 2020-05, which updated the effective date for certain non-public companies to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as an Emerging Growth Company as defined by the JOBS Act of 2012, elected to take the extended transition period and adopt the standard following guidance for non-public entities.</w:t>
      </w:r>
    </w:p>
    <w:p>
      <w:pPr>
        <w:spacing w:after="0" w:line="85"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 Company adopted ASU No. 2016-02—</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effective January 1, 2022 using the modified retrospective transition method. Prior period results will continue to be presented under ASC 840 as it was the accounting standard in effect for such periods. The Company elected to apply the package of practical expedients that allows entities to forgo reassessing at the transition date: (1) whether any expired or existing contracts are or contain leases; (2) lease classification for any expired or existing leases; and (3) whether unamortized initial direct costs for existing leases meet the definition of initial direct costs under the new guidance. The Company did not elect the hindsight practical expedient. The Company elected to use the practical expedient that allows the combination of lease and non-lease contract components in all of its underlying asset categories. Finally, the Company also elected a policy of not recording leases on its condensed consolidated balance sheets when the leases have a term of 12 months or less and the Company is not reasonably certain to elect an option to renew the leased asset. Due to the adoption of this guidance, the Company recognized operating right-of-use assets of $12.7 million and operating lease liabilities of $14.0 million as of the date of adoption. The difference between the right-of-use assets and lease liabilities on the accompanying consolidated balance sheet is primarily due to the accrual for lease payments as a result of straight-line lease expense and unamortized tenant incentive liability balances. The Company did not have any impact to opening retained earnings as a result of the adoption of the guidance. The adoption of this new guidance did not have a material impact on the Company’s results of operations, comprehensive loss, cash flows, liquidity or the Company’s covenant compliance under its existing credit agreement.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Recently-Issued Accounting Pronouncements Not Yet Adopted</w:t>
      </w:r>
    </w:p>
    <w:p>
      <w:pPr>
        <w:spacing w:after="0" w:line="119"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In June 2016, the FASB issued ASU No. 2016-13</w:t>
      </w:r>
      <w:r>
        <w:rPr>
          <w:rFonts w:ascii="Times New Roman" w:cs="Times New Roman" w:eastAsia="Times New Roman" w:hAnsi="Times New Roman"/>
          <w:sz w:val="18"/>
          <w:szCs w:val="18"/>
          <w:i w:val="1"/>
          <w:iCs w:val="1"/>
          <w:color w:val="auto"/>
        </w:rPr>
        <w:t>—Financial Instruments – Credit Losses (Topic 326) –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This standard is intended to improve financial reporting by requiring earlier recognition of credit losses on financing receivables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in scope, such as trade receivables. The amendment is effective for fiscal years beginning after December 15, 2022. The Company will adopt the update effective January 1, 2023 and does not expect the adoption of the standard to have a material impact on its consolidated financial statements.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2020, the FASB issued ASU No. 2020-04—</w:t>
      </w:r>
      <w:r>
        <w:rPr>
          <w:rFonts w:ascii="Times New Roman" w:cs="Times New Roman" w:eastAsia="Times New Roman" w:hAnsi="Times New Roman"/>
          <w:sz w:val="18"/>
          <w:szCs w:val="18"/>
          <w:i w:val="1"/>
          <w:iCs w:val="1"/>
          <w:color w:val="auto"/>
        </w:rPr>
        <w:t>Reference Rate Reform (Topic 848): Facilitation of the Effects of Reference Rate Reform on</w:t>
      </w:r>
    </w:p>
    <w:p>
      <w:pPr>
        <w:spacing w:after="0" w:line="2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The amendments of ASU No. 2020-04 are effective for companies as of March 12, 2020 through December 31, 2022. An entity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its consolidated financial position or results of operations upon adoption.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0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On December 22, 2021, the Definitive Healthcare, LLC (“DH, LLC”), an indirect wholly-owned subsidiary of Definitive Healthcare Corp. made a $40.0 million investment in Analytical Wizards Inc. (“AW”), a privately-held company. Analytical Wizards automates complex analytic models using tools that expedite efficient big data mining through artificial intelligence ("A.I.") and machine learning ("M.L.") power to uncover deep insights. In the transaction the Company purchased Series B Convertible Preferred Stock of AW (“Series B Preferred Stock”), representing 35% ownership of AW, and an option to acquire the remaining 65% ownership (the "Purchase Option") for $65.0 million. As of December 31, 2021, the Company determined it did not have a controlling financial interest in AW at transaction close as the Company did not have the right to control the governing body of AW or have control through other contractual rights. At December 31, 2021,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 million for the Series B Preferred Stock and Purchase Option, which was allocated on a relative fair value basis such that the Series B Preferred Stock and Purchase Option had carrying values of $32.7 million and $7.3 million at the time of the transaction, respectively. The Series B Preferred Stock was recorded in Investments in equity securities and the Purchase Option was recorded in Other assets in the accompanying consolidated balance sheet as of December 31, 2021.</w:t>
      </w:r>
    </w:p>
    <w:p>
      <w:pPr>
        <w:spacing w:after="0" w:line="7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On February 18, 2022, the Company purchased the remaining 65% of AW’s equity for $65.0 million, net of cash acquired and an estimated working capital adjustment and other customary purchase price adjustments (the “AW acquisition”). The Company’s previously-held investment and Purchase Option were remeasured at fair value as of the date the Purchase Option was exercised. The remeasurement had an immaterial impact on the consolidated condensed statements of operations for the three months ended March 31, 2022. The Company has included the financial results of Analytical Wizards in the consolidated financial statements from February 18, 2022, the date of acquisition.</w:t>
      </w:r>
    </w:p>
    <w:p>
      <w:pPr>
        <w:spacing w:after="0" w:line="8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Upon the consummation of the AW acquisition, AW became an indirect wholly-owned subsidiary of Definitive Healthcare Corp. The total consideration for the initial investment and subsequent exercise of the Purchase Option was $99.6 million, consisting of $40.0 million for the initial investment paid in December 2021, approximately $58.6 million of cash paid at closing, and up to $5.0 million of contingent consideration. The contingent consideration, which relates to earn-out payments that may be paid out, subject to meeting certain expense control metrics during the two-year period following the closing of the AW acquisition, has an estimated fair value of $1.0 million as of the acquisition date. Pursuant to the Stock Purchase Agreement governing the AW acquisition, $10.0 million of the consideration was deposited into an escrow account to secure certain indemnification claims of DH, LLC. The assets acquired and liabilities assumed were recorded at their estimated preliminary fair values and the results of operations were included in the Company’s condensed consolidated results as of the acquisition date.</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consideration transferred for the transaction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Initial cash investment in December 2021</w:t>
            </w:r>
          </w:p>
        </w:tc>
        <w:tc>
          <w:tcPr>
            <w:tcW w:w="49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paid at closing</w:t>
            </w: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4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price</w:t>
            </w:r>
          </w:p>
        </w:tc>
        <w:tc>
          <w:tcPr>
            <w:tcW w:w="4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300" w:type="dxa"/>
            <w:vAlign w:val="bottom"/>
            <w:vMerge w:val="restart"/>
          </w:tcPr>
          <w:p>
            <w:pPr>
              <w:jc w:val="right"/>
              <w:ind w:right="305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-582295</wp:posOffset>
            </wp:positionV>
            <wp:extent cx="34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ind w:right="20" w:firstLine="509"/>
        <w:spacing w:after="0" w:line="262" w:lineRule="auto"/>
        <w:rPr>
          <w:sz w:val="20"/>
          <w:szCs w:val="20"/>
          <w:color w:val="auto"/>
        </w:rPr>
      </w:pPr>
      <w:r>
        <w:rPr>
          <w:rFonts w:ascii="Times New Roman" w:cs="Times New Roman" w:eastAsia="Times New Roman" w:hAnsi="Times New Roman"/>
          <w:sz w:val="17"/>
          <w:szCs w:val="17"/>
          <w:color w:val="auto"/>
        </w:rPr>
        <w:t>The contingent consideration is based on the achievement of certain expense control metrics during the two-year period following the AW acquisition date, with potential earn-out payouts ranging from $0 to $5.0 million. The Company estimated the fair value of the contingent consideration to be $1.0 million as of February 18, 2022, based on the estimated achievement of the expense control metrics, time to payment and market participant cost of debt. The contingent consideration was recorded in Other liabilities in the accompanying consolidated balance sheet as of March 31, 2022. Refer to Note</w:t>
      </w:r>
    </w:p>
    <w:p>
      <w:pPr>
        <w:spacing w:after="0" w:line="2"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purchase price allocations for the AW acquisition are provisional and are based on the information that was available as of the acquisition date to estimate the fair values of assets acquired and liabilities assumed. The purchase price allocations for this acquisition, reported as of March 31, 2022, represent the Company’s best estimates of the fair values and were based upon the information available to us. The Company is gathering and reviewing additional information necessary to finalize the values assigned to the acquired assets and liabilities assumed, as well as acquired identified intangible assets and goodwill. Therefore, the provisional measurements of fair values reported as of March 31, 2022 are subject to change. The Company is expected to finalize the purchase price allocations as soon as practicable, but no later than one year from the respective acquisition date. The preliminary allocation of the acquisition-date fair values of assets and liabilities pertaining to this business combination as of February 18, 2022, was as follows:</w:t>
      </w:r>
    </w:p>
    <w:p>
      <w:pPr>
        <w:spacing w:after="0" w:line="79"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16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February 18, 2022</w:t>
            </w:r>
          </w:p>
        </w:tc>
        <w:tc>
          <w:tcPr>
            <w:tcW w:w="0" w:type="dxa"/>
            <w:vAlign w:val="bottom"/>
          </w:tcPr>
          <w:p>
            <w:pPr>
              <w:spacing w:after="0"/>
              <w:rPr>
                <w:sz w:val="1"/>
                <w:szCs w:val="1"/>
                <w:color w:val="auto"/>
              </w:rPr>
            </w:pPr>
          </w:p>
        </w:tc>
      </w:tr>
      <w:tr>
        <w:trPr>
          <w:trHeight w:val="173"/>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Preliminary allocation:</w:t>
            </w:r>
          </w:p>
        </w:tc>
        <w:tc>
          <w:tcPr>
            <w:tcW w:w="2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operating leases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(3,691 )</w:t>
            </w:r>
          </w:p>
        </w:tc>
        <w:tc>
          <w:tcPr>
            <w:tcW w:w="0" w:type="dxa"/>
            <w:vAlign w:val="bottom"/>
          </w:tcPr>
          <w:p>
            <w:pPr>
              <w:spacing w:after="0"/>
              <w:rPr>
                <w:sz w:val="1"/>
                <w:szCs w:val="1"/>
                <w:color w:val="auto"/>
              </w:rPr>
            </w:pPr>
          </w:p>
        </w:tc>
      </w:tr>
      <w:tr>
        <w:trPr>
          <w:trHeight w:val="216"/>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liability, operating leases</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(832 )</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(10,345 )</w:t>
            </w:r>
          </w:p>
        </w:tc>
        <w:tc>
          <w:tcPr>
            <w:tcW w:w="0" w:type="dxa"/>
            <w:vAlign w:val="bottom"/>
          </w:tcPr>
          <w:p>
            <w:pPr>
              <w:spacing w:after="0"/>
              <w:rPr>
                <w:sz w:val="1"/>
                <w:szCs w:val="1"/>
                <w:color w:val="auto"/>
              </w:rPr>
            </w:pPr>
          </w:p>
        </w:tc>
      </w:tr>
      <w:tr>
        <w:trPr>
          <w:trHeight w:val="216"/>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09"/>
        </w:trPr>
        <w:tc>
          <w:tcPr>
            <w:tcW w:w="8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price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As a result of the AW acquisition, the Company recorded goodwill, customer relationships, developed software, and tradename of $62.1 million, $39.4 million, $6.1 million, and $0.5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spacing w:after="0" w:line="8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 million and is amortized using the annual pattern of cash flows (economic value method) over the estimated 20-year life of this asset.</w:t>
      </w:r>
    </w:p>
    <w:p>
      <w:pPr>
        <w:spacing w:after="0" w:line="73"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The developed software represents AW’s two software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 million and is amortized using the straight-line method over the estimated remaining useful life of 6 years.</w:t>
      </w:r>
    </w:p>
    <w:p>
      <w:pPr>
        <w:spacing w:after="0" w:line="72"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7"/>
          <w:szCs w:val="17"/>
          <w:color w:val="auto"/>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 million and is amortized using the straight-line method over the estimated remaining useful life of 5 years.</w:t>
      </w:r>
    </w:p>
    <w:p>
      <w:pPr>
        <w:spacing w:after="0" w:line="4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amortization periods for the customer relationships, developed software, and tradenames are 20 years, 6 years, and 5 years, respectively. See Note 9 for the estimated total intangible amortization expense during the next five years.</w:t>
      </w:r>
    </w:p>
    <w:p>
      <w:pPr>
        <w:spacing w:after="0" w:line="68"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the Company recognized acquisition related costs of $1.0 million which were recorded within transaction expenses in the accompanying condensed consolidated statements of operations for the three months ended March 31, 2022.</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2022, AW’s post-acquisition revenue and net loss on a standalone basis were not material</w:t>
      </w:r>
      <w:r>
        <w:rPr>
          <w:rFonts w:ascii="Calibri" w:cs="Calibri" w:eastAsia="Calibri" w:hAnsi="Calibri"/>
          <w:sz w:val="19"/>
          <w:szCs w:val="19"/>
          <w:color w:val="auto"/>
        </w:rPr>
        <w:t>.</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Unaudited Pro Forma Supplementary Data:</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51,601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39,440</w:t>
            </w:r>
          </w:p>
        </w:tc>
        <w:tc>
          <w:tcPr>
            <w:tcW w:w="100" w:type="dxa"/>
            <w:vAlign w:val="bottom"/>
            <w:shd w:val="clear" w:color="auto" w:fill="CFF0FC"/>
          </w:tcPr>
          <w:p>
            <w:pPr>
              <w:spacing w:after="0"/>
              <w:rPr>
                <w:sz w:val="18"/>
                <w:szCs w:val="18"/>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(13,654 )</w:t>
            </w: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(11,576 )</w:t>
            </w:r>
          </w:p>
        </w:tc>
      </w:tr>
    </w:tbl>
    <w:p>
      <w:pPr>
        <w:spacing w:after="0" w:line="7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supplementary data presented in the table above shows the effect of the AW acquisitions as if the transaction had occurred on January 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0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4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represents a disaggregation of revenue from arrangements with customers for the three months ended March 31, 2022 and 2021, respectively:</w:t>
      </w:r>
    </w:p>
    <w:p>
      <w:pPr>
        <w:spacing w:after="0" w:line="31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r>
      <w:tr>
        <w:trPr>
          <w:trHeight w:val="169"/>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Platform subscriptions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49,769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36,365</w:t>
            </w:r>
          </w:p>
        </w:tc>
        <w:tc>
          <w:tcPr>
            <w:tcW w:w="6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60" w:type="dxa"/>
            <w:vAlign w:val="bottom"/>
          </w:tcPr>
          <w:p>
            <w:pPr>
              <w:spacing w:after="0"/>
              <w:rPr>
                <w:sz w:val="18"/>
                <w:szCs w:val="18"/>
                <w:color w:val="auto"/>
              </w:rPr>
            </w:pPr>
          </w:p>
        </w:tc>
      </w:tr>
      <w:tr>
        <w:trPr>
          <w:trHeight w:val="250"/>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opening and closing balances of the Company’s receivables, deferred contract costs and contract liabilities from contracts with customers are as follows:</w:t>
      </w:r>
    </w:p>
    <w:p>
      <w:pPr>
        <w:spacing w:after="0" w:line="30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shd w:val="clear" w:color="auto" w:fill="CFF0FC"/>
          </w:tcPr>
          <w:p>
            <w:pPr>
              <w:spacing w:after="0"/>
              <w:rPr>
                <w:sz w:val="18"/>
                <w:szCs w:val="18"/>
                <w:color w:val="auto"/>
              </w:rPr>
            </w:pP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84,023</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0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summary of the activity impacting the deferred contract costs for the three months ended March 31, 2022 and the year ended December 31, 2021 is presented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500" w:type="dxa"/>
            <w:vAlign w:val="bottom"/>
          </w:tcPr>
          <w:p>
            <w:pPr>
              <w:spacing w:after="0"/>
              <w:rPr>
                <w:sz w:val="14"/>
                <w:szCs w:val="14"/>
                <w:color w:val="auto"/>
              </w:rPr>
            </w:pPr>
          </w:p>
        </w:tc>
        <w:tc>
          <w:tcPr>
            <w:tcW w:w="17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80" w:type="dxa"/>
            <w:vAlign w:val="bottom"/>
            <w:vMerge w:val="continue"/>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5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amortized</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(1,875 )</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(4,792 )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5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2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Non-current</w:t>
            </w:r>
          </w:p>
        </w:tc>
        <w:tc>
          <w:tcPr>
            <w:tcW w:w="25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contract costs (deferred commissions)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2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50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-1310640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-1310640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-745490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-745490</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activity impacting deferred revenue balances during the three months ended March 31, 2022 and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is presented below:</w:t>
      </w:r>
    </w:p>
    <w:p>
      <w:pPr>
        <w:spacing w:after="0" w:line="3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7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6"/>
                <w:szCs w:val="16"/>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84,023</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61,200</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(50,124 )</w:t>
            </w: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(166,154 )</w:t>
            </w:r>
          </w:p>
        </w:tc>
      </w:tr>
      <w:tr>
        <w:trPr>
          <w:trHeight w:val="216"/>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93,961</w:t>
            </w:r>
          </w:p>
        </w:tc>
        <w:tc>
          <w:tcPr>
            <w:tcW w:w="2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84,023</w:t>
            </w:r>
          </w:p>
        </w:tc>
        <w:tc>
          <w:tcPr>
            <w:tcW w:w="10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0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4"/>
                <w:szCs w:val="14"/>
                <w:color w:val="auto"/>
              </w:rPr>
            </w:pPr>
          </w:p>
        </w:tc>
        <w:tc>
          <w:tcPr>
            <w:tcW w:w="12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86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164,461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260,980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leases real estate in the form of office space facilities. Generally, the term for real estate leases ranges from 1 to 9 years at inception of the contract. Some real estate leases include options to renew that can extend the original term by 5 to 10 years.</w:t>
      </w:r>
    </w:p>
    <w:p>
      <w:pPr>
        <w:spacing w:after="0" w:line="81" w:lineRule="exact"/>
        <w:rPr>
          <w:sz w:val="20"/>
          <w:szCs w:val="20"/>
          <w:color w:val="auto"/>
        </w:rPr>
      </w:pPr>
    </w:p>
    <w:p>
      <w:pPr>
        <w:jc w:val="center"/>
        <w:ind w:right="340"/>
        <w:spacing w:after="0" w:line="266" w:lineRule="auto"/>
        <w:rPr>
          <w:sz w:val="20"/>
          <w:szCs w:val="20"/>
          <w:color w:val="auto"/>
        </w:rPr>
      </w:pPr>
      <w:r>
        <w:rPr>
          <w:rFonts w:ascii="Times New Roman" w:cs="Times New Roman" w:eastAsia="Times New Roman" w:hAnsi="Times New Roman"/>
          <w:sz w:val="18"/>
          <w:szCs w:val="18"/>
          <w:color w:val="auto"/>
        </w:rPr>
        <w:t>Operating lease costs are allocated according to headcount to cost of revenue, sales and marketing, product development and general and administrative expenses in the condensed consolidated statements of operations. As of March 31, 2022, the Company does not have any finance leases.</w:t>
      </w:r>
    </w:p>
    <w:p>
      <w:pPr>
        <w:spacing w:after="0" w:line="8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During the quarter ended March 31, 2022, the Company exercised an extension of one of its office lease facilities, which extended the lease term for an additional five-year period commencing on January 1, 2023. The extension was accounted for as a lease modification under ASC 842. Accordingly, the Company recorded a right-of-use asset and corresponding operating lease liability of $6.0 million, which represents the present value of the future minimum lease payments. Also during the quarter, the Company completed the acquisition of Analytical Wizards, which has two office leases that will be accounted for under ASC 842. Accordingly, the Company recorded right-of-use assets and corresponding lease liabilities of $0.8 million associated with these two facilities.</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the following lease costs for the three months ended March 31,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2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Lease Cost</w:t>
            </w:r>
          </w:p>
        </w:tc>
        <w:tc>
          <w:tcPr>
            <w:tcW w:w="4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60" w:type="dxa"/>
            <w:vAlign w:val="bottom"/>
            <w:tcBorders>
              <w:right w:val="single" w:sz="8" w:color="CFF0FC"/>
            </w:tcBorders>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0" w:type="dxa"/>
            <w:vAlign w:val="bottom"/>
            <w:tcBorders>
              <w:top w:val="single" w:sz="8" w:color="auto"/>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operating lease cost</w:t>
            </w:r>
          </w:p>
        </w:tc>
        <w:tc>
          <w:tcPr>
            <w:tcW w:w="4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6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60" w:type="dxa"/>
            <w:vAlign w:val="bottom"/>
            <w:vMerge w:val="restart"/>
          </w:tcPr>
          <w:p>
            <w:pPr>
              <w:jc w:val="right"/>
              <w:ind w:right="305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46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-582295</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 w:name="page17"/>
    <w:bookmarkEnd w:id="16"/>
    <w:tbl>
      <w:tblPr>
        <w:tblLayout w:type="fixed"/>
        <w:tblInd w:w="52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Cash Flow and Other Information</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1"/>
        </w:trPr>
        <w:tc>
          <w:tcPr>
            <w:tcW w:w="60" w:type="dxa"/>
            <w:vAlign w:val="bottom"/>
          </w:tcPr>
          <w:p>
            <w:pPr>
              <w:spacing w:after="0" w:line="20" w:lineRule="exact"/>
              <w:rPr>
                <w:sz w:val="1"/>
                <w:szCs w:val="1"/>
                <w:color w:val="auto"/>
              </w:rPr>
            </w:pPr>
          </w:p>
        </w:tc>
        <w:tc>
          <w:tcPr>
            <w:tcW w:w="3480" w:type="dxa"/>
            <w:vAlign w:val="bottom"/>
            <w:tcBorders>
              <w:top w:val="single" w:sz="8" w:color="auto"/>
            </w:tcBorders>
            <w:shd w:val="clear" w:color="auto" w:fill="CFF0FC"/>
          </w:tcPr>
          <w:p>
            <w:pPr>
              <w:spacing w:after="0" w:line="20" w:lineRule="exact"/>
              <w:rPr>
                <w:sz w:val="1"/>
                <w:szCs w:val="1"/>
                <w:color w:val="auto"/>
              </w:rPr>
            </w:pPr>
          </w:p>
        </w:tc>
        <w:tc>
          <w:tcPr>
            <w:tcW w:w="4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 and capitalized operating leases: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6,832</w:t>
            </w:r>
          </w:p>
        </w:tc>
      </w:tr>
      <w:tr>
        <w:trPr>
          <w:trHeight w:val="414"/>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term and discount rate consisted of the following at March 31, 2022:</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09"/>
        </w:trPr>
        <w:tc>
          <w:tcPr>
            <w:tcW w:w="60" w:type="dxa"/>
            <w:vAlign w:val="bottom"/>
          </w:tcPr>
          <w:p>
            <w:pPr>
              <w:spacing w:after="0"/>
              <w:rPr>
                <w:sz w:val="18"/>
                <w:szCs w:val="18"/>
                <w:color w:val="auto"/>
              </w:rPr>
            </w:pPr>
          </w:p>
        </w:tc>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4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3.9 %</w:t>
            </w:r>
          </w:p>
        </w:tc>
      </w:tr>
    </w:tbl>
    <w:p>
      <w:pPr>
        <w:spacing w:after="0" w:line="198"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(displayed by year and in the aggregate) under noncancelable operating leases with terms of more than one year to the total operating lease liabilities recognized on the condensed consolidated balance sheets as of March 31, 2022.</w:t>
      </w:r>
    </w:p>
    <w:p>
      <w:pPr>
        <w:spacing w:after="0" w:line="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2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Capitalized Operating Lease</w:t>
            </w:r>
          </w:p>
        </w:tc>
        <w:tc>
          <w:tcPr>
            <w:tcW w:w="60" w:type="dxa"/>
            <w:vAlign w:val="bottom"/>
          </w:tcPr>
          <w:p>
            <w:pPr>
              <w:spacing w:after="0"/>
              <w:rPr>
                <w:sz w:val="16"/>
                <w:szCs w:val="16"/>
                <w:color w:val="auto"/>
              </w:rPr>
            </w:pPr>
          </w:p>
        </w:tc>
      </w:tr>
      <w:tr>
        <w:trPr>
          <w:trHeight w:val="209"/>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excluding the three months ended March 31, 2022</w:t>
            </w: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60" w:type="dxa"/>
            <w:vAlign w:val="bottom"/>
            <w:shd w:val="clear" w:color="auto" w:fill="CFF0FC"/>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60" w:type="dxa"/>
            <w:vAlign w:val="bottom"/>
          </w:tcPr>
          <w:p>
            <w:pPr>
              <w:spacing w:after="0"/>
              <w:rPr>
                <w:sz w:val="18"/>
                <w:szCs w:val="18"/>
                <w:color w:val="auto"/>
              </w:rPr>
            </w:pPr>
          </w:p>
        </w:tc>
      </w:tr>
      <w:tr>
        <w:trPr>
          <w:trHeight w:val="21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60" w:type="dxa"/>
            <w:vAlign w:val="bottom"/>
            <w:shd w:val="clear" w:color="auto" w:fill="CFF0FC"/>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60" w:type="dxa"/>
            <w:vAlign w:val="bottom"/>
          </w:tcPr>
          <w:p>
            <w:pPr>
              <w:spacing w:after="0"/>
              <w:rPr>
                <w:sz w:val="18"/>
                <w:szCs w:val="18"/>
                <w:color w:val="auto"/>
              </w:rPr>
            </w:pPr>
          </w:p>
        </w:tc>
      </w:tr>
      <w:tr>
        <w:trPr>
          <w:trHeight w:val="21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60" w:type="dxa"/>
            <w:vAlign w:val="bottom"/>
            <w:shd w:val="clear" w:color="auto" w:fill="CFF0FC"/>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60" w:type="dxa"/>
            <w:vAlign w:val="bottom"/>
          </w:tcPr>
          <w:p>
            <w:pPr>
              <w:spacing w:after="0"/>
              <w:rPr>
                <w:sz w:val="18"/>
                <w:szCs w:val="18"/>
                <w:color w:val="auto"/>
              </w:rPr>
            </w:pPr>
          </w:p>
        </w:tc>
      </w:tr>
      <w:tr>
        <w:trPr>
          <w:trHeight w:val="249"/>
        </w:trPr>
        <w:tc>
          <w:tcPr>
            <w:tcW w:w="82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22,935</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97"/>
        </w:trPr>
        <w:tc>
          <w:tcPr>
            <w:tcW w:w="8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7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balance at March 31, 2022</w:t>
            </w: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6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-471170</wp:posOffset>
            </wp:positionV>
            <wp:extent cx="342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-453390</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-170815</wp:posOffset>
            </wp:positionV>
            <wp:extent cx="34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Future aggregate minimum annual lease payments as of December 31, 2021 reported in our 2021 Form 10-K under the previous lease accounting standard were as follows:</w:t>
      </w:r>
    </w:p>
    <w:p>
      <w:pPr>
        <w:spacing w:after="0" w:line="6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60" w:type="dxa"/>
            <w:vAlign w:val="bottom"/>
          </w:tcPr>
          <w:p>
            <w:pPr>
              <w:spacing w:after="0"/>
              <w:rPr>
                <w:sz w:val="16"/>
                <w:szCs w:val="16"/>
                <w:color w:val="auto"/>
              </w:rPr>
            </w:pPr>
          </w:p>
        </w:tc>
      </w:tr>
      <w:tr>
        <w:trPr>
          <w:trHeight w:val="210"/>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60" w:type="dxa"/>
            <w:vAlign w:val="bottom"/>
            <w:shd w:val="clear" w:color="auto" w:fill="CFF0FC"/>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60" w:type="dxa"/>
            <w:vAlign w:val="bottom"/>
          </w:tcPr>
          <w:p>
            <w:pPr>
              <w:spacing w:after="0"/>
              <w:rPr>
                <w:sz w:val="18"/>
                <w:szCs w:val="18"/>
                <w:color w:val="auto"/>
              </w:rPr>
            </w:pPr>
          </w:p>
        </w:tc>
      </w:tr>
      <w:tr>
        <w:trPr>
          <w:trHeight w:val="216"/>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60" w:type="dxa"/>
            <w:vAlign w:val="bottom"/>
            <w:shd w:val="clear" w:color="auto" w:fill="CFF0FC"/>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60" w:type="dxa"/>
            <w:vAlign w:val="bottom"/>
          </w:tcPr>
          <w:p>
            <w:pPr>
              <w:spacing w:after="0"/>
              <w:rPr>
                <w:sz w:val="18"/>
                <w:szCs w:val="18"/>
                <w:color w:val="auto"/>
              </w:rPr>
            </w:pPr>
          </w:p>
        </w:tc>
      </w:tr>
      <w:tr>
        <w:trPr>
          <w:trHeight w:val="216"/>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60" w:type="dxa"/>
            <w:vAlign w:val="bottom"/>
            <w:shd w:val="clear" w:color="auto" w:fill="CFF0FC"/>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60" w:type="dxa"/>
            <w:vAlign w:val="bottom"/>
          </w:tcPr>
          <w:p>
            <w:pPr>
              <w:spacing w:after="0"/>
              <w:rPr>
                <w:sz w:val="18"/>
                <w:szCs w:val="18"/>
                <w:color w:val="auto"/>
              </w:rPr>
            </w:pPr>
          </w:p>
        </w:tc>
      </w:tr>
      <w:tr>
        <w:trPr>
          <w:trHeight w:val="250"/>
        </w:trPr>
        <w:tc>
          <w:tcPr>
            <w:tcW w:w="8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Total rent expense, which was allocated according to headcount to cost of revenue, sales and marketing, product development and general and administrative expenses in the condensed consolidated statements of operations, was $0.8 million and $0.6 million in the three months ended March 31, 2022 and 2021,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Short-term Investments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Short-term investments classified as available-for-sale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2"/>
                <w:szCs w:val="12"/>
                <w:color w:val="auto"/>
              </w:rPr>
            </w:pPr>
          </w:p>
        </w:tc>
        <w:tc>
          <w:tcPr>
            <w:tcW w:w="12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2"/>
                <w:szCs w:val="12"/>
                <w:color w:val="auto"/>
              </w:rPr>
            </w:pPr>
          </w:p>
        </w:tc>
        <w:tc>
          <w:tcPr>
            <w:tcW w:w="1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2"/>
                <w:szCs w:val="12"/>
                <w:color w:val="auto"/>
              </w:rPr>
            </w:pPr>
          </w:p>
        </w:tc>
        <w:tc>
          <w:tcPr>
            <w:tcW w:w="12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right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55,359</w:t>
            </w:r>
          </w:p>
        </w:tc>
        <w:tc>
          <w:tcPr>
            <w:tcW w:w="1460" w:type="dxa"/>
            <w:vAlign w:val="bottom"/>
            <w:gridSpan w:val="2"/>
          </w:tcPr>
          <w:p>
            <w:pPr>
              <w:jc w:val="right"/>
              <w:ind w:right="106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53,977</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109,336</w:t>
            </w:r>
          </w:p>
        </w:tc>
        <w:tc>
          <w:tcPr>
            <w:tcW w:w="220" w:type="dxa"/>
            <w:vAlign w:val="bottom"/>
          </w:tcPr>
          <w:p>
            <w:pPr>
              <w:spacing w:after="0"/>
              <w:rPr>
                <w:sz w:val="18"/>
                <w:szCs w:val="18"/>
                <w:color w:val="auto"/>
              </w:rPr>
            </w:pPr>
          </w:p>
        </w:tc>
        <w:tc>
          <w:tcPr>
            <w:tcW w:w="1240" w:type="dxa"/>
            <w:vAlign w:val="bottom"/>
          </w:tcPr>
          <w:p>
            <w:pPr>
              <w:jc w:val="right"/>
              <w:ind w:right="106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-590550</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-590550</wp:posOffset>
            </wp:positionV>
            <wp:extent cx="59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-590550</wp:posOffset>
            </wp:positionV>
            <wp:extent cx="59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-590550</wp:posOffset>
            </wp:positionV>
            <wp:extent cx="34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All short-term investments had stated maturity dates of less than one year.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Receivable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0" w:type="dxa"/>
            <w:vAlign w:val="bottom"/>
          </w:tcPr>
          <w:p>
            <w:pPr>
              <w:spacing w:after="0"/>
              <w:rPr>
                <w:sz w:val="16"/>
                <w:szCs w:val="16"/>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580" w:type="dxa"/>
            <w:vAlign w:val="bottom"/>
          </w:tcPr>
          <w:p>
            <w:pPr>
              <w:spacing w:after="0"/>
              <w:rPr>
                <w:sz w:val="18"/>
                <w:szCs w:val="18"/>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(1,290 )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(1,397 )</w:t>
            </w:r>
          </w:p>
        </w:tc>
      </w:tr>
      <w:tr>
        <w:trPr>
          <w:trHeight w:val="249"/>
        </w:trPr>
        <w:tc>
          <w:tcPr>
            <w:tcW w:w="580" w:type="dxa"/>
            <w:vAlign w:val="bottom"/>
          </w:tcPr>
          <w:p>
            <w:pPr>
              <w:spacing w:after="0"/>
              <w:rPr>
                <w:sz w:val="21"/>
                <w:szCs w:val="21"/>
                <w:color w:val="auto"/>
              </w:rPr>
            </w:pPr>
          </w:p>
        </w:tc>
        <w:tc>
          <w:tcPr>
            <w:tcW w:w="6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38,465</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48"/>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5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0" w:type="dxa"/>
            <w:vAlign w:val="bottom"/>
          </w:tcPr>
          <w:p>
            <w:pPr>
              <w:spacing w:after="0"/>
              <w:rPr>
                <w:sz w:val="16"/>
                <w:szCs w:val="16"/>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12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210"/>
        </w:trPr>
        <w:tc>
          <w:tcPr>
            <w:tcW w:w="580" w:type="dxa"/>
            <w:vAlign w:val="bottom"/>
          </w:tcPr>
          <w:p>
            <w:pPr>
              <w:spacing w:after="0"/>
              <w:rPr>
                <w:sz w:val="18"/>
                <w:szCs w:val="18"/>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(5,128 )</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(4,603 )</w:t>
            </w:r>
          </w:p>
        </w:tc>
      </w:tr>
      <w:tr>
        <w:trPr>
          <w:trHeight w:val="209"/>
        </w:trPr>
        <w:tc>
          <w:tcPr>
            <w:tcW w:w="580" w:type="dxa"/>
            <w:vAlign w:val="bottom"/>
          </w:tcPr>
          <w:p>
            <w:pPr>
              <w:spacing w:after="0"/>
              <w:rPr>
                <w:sz w:val="18"/>
                <w:szCs w:val="18"/>
                <w:color w:val="auto"/>
              </w:rPr>
            </w:pPr>
          </w:p>
        </w:tc>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top w:val="single" w:sz="8" w:color="CFF0FC"/>
            </w:tcBorders>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-1816735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-1799590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-1816735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-1799590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associated with property and equipment was $0.5 million and $0.3 million for the three months ended March 31, 2022 and 2021,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goodwill and intangible assets, as of March 31, 2022 and December 31, 2021,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jc w:val="right"/>
              <w:ind w:right="134"/>
              <w:spacing w:after="0" w:line="160"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0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409,430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(101,770 )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307,660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Developed technologies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(19,383 )</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37,817</w:t>
            </w: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(5,556 )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Database</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46,580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(35,260 )</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20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(161,969 )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387,241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1,323,516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1,323,516</w:t>
            </w:r>
          </w:p>
        </w:tc>
        <w:tc>
          <w:tcPr>
            <w:tcW w:w="8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1,872,726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(161,969 )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1,710,757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-873760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-873760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-873760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-591185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-591185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-591185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tbl>
      <w:tblPr>
        <w:tblLayout w:type="fixed"/>
        <w:tblInd w:w="58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5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0"/>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jc w:val="right"/>
              <w:ind w:right="134"/>
              <w:spacing w:after="0" w:line="160"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3"/>
                <w:szCs w:val="13"/>
                <w:color w:val="auto"/>
              </w:rPr>
            </w:pPr>
          </w:p>
        </w:tc>
      </w:tr>
      <w:tr>
        <w:trPr>
          <w:trHeight w:val="189"/>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370,030</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(92,942 )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277,088</w:t>
            </w:r>
          </w:p>
        </w:tc>
        <w:tc>
          <w:tcPr>
            <w:tcW w:w="80" w:type="dxa"/>
            <w:vAlign w:val="bottom"/>
          </w:tcPr>
          <w:p>
            <w:pPr>
              <w:spacing w:after="0"/>
              <w:rPr>
                <w:sz w:val="18"/>
                <w:szCs w:val="18"/>
                <w:color w:val="auto"/>
              </w:rPr>
            </w:pPr>
          </w:p>
        </w:tc>
      </w:tr>
      <w:tr>
        <w:trPr>
          <w:trHeight w:val="216"/>
        </w:trPr>
        <w:tc>
          <w:tcPr>
            <w:tcW w:w="5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Developed technologies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(17,475 )</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80" w:type="dxa"/>
            <w:vAlign w:val="bottom"/>
            <w:shd w:val="clear" w:color="auto" w:fill="CFF0FC"/>
          </w:tcPr>
          <w:p>
            <w:pPr>
              <w:spacing w:after="0"/>
              <w:rPr>
                <w:sz w:val="18"/>
                <w:szCs w:val="18"/>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(5,034 )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80" w:type="dxa"/>
            <w:vAlign w:val="bottom"/>
          </w:tcPr>
          <w:p>
            <w:pPr>
              <w:spacing w:after="0"/>
              <w:rPr>
                <w:sz w:val="18"/>
                <w:szCs w:val="18"/>
                <w:color w:val="auto"/>
              </w:rPr>
            </w:pPr>
          </w:p>
        </w:tc>
      </w:tr>
      <w:tr>
        <w:trPr>
          <w:trHeight w:val="216"/>
        </w:trPr>
        <w:tc>
          <w:tcPr>
            <w:tcW w:w="5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Database</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(31,789 )</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80" w:type="dxa"/>
            <w:vAlign w:val="bottom"/>
            <w:shd w:val="clear" w:color="auto" w:fill="CFF0FC"/>
          </w:tcPr>
          <w:p>
            <w:pPr>
              <w:spacing w:after="0"/>
              <w:rPr>
                <w:sz w:val="18"/>
                <w:szCs w:val="18"/>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(147,240 )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352,470</w:t>
            </w:r>
          </w:p>
        </w:tc>
        <w:tc>
          <w:tcPr>
            <w:tcW w:w="8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1,261,444</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1,261,444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1,761,154</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(147,240 )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1,613,914</w:t>
            </w:r>
          </w:p>
        </w:tc>
        <w:tc>
          <w:tcPr>
            <w:tcW w:w="8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-454025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-454025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-454025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-170815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-170815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associated with finite-lived intangible assets was $14.7 million and $14.3 million for the three months ended March 31, 2022 and 2021, respectively, of which $5.4 million and $5.2 million was included in cost of revenue for the respective periods.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total intangible amortization expense during the next five years and thereafter is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8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excluding the three months ended March 31, 2022</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40,564</w:t>
            </w:r>
          </w:p>
        </w:tc>
        <w:tc>
          <w:tcPr>
            <w:tcW w:w="6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6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45,369</w:t>
            </w:r>
          </w:p>
        </w:tc>
        <w:tc>
          <w:tcPr>
            <w:tcW w:w="6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41,415</w:t>
            </w:r>
          </w:p>
        </w:tc>
        <w:tc>
          <w:tcPr>
            <w:tcW w:w="6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34,874</w:t>
            </w:r>
          </w:p>
        </w:tc>
        <w:tc>
          <w:tcPr>
            <w:tcW w:w="6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176,803</w:t>
            </w:r>
          </w:p>
        </w:tc>
        <w:tc>
          <w:tcPr>
            <w:tcW w:w="60" w:type="dxa"/>
            <w:vAlign w:val="bottom"/>
          </w:tcPr>
          <w:p>
            <w:pPr>
              <w:spacing w:after="0"/>
              <w:rPr>
                <w:sz w:val="18"/>
                <w:szCs w:val="18"/>
                <w:color w:val="auto"/>
              </w:rPr>
            </w:pPr>
          </w:p>
        </w:tc>
      </w:tr>
      <w:tr>
        <w:trPr>
          <w:trHeight w:val="250"/>
        </w:trPr>
        <w:tc>
          <w:tcPr>
            <w:tcW w:w="8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387,241</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carrying amount of goodwill increased by $62.1 million during the three months ended March 31, 2022 as a result of the of AW acquisition (Note 3).</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Company determined it had one reporting unit. There was no impairment of goodwill in the three months ended March 31, 2022 or 2021.</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11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 xml:space="preserve">The Company is exposed to risks from changes in interest rates related to the term loan (See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may use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We do not enter into derivative transactions for speculative or trading purposes.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08" w:lineRule="exact"/>
        <w:rPr>
          <w:sz w:val="20"/>
          <w:szCs w:val="20"/>
          <w:color w:val="auto"/>
        </w:rPr>
      </w:pPr>
    </w:p>
    <w:p>
      <w:pPr>
        <w:jc w:val="both"/>
        <w:ind w:firstLine="626"/>
        <w:spacing w:after="0" w:line="247" w:lineRule="auto"/>
        <w:rPr>
          <w:sz w:val="20"/>
          <w:szCs w:val="20"/>
          <w:color w:val="auto"/>
        </w:rPr>
      </w:pPr>
      <w:r>
        <w:rPr>
          <w:rFonts w:ascii="Times New Roman" w:cs="Times New Roman" w:eastAsia="Times New Roman" w:hAnsi="Times New Roman"/>
          <w:sz w:val="18"/>
          <w:szCs w:val="18"/>
          <w:color w:val="auto"/>
        </w:rPr>
        <w:t>In March of 2022, the Company entered into two interest rate swap agreements. As of March 31, 2022, the two outstanding interest rate swap agreements each had a notional value of $67.9 million. We have not recorded any amounts due to ineffectiveness for the three months ended March 31, 2022. The notional value of each interest rate swap agreement is expected to match the corresponding principal amount of a portion of our borrowings under the term loan. The swap agreements are effective as of March 31, 2022 and mature on March 31, 2025. During this period, the two notional amounts will have fixed interest rates of 2.0135% and 2.012%, and the counterparties to each of the agreements will pay the Company interest at a floating rate based on the one month USD-LIBOR swap rate on the notional amounts. Interest payments will be made monthly on a net settlement basis.</w:t>
      </w:r>
    </w:p>
    <w:p>
      <w:pPr>
        <w:spacing w:after="0" w:line="7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derivative interest rate swaps are designated and qualify as cash flow hedges. Consequently, the change in the estimated fair value of the effective portion of the derivative is recognized in accumulated other comprehensive income (“AOCI”) on our Condensed Consolidated Balance Sheets and reclassified to interest expense, net, when the underlying transaction has an impact on earnings. The Company expects to recognize approximately $0.3 million of net pre-tax gains from accumulated other comprehensive income to interest expense in the next twelve months associated with its interest rate swap. The Company recognizes derivative instruments and hedging</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9" w:name="page20"/>
    <w:bookmarkEnd w:id="19"/>
    <w:p>
      <w:pPr>
        <w:jc w:val="both"/>
        <w:spacing w:after="0" w:line="250" w:lineRule="auto"/>
        <w:rPr>
          <w:sz w:val="20"/>
          <w:szCs w:val="20"/>
          <w:color w:val="auto"/>
        </w:rPr>
      </w:pPr>
      <w:r>
        <w:rPr>
          <w:rFonts w:ascii="Times New Roman" w:cs="Times New Roman" w:eastAsia="Times New Roman" w:hAnsi="Times New Roman"/>
          <w:sz w:val="18"/>
          <w:szCs w:val="18"/>
          <w:color w:val="auto"/>
        </w:rPr>
        <w:t>activities on a gross basis as either assets or liabilities on the Company’s Condensed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values of the interest rate swaps and their respective locations in our consolidated balance sheets at March 31, 2022 were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6"/>
                <w:szCs w:val="16"/>
                <w:color w:val="auto"/>
              </w:rPr>
            </w:pPr>
          </w:p>
        </w:tc>
        <w:tc>
          <w:tcPr>
            <w:tcW w:w="47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60" w:type="dxa"/>
            <w:vAlign w:val="bottom"/>
          </w:tcPr>
          <w:p>
            <w:pPr>
              <w:spacing w:after="0"/>
              <w:rPr>
                <w:sz w:val="16"/>
                <w:szCs w:val="16"/>
                <w:color w:val="auto"/>
              </w:rPr>
            </w:pPr>
          </w:p>
        </w:tc>
      </w:tr>
      <w:tr>
        <w:trPr>
          <w:trHeight w:val="20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derivative asset</w:t>
            </w:r>
          </w:p>
        </w:tc>
        <w:tc>
          <w:tcPr>
            <w:tcW w:w="200" w:type="dxa"/>
            <w:vAlign w:val="bottom"/>
            <w:shd w:val="clear" w:color="auto" w:fill="CFF0FC"/>
          </w:tcPr>
          <w:p>
            <w:pPr>
              <w:spacing w:after="0"/>
              <w:rPr>
                <w:sz w:val="18"/>
                <w:szCs w:val="18"/>
                <w:color w:val="auto"/>
              </w:rPr>
            </w:pPr>
          </w:p>
        </w:tc>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60" w:type="dxa"/>
            <w:vAlign w:val="bottom"/>
            <w:shd w:val="clear" w:color="auto" w:fill="CFF0FC"/>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derivative liability</w:t>
            </w:r>
          </w:p>
        </w:tc>
        <w:tc>
          <w:tcPr>
            <w:tcW w:w="20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Pr>
          <w:p>
            <w:pPr>
              <w:spacing w:after="0"/>
              <w:rPr>
                <w:sz w:val="20"/>
                <w:szCs w:val="20"/>
                <w:color w:val="auto"/>
              </w:rPr>
            </w:pPr>
          </w:p>
        </w:tc>
      </w:tr>
    </w:tbl>
    <w:p>
      <w:pPr>
        <w:spacing w:after="0" w:line="7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the derivative interest rate swaps in our consolidated statement of comprehensive loss for the three months ended March 31,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in AOCI, beginning of period, net of tax</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Amount of gain recognized in other comprehensive loss, net of tax</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 of gain reclassified from AOCI into net loss, net of tax</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Gain in AOCI, end of period, net of tax</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7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80" w:type="dxa"/>
            <w:vAlign w:val="bottom"/>
            <w:gridSpan w:val="13"/>
          </w:tcPr>
          <w:p>
            <w:pPr>
              <w:jc w:val="right"/>
              <w:ind w:right="1281"/>
              <w:spacing w:after="0"/>
              <w:rPr>
                <w:sz w:val="20"/>
                <w:szCs w:val="20"/>
                <w:color w:val="auto"/>
              </w:rPr>
            </w:pPr>
            <w:r>
              <w:rPr>
                <w:rFonts w:ascii="Times New Roman" w:cs="Times New Roman" w:eastAsia="Times New Roman" w:hAnsi="Times New Roman"/>
                <w:sz w:val="18"/>
                <w:szCs w:val="18"/>
                <w:color w:val="auto"/>
              </w:rPr>
              <w:t>Long-term debt consisted of the following as of March 31, 2022 and December 31, 2021, respectively: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4"/>
          </w:tcPr>
          <w:p>
            <w:pPr>
              <w:jc w:val="center"/>
              <w:ind w:right="301"/>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issuance costs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271,562</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gridSpan w:val="3"/>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(2,461</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269,101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262,226</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right="361"/>
              <w:spacing w:after="0" w:line="145"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Total debt,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280" w:type="dxa"/>
            <w:vAlign w:val="bottom"/>
            <w:tcBorders>
              <w:top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273,282</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8"/>
              </w:rPr>
              <w:t>(2,599</w:t>
            </w:r>
          </w:p>
        </w:tc>
        <w:tc>
          <w:tcPr>
            <w:tcW w:w="2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270,683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263,808</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-2836545</wp:posOffset>
            </wp:positionV>
            <wp:extent cx="342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-985520</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-967740</wp:posOffset>
            </wp:positionV>
            <wp:extent cx="34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-8255</wp:posOffset>
            </wp:positionV>
            <wp:extent cx="342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the Company repaid $1.7 million in outstanding principal of the 2021 Term Loan, and related accrued interest payable of $1.8 million.</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2021 Credit Agreement</w:t>
      </w:r>
    </w:p>
    <w:p>
      <w:pPr>
        <w:spacing w:after="0" w:line="10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In September 2021, Definitive Healthcare Holdings, LLC, a Delaware limited liability company ("DH Holdings"), an indirect subsidiary of Definitive Healthcare Corp.,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7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2021 Term Loan is subject to annual amortization of principal, payable in equal quarterly installments on the last day of each fiscal quarter, commencing on December 31, 2021 (the "Initial Amortization Date"), equal to approximately 2.5% per annum of</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0" w:name="page21"/>
    <w:bookmarkEnd w:id="20"/>
    <w:p>
      <w:pPr>
        <w:ind w:right="400"/>
        <w:spacing w:after="0" w:line="280" w:lineRule="auto"/>
        <w:rPr>
          <w:sz w:val="20"/>
          <w:szCs w:val="20"/>
          <w:color w:val="auto"/>
        </w:rPr>
      </w:pPr>
      <w:r>
        <w:rPr>
          <w:rFonts w:ascii="Times New Roman" w:cs="Times New Roman" w:eastAsia="Times New Roman" w:hAnsi="Times New Roman"/>
          <w:sz w:val="17"/>
          <w:szCs w:val="17"/>
          <w:color w:val="auto"/>
        </w:rPr>
        <w:t>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$271.6 million outstanding on the 2021 Term Loan at March 31, 2022.</w:t>
      </w:r>
    </w:p>
    <w:p>
      <w:pPr>
        <w:spacing w:after="0" w:line="4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March 31, 2022.</w:t>
      </w:r>
    </w:p>
    <w:p>
      <w:pPr>
        <w:spacing w:after="0" w:line="61"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For both the 2021 Term Loan and 2021 Revolving Line of Credit, DH Holdings may elect from several interest rate options based on the LIBO Rate or the Base Rate plus an applicable margin. The applicable margin will be based on the total leverage ratio beginning in the fiscal year ended December 31, 2022. As of March 31, 2022, the effective interest rate was 2.71%.</w:t>
      </w:r>
    </w:p>
    <w:p>
      <w:pPr>
        <w:spacing w:after="0" w:line="61"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In connection with the 2021 Credit Agreement, the Company capitalized financing costs totaling $3.5 million, $2.8 million for the 2021 Term Loan facility and $0.8 million for the 2021 Revolving Line of Credit. The financing costs associated with the 2021 Term Loan facility are recorded as a contra-debt balance in Term loan, net of current portion in the condensed consolidated balance sheets and are amortized over the remaining life of the loan using the effective interest method. The financing costs associated with the 2021 Revolving Line of Credit are recorded in Other assets in the condensed consolidated balance sheet are amortized over the life of the arrangement.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06" w:lineRule="exact"/>
        <w:rPr>
          <w:sz w:val="20"/>
          <w:szCs w:val="20"/>
          <w:color w:val="auto"/>
        </w:rPr>
      </w:pPr>
    </w:p>
    <w:p>
      <w:pPr>
        <w:jc w:val="both"/>
        <w:ind w:right="300" w:firstLine="509"/>
        <w:spacing w:after="0" w:line="259"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Level 3 - Unobservable inputs that are supported by little or no market activity, including the Company’s own assumptions in determining fair value.</w:t>
      </w:r>
    </w:p>
    <w:p>
      <w:pPr>
        <w:spacing w:after="0" w:line="11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Company’s financial assets and liabilities subject to the three-level fair value hierarchy consist principally of cash and equivalents, short-term investments, accounts receivable, accounts payable, long-term and short-term debt and contingent consideration payable. The estimated fair value of cash included in cash and cash equivalents, accounts receivable and accounts payable approximates their carrying value due to due to their short maturities (less than 12 months).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March 31, 2022, and December 31, 2021, based on interest rates currently available to the Company for similar borrowings.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 (included in 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Money market funds are recorded at fair value using quoted market prices in active markets and are classified as Level 1 in the fair value hierarchy.</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08"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 utilizes a third party pricing service for the valuation of its short-term investments. U.S. treasuries consist of short-term treasury bills that are recorded at fair value using market information obtained from dealers and brokers and classified in Level 2 of the fair value hierarchy. Commercial paper is carried at fair value, which is determined using a market yield curve-based approach based on observable inputs. Commercial paper is classified as Level 2 in the fair value hierarchy.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61" w:lineRule="exact"/>
        <w:rPr>
          <w:sz w:val="20"/>
          <w:szCs w:val="20"/>
          <w:color w:val="auto"/>
        </w:rPr>
      </w:pPr>
    </w:p>
    <w:p>
      <w:pPr>
        <w:ind w:right="920" w:firstLine="509"/>
        <w:spacing w:after="0" w:line="266" w:lineRule="auto"/>
        <w:rPr>
          <w:sz w:val="20"/>
          <w:szCs w:val="20"/>
          <w:color w:val="auto"/>
        </w:rPr>
      </w:pPr>
      <w:r>
        <w:rPr>
          <w:rFonts w:ascii="Times New Roman" w:cs="Times New Roman" w:eastAsia="Times New Roman" w:hAnsi="Times New Roman"/>
          <w:sz w:val="18"/>
          <w:szCs w:val="18"/>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1" w:name="page22"/>
    <w:bookmarkEnd w:id="21"/>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March 31, 2022 were classified as Level 2 in the fair value hierarchy.</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deferred consideration that resulted from the acquisition of Analytical Wizards in the first quarter of 2022, which is subject to the meeting of certain expense control metrics during the two-year period following the AW acquisition, is measured at fair value on a recurring basis. The fair value was estimated based on the present value of the amount expected to be paid at the end of the measurement period. At March 31, 2022, the fair value of the contingent consideration was estimated to be $1.0 million and is included in other long-term liabilities on the condensed consolidated balance sheet.</w:t>
      </w:r>
    </w:p>
    <w:p>
      <w:pPr>
        <w:spacing w:after="0" w:line="83"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 contingent consideration that resulted from the earn-outs associated with the acquisition of Monocl Holding Company in October of 2020, which was included in accrued expense and other current liabilities in the condensed consolidated balance sheet as of December 31, 2021 was paid in the first quarter of 2022.</w:t>
      </w:r>
    </w:p>
    <w:p>
      <w:pPr>
        <w:spacing w:after="0" w:line="6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change in fair value and other adjustments</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(7,500 )</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(1,500 )</w:t>
            </w:r>
          </w:p>
        </w:tc>
      </w:tr>
      <w:tr>
        <w:trPr>
          <w:trHeight w:val="250"/>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the Consolidated Financial Statements in the Company’s 2021 Form 10-K.</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2022, additional assets and liabilities measured at fair value on a recurring basis were as follows: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6"/>
                <w:szCs w:val="16"/>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55,087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55,087</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34"/>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r>
    </w:tbl>
    <w:p>
      <w:pPr>
        <w:spacing w:after="0" w:line="7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2021, except for the contingent consideration noted above, the estimated fair values of all of the Company’s financial assets and liabilities subject to the three-level fair value hierarchy approximated their carrying values due to their short-term maturities (less than 12 months).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4"/>
                <w:szCs w:val="14"/>
                <w:color w:val="auto"/>
              </w:rPr>
            </w:pPr>
          </w:p>
        </w:tc>
        <w:tc>
          <w:tcPr>
            <w:tcW w:w="12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78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franchise and other taxes</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-170815</wp:posOffset>
            </wp:positionV>
            <wp:extent cx="431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-170815</wp:posOffset>
            </wp:positionV>
            <wp:extent cx="342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Noncontrolling Interest</w:t>
      </w:r>
    </w:p>
    <w:p>
      <w:pPr>
        <w:spacing w:after="0" w:line="108"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Definitive OpCo Units held by Continuing LLC Members. Changes in Definitive Healthcare Corp.'s ownership interest in its consolidated subsidiaries are accounted for as equity transactions. As such, future redemptions or direct exchanges of Definitive OpCo Units by Continuing LLC Members will result in a change in ownership and reduce or increase the amount recorded as noncontrolling interests and increase or decrease additional paid-in capital in the Company’s Condensed Consolidated Balance Sheets.</w:t>
      </w:r>
    </w:p>
    <w:p>
      <w:pPr>
        <w:spacing w:after="0" w:line="7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544,302 Definitive OpCo Units held by Continuing LLC Members were exchanged for shares of Class A Common Stock of Definitive Healthcare pursuant to the terms of the Amended LLC Agreement.</w:t>
      </w:r>
    </w:p>
    <w:p>
      <w:pPr>
        <w:spacing w:after="0" w:line="40"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As of March 31, 2022, Definitive Healthcare Corp. held 97,574,397 units in the Definitive OpCo resulting in an ownership interest of 63.9% and a noncontrolling interest of 36.1%</w:t>
      </w:r>
      <w:r>
        <w:rPr>
          <w:rFonts w:ascii="Times New Roman" w:cs="Times New Roman" w:eastAsia="Times New Roman" w:hAnsi="Times New Roman"/>
          <w:sz w:val="21"/>
          <w:szCs w:val="2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Equity-Based Compensation</w:t>
      </w:r>
    </w:p>
    <w:p>
      <w:pPr>
        <w:spacing w:after="0" w:line="108"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Equity-based compensation expense is allocated to all departments in the accompanying condensed consolidated statements of operations based on the recipients of the compensation. A summary of the expense by line item in the consolidated statements of operations for the three months ended March 31, 2022 and 2021, respectively, is provided in the following table.</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2021 Equity Incentive Plan</w:t>
      </w:r>
    </w:p>
    <w:p>
      <w:pPr>
        <w:spacing w:after="0" w:line="10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Definitive Healthcare Corp. 2021 Equity Incentive Plan (the “2021 Plan”) was adopted in September 2021. The types of grants available under the 2021 Plan include stock options (both incentive and non-qualified), stock appreciation rights ("SARs"), restricted stock awards ("RSAs"), restricted stock units ("RSUs"), and stock-based awards.</w:t>
      </w:r>
    </w:p>
    <w:p>
      <w:pPr>
        <w:spacing w:after="0" w:line="82" w:lineRule="exact"/>
        <w:rPr>
          <w:sz w:val="20"/>
          <w:szCs w:val="20"/>
          <w:color w:val="auto"/>
        </w:rPr>
      </w:pPr>
    </w:p>
    <w:p>
      <w:pPr>
        <w:ind w:firstLine="554"/>
        <w:spacing w:after="0" w:line="244" w:lineRule="auto"/>
        <w:rPr>
          <w:sz w:val="20"/>
          <w:szCs w:val="20"/>
          <w:color w:val="auto"/>
        </w:rPr>
      </w:pPr>
      <w:r>
        <w:rPr>
          <w:rFonts w:ascii="Times New Roman" w:cs="Times New Roman" w:eastAsia="Times New Roman" w:hAnsi="Times New Roman"/>
          <w:sz w:val="18"/>
          <w:szCs w:val="18"/>
          <w:color w:val="auto"/>
        </w:rPr>
        <w:t>The aggregate number of shares of Class A Common Stock available for grant under the 2021 Plan was 5,890,775 shares at March 31, 2022. As of March 31, 2022, 3,098,264 RSUs have been granted under the 2021 Plan, net of forfeitures. The outstanding RSUs have time-based and/or performance-based vesting criteria. Outstanding time-based RSUs generally vest partially on the one year anniversary of each grant and quarterly over the subsequent two- or three-year period. Outstanding performance-based RSUs ("PSUs") vest annually over three years upon the achievement of certain performance targets and continued service. Expense for these awards is recognized when it becomes probable that performance measures triggering vesting will be achieved.</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unvested time-based and performance-based RSU activity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9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2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60" w:type="dxa"/>
            <w:vAlign w:val="bottom"/>
          </w:tcPr>
          <w:p>
            <w:pPr>
              <w:spacing w:after="0"/>
              <w:rPr>
                <w:sz w:val="16"/>
                <w:szCs w:val="16"/>
                <w:color w:val="auto"/>
              </w:rPr>
            </w:pPr>
          </w:p>
        </w:tc>
      </w:tr>
      <w:tr>
        <w:trPr>
          <w:trHeight w:val="158"/>
        </w:trPr>
        <w:tc>
          <w:tcPr>
            <w:tcW w:w="4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37"/>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57"/>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3"/>
                <w:szCs w:val="13"/>
                <w:color w:val="auto"/>
              </w:rPr>
            </w:pPr>
          </w:p>
        </w:tc>
      </w:tr>
      <w:tr>
        <w:trPr>
          <w:trHeight w:val="176"/>
        </w:trPr>
        <w:tc>
          <w:tcPr>
            <w:tcW w:w="4180" w:type="dxa"/>
            <w:vAlign w:val="bottom"/>
          </w:tcPr>
          <w:p>
            <w:pPr>
              <w:spacing w:after="0"/>
              <w:rPr>
                <w:sz w:val="15"/>
                <w:szCs w:val="15"/>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5"/>
                <w:szCs w:val="15"/>
                <w:color w:val="auto"/>
              </w:rPr>
            </w:pPr>
          </w:p>
        </w:tc>
        <w:tc>
          <w:tcPr>
            <w:tcW w:w="11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200" w:type="dxa"/>
            <w:vAlign w:val="bottom"/>
          </w:tcPr>
          <w:p>
            <w:pPr>
              <w:spacing w:after="0"/>
              <w:rPr>
                <w:sz w:val="15"/>
                <w:szCs w:val="15"/>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5"/>
                <w:szCs w:val="15"/>
                <w:color w:val="auto"/>
              </w:rPr>
            </w:pPr>
          </w:p>
        </w:tc>
        <w:tc>
          <w:tcPr>
            <w:tcW w:w="11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60" w:type="dxa"/>
            <w:vAlign w:val="bottom"/>
          </w:tcPr>
          <w:p>
            <w:pPr>
              <w:spacing w:after="0"/>
              <w:rPr>
                <w:sz w:val="15"/>
                <w:szCs w:val="15"/>
                <w:color w:val="auto"/>
              </w:rPr>
            </w:pPr>
          </w:p>
        </w:tc>
      </w:tr>
      <w:tr>
        <w:trPr>
          <w:trHeight w:val="187"/>
        </w:trPr>
        <w:tc>
          <w:tcPr>
            <w:tcW w:w="4180" w:type="dxa"/>
            <w:vAlign w:val="bottom"/>
          </w:tcPr>
          <w:p>
            <w:pPr>
              <w:spacing w:after="0"/>
              <w:rPr>
                <w:sz w:val="16"/>
                <w:szCs w:val="16"/>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11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00" w:type="dxa"/>
            <w:vAlign w:val="bottom"/>
          </w:tcPr>
          <w:p>
            <w:pPr>
              <w:spacing w:after="0"/>
              <w:rPr>
                <w:sz w:val="16"/>
                <w:szCs w:val="16"/>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11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60" w:type="dxa"/>
            <w:vAlign w:val="bottom"/>
          </w:tcPr>
          <w:p>
            <w:pPr>
              <w:spacing w:after="0"/>
              <w:rPr>
                <w:sz w:val="16"/>
                <w:szCs w:val="16"/>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1,935,899</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0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164,351</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60" w:type="dxa"/>
            <w:vAlign w:val="bottom"/>
            <w:shd w:val="clear" w:color="auto" w:fill="CFF0FC"/>
          </w:tcPr>
          <w:p>
            <w:pPr>
              <w:spacing w:after="0"/>
              <w:rPr>
                <w:sz w:val="18"/>
                <w:szCs w:val="18"/>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1,065,897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4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(58,624 )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(9,259 )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60" w:type="dxa"/>
            <w:vAlign w:val="bottom"/>
          </w:tcPr>
          <w:p>
            <w:pPr>
              <w:spacing w:after="0"/>
              <w:rPr>
                <w:sz w:val="18"/>
                <w:szCs w:val="18"/>
                <w:color w:val="auto"/>
              </w:rPr>
            </w:pPr>
          </w:p>
        </w:tc>
      </w:tr>
      <w:tr>
        <w:trPr>
          <w:trHeight w:val="250"/>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2022</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2,943,172</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155,092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342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recognized $5.3 million in stock-based compensation expense associated with RSUs and PSUs in the three months ended March 31, 2022. Total unrecognized expense was estimated to be $78.5 million for both time-based vesting and performance-based vesting awards at March 31, 2022, to be recognized over a weighted-average period of approximately 3.0 years.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2019 Equity Incentive Plan</w:t>
      </w:r>
    </w:p>
    <w:p>
      <w:pPr>
        <w:spacing w:after="0" w:line="104" w:lineRule="exact"/>
        <w:rPr>
          <w:sz w:val="20"/>
          <w:szCs w:val="20"/>
          <w:color w:val="auto"/>
        </w:rPr>
      </w:pPr>
    </w:p>
    <w:p>
      <w:pPr>
        <w:ind w:right="280" w:firstLine="509"/>
        <w:spacing w:after="0" w:line="247" w:lineRule="auto"/>
        <w:rPr>
          <w:sz w:val="20"/>
          <w:szCs w:val="20"/>
          <w:color w:val="auto"/>
        </w:rPr>
      </w:pPr>
      <w:r>
        <w:rPr>
          <w:rFonts w:ascii="Times New Roman" w:cs="Times New Roman" w:eastAsia="Times New Roman" w:hAnsi="Times New Roman"/>
          <w:sz w:val="18"/>
          <w:szCs w:val="18"/>
          <w:color w:val="auto"/>
        </w:rPr>
        <w:t>The AIDH Topco, LLC 2019 Equity Incentive Plan (the “2019 Plan”) was utilized prior to the Reorganization Transactions and the IPO for the issuance of equity awards in the form of Class B units to employees, consultants, directors, managers, or others providing services to the Company. In connection with the Reorganization Transactions and the IPO, unvested Class B Units held directly by employees of the Company or indirectly through Definitive OpCo, were exchanged for unvested Definitive OpCo units based on their respective participation thresholds and the IPO price of $27.00 per share. The Company no longer grants any awards under the 2019 Plan, though previously granted awards under the 2019 Plan remain outstanding and governed by the 2019 Plan, including those units that remain unvested.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unvested unit activity.</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06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60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center"/>
              <w:ind w:right="217"/>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3"/>
                <w:szCs w:val="13"/>
                <w:color w:val="auto"/>
              </w:rPr>
            </w:pPr>
          </w:p>
        </w:tc>
      </w:tr>
      <w:tr>
        <w:trPr>
          <w:trHeight w:val="175"/>
        </w:trPr>
        <w:tc>
          <w:tcPr>
            <w:tcW w:w="6060" w:type="dxa"/>
            <w:vAlign w:val="bottom"/>
          </w:tcPr>
          <w:p>
            <w:pPr>
              <w:spacing w:after="0"/>
              <w:rPr>
                <w:sz w:val="15"/>
                <w:szCs w:val="15"/>
                <w:color w:val="auto"/>
              </w:rPr>
            </w:pPr>
          </w:p>
        </w:tc>
        <w:tc>
          <w:tcPr>
            <w:tcW w:w="21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300" w:type="dxa"/>
            <w:vAlign w:val="bottom"/>
          </w:tcPr>
          <w:p>
            <w:pPr>
              <w:spacing w:after="0"/>
              <w:rPr>
                <w:sz w:val="15"/>
                <w:szCs w:val="15"/>
                <w:color w:val="auto"/>
              </w:rPr>
            </w:pPr>
          </w:p>
        </w:tc>
        <w:tc>
          <w:tcPr>
            <w:tcW w:w="15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60" w:type="dxa"/>
            <w:vAlign w:val="bottom"/>
          </w:tcPr>
          <w:p>
            <w:pPr>
              <w:spacing w:after="0"/>
              <w:rPr>
                <w:sz w:val="15"/>
                <w:szCs w:val="15"/>
                <w:color w:val="auto"/>
              </w:rPr>
            </w:pPr>
          </w:p>
        </w:tc>
      </w:tr>
      <w:tr>
        <w:trPr>
          <w:trHeight w:val="187"/>
        </w:trPr>
        <w:tc>
          <w:tcPr>
            <w:tcW w:w="6060" w:type="dxa"/>
            <w:vAlign w:val="bottom"/>
          </w:tcPr>
          <w:p>
            <w:pPr>
              <w:spacing w:after="0"/>
              <w:rPr>
                <w:sz w:val="16"/>
                <w:szCs w:val="16"/>
                <w:color w:val="auto"/>
              </w:rPr>
            </w:pPr>
          </w:p>
        </w:tc>
        <w:tc>
          <w:tcPr>
            <w:tcW w:w="216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00" w:type="dxa"/>
            <w:vAlign w:val="bottom"/>
          </w:tcPr>
          <w:p>
            <w:pPr>
              <w:spacing w:after="0"/>
              <w:rPr>
                <w:sz w:val="16"/>
                <w:szCs w:val="16"/>
                <w:color w:val="auto"/>
              </w:rPr>
            </w:pPr>
          </w:p>
        </w:tc>
        <w:tc>
          <w:tcPr>
            <w:tcW w:w="15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60" w:type="dxa"/>
            <w:vAlign w:val="bottom"/>
          </w:tcPr>
          <w:p>
            <w:pPr>
              <w:spacing w:after="0"/>
              <w:rPr>
                <w:sz w:val="16"/>
                <w:szCs w:val="16"/>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2,756,406</w:t>
            </w:r>
          </w:p>
        </w:tc>
        <w:tc>
          <w:tcPr>
            <w:tcW w:w="3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shd w:val="clear" w:color="auto" w:fill="CFF0FC"/>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2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(96,191 )</w:t>
            </w: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FF0FC"/>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(33,549 )</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8"/>
                <w:szCs w:val="18"/>
                <w:color w:val="auto"/>
              </w:rPr>
            </w:pPr>
          </w:p>
        </w:tc>
      </w:tr>
      <w:tr>
        <w:trPr>
          <w:trHeight w:val="250"/>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2022</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2,626,666</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7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$1.6 million and $0.4 million in stock-based compensation expense associated with these units in the three months ended March 31, 2022 and 2021, respectively. At March 31, 2022, the Company had approximately $13.7 million of unrecognized unit-based compensation expense for unvested units, which is expected to be recognized over a weighted-average period of approximately 2.4 years.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Plan</w:t>
      </w:r>
    </w:p>
    <w:p>
      <w:pPr>
        <w:spacing w:after="0" w:line="108"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has a 401(k) plan covering all employees who have met certain eligibility requirements. The Company made matching contributions in accordance with the plan documents. The Company incurred $1.1 million and $0.6 million in employer matching contributions during the three months ended March 31, 2022 and 2021,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21"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During the three months ended March 31, 2022, management performed an assessment of the recoverability of deferred tax assets. Management determined, based on the accounting standards applicable to such assessment, that there was sufficient negative evidence as a result of the Company’s scheduled reversal of deferred tax liabilities and cumulative losses to conclude it was more likely than not that its deferred tax assets would not be realized and has recorded a valuation allowance against its deferred tax assets that are not more likely than not to be realized. In the event that management was to determine that the Company would be able to realize its deferred tax assets in the future in excess of their net recorded amount, an adjustment to the valuation allowance would be made which would reduce the provision for income taxes.</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4" w:name="page25"/>
    <w:bookmarkEnd w:id="24"/>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2022, the Company has recorded a net deferred tax liability of $86.1 million, of which $10.3 million was recorded as a result of the AW acquisition. The net deferred tax liability reflects a valuation allowance against deferred tax assets that are more likely than not to not be realized as well as reversing taxable temporary differences that will not provide a source of taxable income due to attribute limitation rules.</w:t>
      </w:r>
    </w:p>
    <w:p>
      <w:pPr>
        <w:spacing w:after="0" w:line="6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uncertain income tax positions when it is more-likely-than-not the position will be sustained upon examination. As of March 31, 2022 and December 31, 2021, the Company has not identified any uncertain tax positions and has not recognized any related reserves.</w:t>
      </w:r>
    </w:p>
    <w:p>
      <w:pPr>
        <w:spacing w:after="0" w:line="40"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three months ended March 31, 2022 and 2021 was (0.7)% and 0.0% respectively. The Company’s effective tax rate differs from the statutory tax rate of 21% due to the valuation allowance recorded, foreign tax rates that differ from the U.S. statutory tax rate, and partnership income that is not taxed.</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Pursuant to the Company's election under Section 754 of the Internal Revenue Code (the "Code"), the Company expects to obtain an increase in its share of the tax basis in the net assets of AIDH Topco, LLC when LLC Interests are redeemed or exchanged by other members. The Company plans to make an election under Section 754 of the Code for each taxable year in which a redemption of exchange of LLC Interest occurs.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spacing w:after="0" w:line="72"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In connection with the IPO, the Company entered into a Tax Receivable Agreement ("TRA") and has recorded a liability under the TRA of $154.7 million as of March 31, 2022. Under the TRA, the Company generally will be required to pay to the Original LLC Unitholders 85% of the amount of cash savings, if any, in U.S. federal, state, or local tax that the Company actually realizes directly or indirectly (or are deemed to realize in certain circumstances) as a result of (i) certain tax attributes created as a result of any sales or exchanges (as determined for U.S. federal income tax purposes) to or with the Company of their interests in AIDH TopCo, LLC, including any basis adjustment relating to the assets of AIDH TopCo, LLC, (ii) existing tax attributes acquired by the Company in the pre-IPO restructuring, and (iii) tax benefits attributable to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 No amounts are expected to be paid within the next 12 months.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Loss Per Share</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6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Prior to the IPO, the Definitive OpCo membership structure included Class A and Class B member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three months ended March 31, 2021.</w:t>
      </w:r>
    </w:p>
    <w:p>
      <w:pPr>
        <w:spacing w:after="0" w:line="6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loss per share of Class A Common Stock for the three months ended March 31, 2022.</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207"/>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(13,057 )</w:t>
            </w:r>
          </w:p>
        </w:tc>
      </w:tr>
      <w:tr>
        <w:trPr>
          <w:trHeight w:val="21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(4,433 )</w:t>
            </w:r>
          </w:p>
        </w:tc>
      </w:tr>
      <w:tr>
        <w:trPr>
          <w:trHeight w:val="20"/>
        </w:trPr>
        <w:tc>
          <w:tcPr>
            <w:tcW w:w="8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(8,624 )</w:t>
            </w:r>
          </w:p>
        </w:tc>
      </w:tr>
      <w:tr>
        <w:trPr>
          <w:trHeight w:val="20"/>
        </w:trPr>
        <w:tc>
          <w:tcPr>
            <w:tcW w:w="8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Class A Common Stock (per share amounts unaudited):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tbl>
      <w:tblPr>
        <w:tblLayout w:type="fixed"/>
        <w:tblInd w:w="58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22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4"/>
        </w:trPr>
        <w:tc>
          <w:tcPr>
            <w:tcW w:w="782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number of shares and per share amounts)</w:t>
            </w: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75"/>
              <w:spacing w:after="0" w:line="153"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net loss per share attributable to common stockholders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net loss attributable to Definitive Healthcare Corp.</w:t>
            </w: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(8,624 )</w:t>
            </w:r>
          </w:p>
        </w:tc>
      </w:tr>
      <w:tr>
        <w:trPr>
          <w:trHeight w:val="216"/>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outstanding</w:t>
            </w:r>
          </w:p>
        </w:tc>
        <w:tc>
          <w:tcPr>
            <w:tcW w:w="5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97,158,823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(0.09 )</w:t>
            </w:r>
          </w:p>
        </w:tc>
      </w:tr>
      <w:tr>
        <w:trPr>
          <w:trHeight w:val="20"/>
        </w:trPr>
        <w:tc>
          <w:tcPr>
            <w:tcW w:w="7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242424"/>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6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242424"/>
        </w:rPr>
        <w:t>The following table presents potentially dilutive securities excluded from the computation of diluted net loss per share for the period presented because their effect would have been anti-dilutive:</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1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3"/>
                <w:szCs w:val="13"/>
                <w:color w:val="auto"/>
              </w:rPr>
            </w:pPr>
          </w:p>
        </w:tc>
      </w:tr>
      <w:tr>
        <w:trPr>
          <w:trHeight w:val="207"/>
        </w:trPr>
        <w:tc>
          <w:tcPr>
            <w:tcW w:w="7860" w:type="dxa"/>
            <w:vAlign w:val="bottom"/>
          </w:tcPr>
          <w:p>
            <w:pPr>
              <w:spacing w:after="0"/>
              <w:rPr>
                <w:sz w:val="18"/>
                <w:szCs w:val="18"/>
                <w:color w:val="auto"/>
              </w:rPr>
            </w:pPr>
          </w:p>
        </w:tc>
        <w:tc>
          <w:tcPr>
            <w:tcW w:w="21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Definitive OpCo Units (vested and unvested)</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57,666,776</w:t>
            </w:r>
          </w:p>
        </w:tc>
        <w:tc>
          <w:tcPr>
            <w:tcW w:w="60" w:type="dxa"/>
            <w:vAlign w:val="bottom"/>
            <w:shd w:val="clear" w:color="auto" w:fill="CFF0FC"/>
          </w:tcPr>
          <w:p>
            <w:pPr>
              <w:spacing w:after="0"/>
              <w:rPr>
                <w:sz w:val="18"/>
                <w:szCs w:val="18"/>
                <w:color w:val="auto"/>
              </w:rPr>
            </w:pP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3,098,264</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and Geographic Data</w:t>
      </w:r>
    </w:p>
    <w:p>
      <w:pPr>
        <w:spacing w:after="0" w:line="121"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by geographic area presented based upon the location of the customer are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0" w:type="dxa"/>
            <w:vAlign w:val="bottom"/>
          </w:tcPr>
          <w:p>
            <w:pPr>
              <w:spacing w:after="0"/>
              <w:rPr>
                <w:sz w:val="16"/>
                <w:szCs w:val="16"/>
                <w:color w:val="auto"/>
              </w:rPr>
            </w:pPr>
          </w:p>
        </w:tc>
      </w:tr>
      <w:tr>
        <w:trPr>
          <w:trHeight w:val="169"/>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1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47,580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35,697</w:t>
            </w:r>
          </w:p>
        </w:tc>
        <w:tc>
          <w:tcPr>
            <w:tcW w:w="60" w:type="dxa"/>
            <w:vAlign w:val="bottom"/>
            <w:shd w:val="clear" w:color="auto" w:fill="CFF0FC"/>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60" w:type="dxa"/>
            <w:vAlign w:val="bottom"/>
          </w:tcPr>
          <w:p>
            <w:pPr>
              <w:spacing w:after="0"/>
              <w:rPr>
                <w:sz w:val="18"/>
                <w:szCs w:val="18"/>
                <w:color w:val="auto"/>
              </w:rPr>
            </w:pPr>
          </w:p>
        </w:tc>
      </w:tr>
      <w:tr>
        <w:trPr>
          <w:trHeight w:val="250"/>
        </w:trPr>
        <w:tc>
          <w:tcPr>
            <w:tcW w:w="6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50,124</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a summary of our revenue disaggregated by service, refer to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Long-lived assets by geographic area presented based upon the location of the assets are as follows:</w:t>
      </w:r>
    </w:p>
    <w:p>
      <w:pPr>
        <w:spacing w:after="0" w:line="30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8"/>
                <w:szCs w:val="18"/>
                <w:color w:val="auto"/>
              </w:rPr>
            </w:pPr>
          </w:p>
        </w:tc>
      </w:tr>
      <w:tr>
        <w:trPr>
          <w:trHeight w:val="250"/>
        </w:trPr>
        <w:tc>
          <w:tcPr>
            <w:tcW w:w="69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long-lived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596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Related Parties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The Company has engaged in revenue transactions within the ordinary course of business with entities affiliated with its private equity Sponsors and with members of the Company’s board of directors. During each of the three months ended March 31, 2022 and 2021 the Company recorded revenue of $0.2 million. The associated receivable for the revenue transactions amounted to $0.1 million and $0.6 million at March 31, 2022 and December 31, 2021, respectively.</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1" w:right="35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19"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2021 Form 10-K filed with the Securities and Exchange Commission (“SEC”) on March 15, 2022.</w:t>
      </w:r>
    </w:p>
    <w:p>
      <w:pPr>
        <w:spacing w:after="0" w:line="66" w:lineRule="exact"/>
        <w:rPr>
          <w:sz w:val="20"/>
          <w:szCs w:val="20"/>
          <w:color w:val="auto"/>
        </w:rPr>
      </w:pPr>
    </w:p>
    <w:p>
      <w:pPr>
        <w:ind w:right="1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2021 Form 10-K.</w:t>
      </w:r>
    </w:p>
    <w:p>
      <w:pPr>
        <w:spacing w:after="0" w:line="66" w:lineRule="exact"/>
        <w:rPr>
          <w:sz w:val="20"/>
          <w:szCs w:val="20"/>
          <w:color w:val="auto"/>
        </w:rPr>
      </w:pPr>
    </w:p>
    <w:p>
      <w:pPr>
        <w:ind w:right="32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References in this Form 10-Q to “Definitive Healthcare Corp.” refer to Definitive Healthcare Corp. and not to any of its subsidiaries unless the context indicates otherwise. References in this Form 10-Q to “Definitive Healthcare,” the “Company,” “we,” “us,” and “our” refer (1) 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over 2,900 customers as of March 31, 2022. We define a customer as a company that maintains one or more active paid subscriptions to our platform.</w:t>
      </w:r>
    </w:p>
    <w:p>
      <w:pPr>
        <w:spacing w:after="0" w:line="69"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 which accounted for 99% of revenue for the three months ended March 31, 2022.</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61" w:lineRule="exact"/>
        <w:rPr>
          <w:sz w:val="20"/>
          <w:szCs w:val="20"/>
          <w:color w:val="auto"/>
        </w:rPr>
      </w:pPr>
    </w:p>
    <w:p>
      <w:pPr>
        <w:ind w:right="40" w:firstLine="509"/>
        <w:spacing w:after="0" w:line="296" w:lineRule="auto"/>
        <w:rPr>
          <w:sz w:val="20"/>
          <w:szCs w:val="20"/>
          <w:color w:val="auto"/>
        </w:rPr>
      </w:pPr>
      <w:r>
        <w:rPr>
          <w:rFonts w:ascii="Times New Roman" w:cs="Times New Roman" w:eastAsia="Times New Roman" w:hAnsi="Times New Roman"/>
          <w:sz w:val="17"/>
          <w:szCs w:val="17"/>
          <w:color w:val="auto"/>
        </w:rPr>
        <w:t>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 xml:space="preserve">On February 18, 2022, the Company purchased the remaining 65% of Analytical Wizard, Inc.’s equity for $65.0 million, net of cash acquired and an estimated working capital adjustment and other customary purchase price adjustments. The total purchase consideration of $99.6 million, which includes the 35% investment the Company made in AW in December 2021, consisted of $98.6 million in cash consideration and $1.0 million in estimated contingent consideration. The purchase price was primarily comprised of acquired customer relationships, technology and goodwill. The Company has included the financial results of this business in the condensed consolidated financial statements from the date of acquisition. The purchase accounting for this transaction is not yet finalized. 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footnotes to the condensed consolidated financial statements included within this Form 10-Q for further information.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effects of the COVID-19 pandemic continue to evolve and its impact on the economy and healthcare ecosystem have been vast. However, other than a brief slowdown in new bookings during the second quarter of 2020 at the outset of the pandemic, the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7" w:name="page28"/>
    <w:bookmarkEnd w:id="27"/>
    <w:p>
      <w:pPr>
        <w:ind w:right="20"/>
        <w:spacing w:after="0" w:line="245" w:lineRule="auto"/>
        <w:rPr>
          <w:sz w:val="20"/>
          <w:szCs w:val="20"/>
          <w:color w:val="auto"/>
        </w:rPr>
      </w:pPr>
      <w:r>
        <w:rPr>
          <w:rFonts w:ascii="Times New Roman" w:cs="Times New Roman" w:eastAsia="Times New Roman" w:hAnsi="Times New Roman"/>
          <w:sz w:val="18"/>
          <w:szCs w:val="18"/>
          <w:color w:val="auto"/>
        </w:rPr>
        <w:t>pandemic has not adversely affected our business, results of operations or financial condition. We continued to invest in our sales force and the business and have not experienced any known business disruptions as a result of the pandemic. Most of our services are already delivered remotely or are capable of being delivered remotely. We have demonstrated our agility to respond to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 on many factors, including the following: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March 31, 2022 and December 31, 2021, we had over 2,900 and 2,800 customers, respectively.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there is a significant opportunity to generate additional revenue from our existing customer base.</w:t>
      </w:r>
    </w:p>
    <w:p>
      <w:pPr>
        <w:spacing w:after="0" w:line="212"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Our customers have historically increased their spending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7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platform currently offers 18 intelligence modules. Our success in expanding usage of our platform with our existing customers is demonstrated by our net dollar retention rate ("NDR"), which is further described below. For the year ended December 31, 2021, our NDR for customers generating more than $100,000 in ARR ("Enterprise Customers") was 120% and our NDR for all customers over $17,500 ARR was 111%.</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Innovate and Expand Our Platform</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growth of our business is driven in part by our ability to apply our deep healthcare domain expertise to innovate and expand our platform. We have continually created new products since our founding in 2011 and have launched 18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non-cash items and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8" w:name="page29"/>
    <w:bookmarkEnd w:id="28"/>
    <w:p>
      <w:pPr>
        <w:ind w:firstLine="509"/>
        <w:spacing w:after="0" w:line="258" w:lineRule="auto"/>
        <w:rPr>
          <w:sz w:val="20"/>
          <w:szCs w:val="20"/>
          <w:color w:val="auto"/>
        </w:rPr>
      </w:pPr>
      <w:r>
        <w:rPr>
          <w:rFonts w:ascii="Times New Roman" w:cs="Times New Roman" w:eastAsia="Times New Roman" w:hAnsi="Times New Roman"/>
          <w:sz w:val="18"/>
          <w:szCs w:val="18"/>
          <w:color w:val="auto"/>
        </w:rPr>
        <w:t>We view Adjusted Gross Profit, Adjusted Gross Margin, Adjusted EBITDA, and Adjusted EBITDA Margin as operating performance measures. As such, we believe the most directly comparable GAAP financial measure to Adjusted Gross Profit and Adjusted Gross Margin is GAAP Gross Profit, and the most directly comparable GAAP financial measure to Adjusted EBITDA and Adjusted EBITDA Margin is GAAP net loss.</w:t>
      </w:r>
    </w:p>
    <w:p>
      <w:pPr>
        <w:spacing w:after="0" w:line="16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08"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We define Adjusted Gross Profit as revenue less cost of revenue (excluding acquisition-related depreciation and amortization) and a small quantity of stock based compensation. Adjusted Gross Profit differs from Gross 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These are key metrics used by management and our board of directors to assess our operations.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Gross Profit to Adjusted Gross Profit and Adjusted Gross Margin for the periods presented:</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6"/>
                <w:szCs w:val="16"/>
                <w:color w:val="auto"/>
              </w:rPr>
            </w:pPr>
          </w:p>
        </w:tc>
        <w:tc>
          <w:tcPr>
            <w:tcW w:w="348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200" w:type="dxa"/>
            <w:vAlign w:val="bottom"/>
            <w:vMerge w:val="continue"/>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Reported gross profit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38,796</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27,499</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2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Amortization of intangible assets resulting from acquisition-</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related purchase accounting adjustments </w:t>
            </w:r>
            <w:r>
              <w:rPr>
                <w:rFonts w:ascii="Times New Roman" w:cs="Times New Roman" w:eastAsia="Times New Roman" w:hAnsi="Times New Roman"/>
                <w:sz w:val="24"/>
                <w:szCs w:val="24"/>
                <w:color w:val="auto"/>
                <w:vertAlign w:val="superscript"/>
              </w:rPr>
              <w:t>(a)</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costs</w:t>
            </w:r>
          </w:p>
        </w:tc>
        <w:tc>
          <w:tcPr>
            <w:tcW w:w="4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44,130</w:t>
            </w:r>
          </w:p>
        </w:tc>
        <w:tc>
          <w:tcPr>
            <w:tcW w:w="3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50,124</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4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88 %</w:t>
            </w:r>
          </w:p>
        </w:tc>
        <w:tc>
          <w:tcPr>
            <w:tcW w:w="3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-445135</wp:posOffset>
            </wp:positionV>
            <wp:extent cx="1543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-445135</wp:posOffset>
            </wp:positionV>
            <wp:extent cx="1460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05" w:lineRule="exact"/>
        <w:rPr>
          <w:sz w:val="20"/>
          <w:szCs w:val="20"/>
          <w:color w:val="auto"/>
        </w:rPr>
      </w:pPr>
    </w:p>
    <w:p>
      <w:pPr>
        <w:ind w:left="520" w:right="6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resulting from purchase accounting adjustments represents non-cash amortization of acquired intangibles, primarily resulting from the Advent acquisition.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0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present “Adjusted EBITDA” as a measure of our operating performance. EBITDA is defined as earnings before (i) debt-related costs, including interest expense and loss from extinguishment of debt, (ii) interest income, (iii) provision for taxes, and (iv) depreciation and amortization. Management further adjusts EBITDA in its presentation of Adjusted EBITDA to exclude (i) other (income) expense, (ii) equity-based compensation, (iii) acquisition-related expenses and (iv) other non-recurring and one-time expenses. We exclude these items because they are non-cash or non-recurring in nature,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to Adjusted EBITDA for the periods presented:</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60" w:type="dxa"/>
            <w:vAlign w:val="bottom"/>
            <w:gridSpan w:val="5"/>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r>
      <w:tr>
        <w:trPr>
          <w:trHeight w:val="20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44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24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15,252</w:t>
            </w:r>
          </w:p>
        </w:tc>
        <w:tc>
          <w:tcPr>
            <w:tcW w:w="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240" w:type="dxa"/>
            <w:vAlign w:val="bottom"/>
          </w:tcPr>
          <w:p>
            <w:pPr>
              <w:spacing w:after="0"/>
              <w:rPr>
                <w:sz w:val="18"/>
                <w:szCs w:val="18"/>
                <w:color w:val="auto"/>
              </w:rPr>
            </w:pPr>
          </w:p>
        </w:tc>
      </w:tr>
      <w:tr>
        <w:trPr>
          <w:trHeight w:val="20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24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4"/>
                <w:szCs w:val="24"/>
                <w:color w:val="auto"/>
                <w:vertAlign w:val="superscript"/>
              </w:rPr>
              <w:t>(a)</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(124 )</w:t>
            </w:r>
          </w:p>
        </w:tc>
      </w:tr>
      <w:tr>
        <w:trPr>
          <w:trHeight w:val="216"/>
        </w:trPr>
        <w:tc>
          <w:tcPr>
            <w:tcW w:w="63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Equity-based compensation </w:t>
            </w:r>
            <w:r>
              <w:rPr>
                <w:rFonts w:ascii="Times New Roman" w:cs="Times New Roman" w:eastAsia="Times New Roman" w:hAnsi="Times New Roman"/>
                <w:sz w:val="24"/>
                <w:szCs w:val="24"/>
                <w:color w:val="auto"/>
                <w:vertAlign w:val="superscript"/>
              </w:rPr>
              <w:t>(b)</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Transaction expenses </w:t>
            </w:r>
            <w:r>
              <w:rPr>
                <w:rFonts w:ascii="Times New Roman" w:cs="Times New Roman" w:eastAsia="Times New Roman" w:hAnsi="Times New Roman"/>
                <w:sz w:val="24"/>
                <w:szCs w:val="24"/>
                <w:color w:val="auto"/>
                <w:vertAlign w:val="superscript"/>
              </w:rPr>
              <w:t>(c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r>
      <w:tr>
        <w:trPr>
          <w:trHeight w:val="216"/>
        </w:trPr>
        <w:tc>
          <w:tcPr>
            <w:tcW w:w="63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non-recurring items </w:t>
            </w:r>
            <w:r>
              <w:rPr>
                <w:rFonts w:ascii="Times New Roman" w:cs="Times New Roman" w:eastAsia="Times New Roman" w:hAnsi="Times New Roman"/>
                <w:sz w:val="24"/>
                <w:szCs w:val="24"/>
                <w:color w:val="auto"/>
                <w:vertAlign w:val="superscript"/>
              </w:rPr>
              <w:t>(d)</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4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4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24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50,124</w:t>
            </w: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24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60" w:type="dxa"/>
            <w:vAlign w:val="bottom"/>
          </w:tcPr>
          <w:p>
            <w:pPr>
              <w:spacing w:after="0"/>
              <w:rPr>
                <w:sz w:val="18"/>
                <w:szCs w:val="18"/>
                <w:color w:val="auto"/>
              </w:rPr>
            </w:pPr>
          </w:p>
        </w:tc>
        <w:tc>
          <w:tcPr>
            <w:tcW w:w="1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28 %</w:t>
            </w:r>
          </w:p>
        </w:tc>
        <w:tc>
          <w:tcPr>
            <w:tcW w:w="3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0"/>
        </w:trPr>
        <w:tc>
          <w:tcPr>
            <w:tcW w:w="6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-445135</wp:posOffset>
            </wp:positionV>
            <wp:extent cx="1543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-445135</wp:posOffset>
            </wp:positionV>
            <wp:extent cx="1460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520" w:right="580" w:hanging="512"/>
        <w:spacing w:after="0" w:line="235"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spacing w:after="0" w:line="1" w:lineRule="exact"/>
        <w:rPr>
          <w:rFonts w:ascii="Times New Roman" w:cs="Times New Roman" w:eastAsia="Times New Roman" w:hAnsi="Times New Roman"/>
          <w:sz w:val="18"/>
          <w:szCs w:val="18"/>
          <w:color w:val="auto"/>
        </w:rPr>
      </w:pPr>
    </w:p>
    <w:p>
      <w:pPr>
        <w:ind w:left="520" w:right="160" w:hanging="512"/>
        <w:spacing w:after="0" w:line="24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expenses primarily represent legal, accounting and consulting expenses and fair value adjustments for contingent consideration related to our acquisitions.</w:t>
      </w:r>
    </w:p>
    <w:p>
      <w:pPr>
        <w:spacing w:after="0" w:line="1" w:lineRule="exact"/>
        <w:rPr>
          <w:rFonts w:ascii="Times New Roman" w:cs="Times New Roman" w:eastAsia="Times New Roman" w:hAnsi="Times New Roman"/>
          <w:sz w:val="18"/>
          <w:szCs w:val="18"/>
          <w:color w:val="auto"/>
        </w:rPr>
      </w:pPr>
    </w:p>
    <w:p>
      <w:pPr>
        <w:ind w:left="520" w:right="320" w:hanging="512"/>
        <w:spacing w:after="0" w:line="24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represent expenses that are typically one-time or non-operational in nature. One-time expenses are comprised primarily of professional fees related to financing, capital structure changes and other non-recurring set-up costs related to public company operations for the current period, and IPO readiness costs for the prior period.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32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performance, identify financial trends, formulate business plans, and make strategic operational decisions.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Dollar Retention Rate ("NDR")</w:t>
      </w:r>
    </w:p>
    <w:p>
      <w:pPr>
        <w:spacing w:after="0" w:line="10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Remaining Performance Obligations ("cRPO")</w:t>
      </w:r>
    </w:p>
    <w:p>
      <w:pPr>
        <w:spacing w:after="0" w:line="108" w:lineRule="exact"/>
        <w:rPr>
          <w:sz w:val="20"/>
          <w:szCs w:val="20"/>
          <w:color w:val="auto"/>
        </w:rPr>
      </w:pPr>
    </w:p>
    <w:p>
      <w:pPr>
        <w:ind w:right="280" w:firstLine="509"/>
        <w:spacing w:after="0" w:line="246" w:lineRule="auto"/>
        <w:rPr>
          <w:sz w:val="20"/>
          <w:szCs w:val="20"/>
          <w:color w:val="auto"/>
        </w:rPr>
      </w:pPr>
      <w:r>
        <w:rPr>
          <w:rFonts w:ascii="Times New Roman" w:cs="Times New Roman" w:eastAsia="Times New Roman" w:hAnsi="Times New Roman"/>
          <w:sz w:val="18"/>
          <w:szCs w:val="18"/>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cRPO as of March 31, 2022 and December 31,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920" w:type="dxa"/>
            <w:vAlign w:val="bottom"/>
            <w:vMerge w:val="continue"/>
          </w:tcPr>
          <w:p>
            <w:pPr>
              <w:spacing w:after="0"/>
              <w:rPr>
                <w:sz w:val="15"/>
                <w:szCs w:val="15"/>
                <w:color w:val="auto"/>
              </w:rPr>
            </w:pPr>
          </w:p>
        </w:tc>
        <w:tc>
          <w:tcPr>
            <w:tcW w:w="3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39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164,461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155,134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3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9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9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260,980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250,488</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9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-445135</wp:posOffset>
            </wp:positionV>
            <wp:extent cx="431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-427990</wp:posOffset>
            </wp:positionV>
            <wp:extent cx="431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-445135</wp:posOffset>
            </wp:positionV>
            <wp:extent cx="342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-427990</wp:posOffset>
            </wp:positionV>
            <wp:extent cx="342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Impact of Acquisitions</w:t>
      </w:r>
    </w:p>
    <w:p>
      <w:pPr>
        <w:spacing w:after="0" w:line="121"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 xml:space="preserve">We seek to enhance our platform, data and business through internal development and through acquisitions of and investments in businesses that broaden and strengthen our platform. In February 2022, we completed our acquisition of Analytical Wizards, Inc. This acquisition further strengthens our data platform and our business. Acquisitions can result in transaction costs, amortization expenses and other adjustments as purchase accounting requires that all assets acquired and liabilities assumed be recorded at fair value on the acquisition date. 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our condensed consolidated financial statements included elsewhere in this Form 10-Q for further details.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For the three months ended March 31, 2022, we derived approximately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06"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i w:val="1"/>
          <w:iCs w:val="1"/>
          <w:color w:val="auto"/>
        </w:rPr>
        <w:t>Cost of Revenue</w:t>
      </w:r>
      <w:r>
        <w:rPr>
          <w:rFonts w:ascii="Times New Roman" w:cs="Times New Roman" w:eastAsia="Times New Roman" w:hAnsi="Times New Roman"/>
          <w:sz w:val="17"/>
          <w:szCs w:val="17"/>
          <w:color w:val="auto"/>
        </w:rPr>
        <w:t>. Cost of revenue, excluding amortization of acquired technology and data, consists of direct expenses related to the support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60" w:lineRule="exact"/>
        <w:rPr>
          <w:sz w:val="20"/>
          <w:szCs w:val="20"/>
          <w:color w:val="auto"/>
        </w:rPr>
      </w:pPr>
    </w:p>
    <w:p>
      <w:pPr>
        <w:ind w:right="64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Amortization</w:t>
      </w:r>
      <w:r>
        <w:rPr>
          <w:rFonts w:ascii="Times New Roman" w:cs="Times New Roman" w:eastAsia="Times New Roman" w:hAnsi="Times New Roman"/>
          <w:sz w:val="18"/>
          <w:szCs w:val="18"/>
          <w:color w:val="auto"/>
        </w:rPr>
        <w:t>. Includes amortization expense for technology and data acquired in business combinations and asset purchase agreements.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that amortization will only increase if we make additional acquisitions in the future.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8"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88"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primarily consist of personnel costs such as salaries, bonuses, sales commissions,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sales and marketing teams, as well as non-personnel costs including overhead costs, technology and marketing costs. We expect that sales and marketing expenses as a percentage of revenue may increase in 2022, primarily as a result of compensation expense associated with key management-level personnel, partially offset by cost savings resulting from expected operating leverage in the business. We continue to hire additional sales and marketing personnel, enhance our digital marketing infrastructure and invest in marketing programs targeting our major vertical markets.</w:t>
      </w:r>
    </w:p>
    <w:p>
      <w:pPr>
        <w:spacing w:after="0" w:line="195" w:lineRule="exact"/>
        <w:rPr>
          <w:sz w:val="20"/>
          <w:szCs w:val="20"/>
          <w:color w:val="auto"/>
        </w:rPr>
      </w:pPr>
    </w:p>
    <w:p>
      <w:pPr>
        <w:jc w:val="both"/>
        <w:ind w:right="1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primarily consist of personnel costs such as salaries, bonuses, stock-based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employee-related benefits for our engineering, data science and product teams, as well as non-personnel costs including overhead costs. We believe that our core technologies and ongoing innovation represent a significant competitive advantage</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1" w:name="page32"/>
    <w:bookmarkEnd w:id="31"/>
    <w:p>
      <w:pPr>
        <w:spacing w:after="0" w:line="250" w:lineRule="auto"/>
        <w:rPr>
          <w:sz w:val="20"/>
          <w:szCs w:val="20"/>
          <w:color w:val="auto"/>
        </w:rPr>
      </w:pPr>
      <w:r>
        <w:rPr>
          <w:rFonts w:ascii="Times New Roman" w:cs="Times New Roman" w:eastAsia="Times New Roman" w:hAnsi="Times New Roman"/>
          <w:sz w:val="18"/>
          <w:szCs w:val="18"/>
          <w:color w:val="auto"/>
        </w:rPr>
        <w:t>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89"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General and administrative expenses primarily consist of personnel costs such as salaries, bonuses,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and other employee-related benefits for our executive, finance, legal, human resources, IT and operations, and administrative teams, as well as non-personnel costs including overhead costs, professional fees and other corporate expenses including expenses associated with operating as a public company. We anticipate that general and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Due primarily to the costs associated with operating as a public company, we expect general and administrative costs as a percentage of revenue to increase in 2022, and then stay consistent or modestly decrease thereafter, as we realize operating leverage in the business.</w:t>
      </w:r>
    </w:p>
    <w:p>
      <w:pPr>
        <w:spacing w:after="0" w:line="167"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expenses consist primarily of amortization of customer relationships and trade names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as a result of the accounting for the Advent acquisition, as well as depreciation of property and equipment. We anticipate depreciation of property and equipment as a percentage of revenue to moderately decrease, although amortization will increase if we make additional acquisitions in the future.</w:t>
      </w:r>
    </w:p>
    <w:p>
      <w:pPr>
        <w:spacing w:after="0" w:line="170"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Transaction expenses</w:t>
      </w:r>
      <w:r>
        <w:rPr>
          <w:rFonts w:ascii="Times New Roman" w:cs="Times New Roman" w:eastAsia="Times New Roman" w:hAnsi="Times New Roman"/>
          <w:sz w:val="18"/>
          <w:szCs w:val="18"/>
          <w:color w:val="auto"/>
        </w:rPr>
        <w:t>. Transaction expenses are costs directly associated with various acquisition and integration activities we have undertaken,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accounting and legal due diligence, and consulting and advisory fees.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net consists primarily of interest expense, net and other income (expense), net.</w:t>
      </w:r>
    </w:p>
    <w:p>
      <w:pPr>
        <w:spacing w:after="0" w:line="210" w:lineRule="exact"/>
        <w:rPr>
          <w:sz w:val="20"/>
          <w:szCs w:val="20"/>
          <w:color w:val="auto"/>
        </w:rPr>
      </w:pPr>
    </w:p>
    <w:p>
      <w:pPr>
        <w:ind w:right="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consists primarily of interest expense on our debt obligations and the amortization of debt discounts and debt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interest income. We expect to realize a reduction in our interest expense during 2022 over prior periods resulting from the repayment of a portion of our outstanding indebtedness with the proceeds from the IPO. We also expect that we will eventually see a reduction in our interest expense resulting from our interest rate swap agreement, though it may increase interest expense in the short-term.</w:t>
      </w:r>
    </w:p>
    <w:p>
      <w:pPr>
        <w:spacing w:after="0" w:line="174"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consists primarily of the revaluation of tax receivable agreement liabilities and realized and unrealized gains and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impact of transactions denominated in a foreign currency. We do not have significant exposure to foreign exchange volatility and do not anticipate foreign currency transaction gains or losses to materially impact our results of operations.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operations for the periods presented:</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0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8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amortization shown below</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80" w:type="dxa"/>
            <w:vAlign w:val="bottom"/>
            <w:shd w:val="clear" w:color="auto" w:fill="CFF0FC"/>
          </w:tcPr>
          <w:p>
            <w:pPr>
              <w:spacing w:after="0"/>
              <w:rPr>
                <w:sz w:val="18"/>
                <w:szCs w:val="18"/>
                <w:color w:val="auto"/>
              </w:rPr>
            </w:pP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80" w:type="dxa"/>
            <w:vAlign w:val="bottom"/>
          </w:tcPr>
          <w:p>
            <w:pPr>
              <w:spacing w:after="0"/>
              <w:rPr>
                <w:sz w:val="18"/>
                <w:szCs w:val="18"/>
                <w:color w:val="auto"/>
              </w:rPr>
            </w:pPr>
          </w:p>
        </w:tc>
      </w:tr>
      <w:tr>
        <w:trPr>
          <w:trHeight w:val="209"/>
        </w:trPr>
        <w:tc>
          <w:tcPr>
            <w:tcW w:w="70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27,499</w:t>
            </w:r>
          </w:p>
        </w:tc>
        <w:tc>
          <w:tcPr>
            <w:tcW w:w="8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80" w:type="dxa"/>
            <w:vAlign w:val="bottom"/>
          </w:tcPr>
          <w:p>
            <w:pPr>
              <w:spacing w:after="0"/>
              <w:rPr>
                <w:sz w:val="18"/>
                <w:szCs w:val="18"/>
                <w:color w:val="auto"/>
              </w:rPr>
            </w:pPr>
          </w:p>
        </w:tc>
      </w:tr>
      <w:tr>
        <w:trPr>
          <w:trHeight w:val="216"/>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shd w:val="clear" w:color="auto" w:fill="CFF0FC"/>
          </w:tcPr>
          <w:p>
            <w:pPr>
              <w:spacing w:after="0"/>
              <w:rPr>
                <w:sz w:val="18"/>
                <w:szCs w:val="18"/>
                <w:color w:val="auto"/>
              </w:rPr>
            </w:pP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tcPr>
          <w:p>
            <w:pPr>
              <w:spacing w:after="0"/>
              <w:rPr>
                <w:sz w:val="18"/>
                <w:szCs w:val="18"/>
                <w:color w:val="auto"/>
              </w:rPr>
            </w:pPr>
          </w:p>
        </w:tc>
      </w:tr>
      <w:tr>
        <w:trPr>
          <w:trHeight w:val="216"/>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80" w:type="dxa"/>
            <w:vAlign w:val="bottom"/>
            <w:shd w:val="clear" w:color="auto" w:fill="CFF0FC"/>
          </w:tcPr>
          <w:p>
            <w:pPr>
              <w:spacing w:after="0"/>
              <w:rPr>
                <w:sz w:val="18"/>
                <w:szCs w:val="18"/>
                <w:color w:val="auto"/>
              </w:rPr>
            </w:pP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expenses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r>
      <w:tr>
        <w:trPr>
          <w:trHeight w:val="209"/>
        </w:trPr>
        <w:tc>
          <w:tcPr>
            <w:tcW w:w="706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(10,985 )</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(2,158 )</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-1397000</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-1397000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-282575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-282575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p>
      <w:pPr>
        <w:ind w:left="940"/>
        <w:spacing w:after="0"/>
        <w:rPr>
          <w:sz w:val="20"/>
          <w:szCs w:val="20"/>
          <w:color w:val="auto"/>
        </w:rPr>
      </w:pPr>
      <w:r>
        <w:rPr>
          <w:rFonts w:ascii="Times New Roman" w:cs="Times New Roman" w:eastAsia="Times New Roman" w:hAnsi="Times New Roman"/>
          <w:sz w:val="18"/>
          <w:szCs w:val="18"/>
          <w:color w:val="auto"/>
        </w:rPr>
        <w:t>Foreign currency transaction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Net loss</w:t>
      </w:r>
    </w:p>
    <w:p>
      <w:pPr>
        <w:spacing w:after="0" w:line="23" w:lineRule="exact"/>
        <w:rPr>
          <w:sz w:val="20"/>
          <w:szCs w:val="20"/>
          <w:color w:val="auto"/>
        </w:rPr>
      </w:pPr>
    </w:p>
    <w:p>
      <w:pPr>
        <w:ind w:left="760" w:right="1660"/>
        <w:spacing w:after="0" w:line="234" w:lineRule="auto"/>
        <w:rPr>
          <w:sz w:val="20"/>
          <w:szCs w:val="20"/>
          <w:color w:val="auto"/>
        </w:rPr>
      </w:pPr>
      <w:r>
        <w:rPr>
          <w:rFonts w:ascii="Times New Roman" w:cs="Times New Roman" w:eastAsia="Times New Roman" w:hAnsi="Times New Roman"/>
          <w:sz w:val="18"/>
          <w:szCs w:val="18"/>
          <w:color w:val="auto"/>
        </w:rPr>
        <w:t>Less: Net loss attributable to Definitive OpCo prior to the Reorganization Transactions</w:t>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Times New Roman" w:cs="Times New Roman" w:eastAsia="Times New Roman" w:hAnsi="Times New Roman"/>
          <w:sz w:val="18"/>
          <w:szCs w:val="18"/>
          <w:color w:val="auto"/>
        </w:rPr>
        <w:t>(101 )</w:t>
      </w:r>
    </w:p>
    <w:p>
      <w:pPr>
        <w:spacing w:after="0" w:line="9"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(1,884 )</w:t>
      </w:r>
    </w:p>
    <w:p>
      <w:pPr>
        <w:spacing w:after="0" w:line="9"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(1,985 )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14605</wp:posOffset>
            </wp:positionV>
            <wp:extent cx="8655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(12,970 )</w:t>
      </w:r>
    </w:p>
    <w:p>
      <w:pPr>
        <w:spacing w:after="0" w:line="34"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5715</wp:posOffset>
            </wp:positionV>
            <wp:extent cx="8655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jc w:val="right"/>
        <w:ind w:right="220"/>
        <w:spacing w:after="0"/>
        <w:rPr>
          <w:sz w:val="20"/>
          <w:szCs w:val="20"/>
          <w:color w:val="auto"/>
        </w:rPr>
      </w:pPr>
      <w:r>
        <w:rPr>
          <w:rFonts w:ascii="Times New Roman" w:cs="Times New Roman" w:eastAsia="Times New Roman" w:hAnsi="Times New Roman"/>
          <w:sz w:val="17"/>
          <w:szCs w:val="17"/>
          <w:color w:val="auto"/>
        </w:rPr>
        <w:t>(13,057 )</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18"/>
          <w:szCs w:val="18"/>
          <w:color w:val="auto"/>
        </w:rPr>
        <w:t>124</w:t>
      </w:r>
    </w:p>
    <w:p>
      <w:pPr>
        <w:spacing w:after="0" w:line="9"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(8,454 )</w:t>
      </w:r>
    </w:p>
    <w:p>
      <w:pPr>
        <w:spacing w:after="0" w:line="9"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(8,330 )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8483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(10,488 )</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5715</wp:posOffset>
            </wp:positionV>
            <wp:extent cx="8483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(10,488 )</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(10,488 )</w:t>
      </w:r>
    </w:p>
    <w:p>
      <w:pPr>
        <w:spacing w:after="0" w:line="141" w:lineRule="exact"/>
        <w:rPr>
          <w:sz w:val="20"/>
          <w:szCs w:val="20"/>
          <w:color w:val="auto"/>
        </w:rPr>
      </w:pPr>
    </w:p>
    <w:p>
      <w:pPr>
        <w:sectPr>
          <w:pgSz w:w="11900" w:h="16838" w:orient="portrait"/>
          <w:cols w:equalWidth="0" w:num="3">
            <w:col w:w="7720" w:space="720"/>
            <w:col w:w="860" w:space="720"/>
            <w:col w:w="1140"/>
          </w:cols>
          <w:pgMar w:left="320" w:top="684" w:right="419" w:bottom="1440" w:gutter="0" w:footer="0" w:header="0"/>
          <w:type w:val="continuous"/>
        </w:sectPr>
      </w:pPr>
    </w:p>
    <w:tbl>
      <w:tblPr>
        <w:tblLayout w:type="fixed"/>
        <w:tblInd w:w="580" w:type="dxa"/>
        <w:tblCellMar>
          <w:top w:w="0" w:type="dxa"/>
          <w:left w:w="0" w:type="dxa"/>
          <w:bottom w:w="0" w:type="dxa"/>
          <w:right w:w="0" w:type="dxa"/>
        </w:tblCellMar>
      </w:tblPr>
      <w:tr>
        <w:trPr>
          <w:trHeight w:val="207"/>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5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(4,433 )</w:t>
            </w: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0"/>
        </w:trPr>
        <w:tc>
          <w:tcPr>
            <w:tcW w:w="70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7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(8,624 )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-170815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-170815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compared to Three Months Ended March 31, 2021</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0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Revenue increased $13.2 million, or 36%, in the three months ended March 31, 2022 compared with the same period in the prior year, driven by higher subscription revenue of $13.5 million. This increase was primarily due to net expansion with existing customers as well as organic addition of new customers.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Cost of revenue increased $1.9 million, or 20%, in the three months ended March 31, 2022 compared with the same period in the prior year, primarily due to increased hosting fees, additional data subscription contracts, increases in employee benefit and insurance costs and, to a lesser extent, incremental personnel costs resulting from the acquisition of Analytical Wizards.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0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Operating expenses increased $20.1 million, or 68%, during the three months ended March 31, 2022 compared with the same period in the prior year. The increase was primarily due to:</w:t>
      </w:r>
    </w:p>
    <w:p>
      <w:pPr>
        <w:spacing w:after="0" w:line="68" w:lineRule="exact"/>
        <w:rPr>
          <w:sz w:val="20"/>
          <w:szCs w:val="20"/>
          <w:color w:val="auto"/>
        </w:rPr>
      </w:pPr>
    </w:p>
    <w:p>
      <w:pPr>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of $9.6 million for the three months ended March 31, 2022, due primarily to increased personnel costs resulting from additional hiring, as well as increases in employee benefit and insurance costs;</w:t>
      </w:r>
    </w:p>
    <w:p>
      <w:pPr>
        <w:spacing w:after="0" w:line="54" w:lineRule="exact"/>
        <w:rPr>
          <w:rFonts w:ascii="Times New Roman" w:cs="Times New Roman" w:eastAsia="Times New Roman" w:hAnsi="Times New Roman"/>
          <w:sz w:val="18"/>
          <w:szCs w:val="18"/>
          <w:color w:val="auto"/>
        </w:rPr>
      </w:pPr>
    </w:p>
    <w:p>
      <w:pPr>
        <w:ind w:left="1020" w:right="64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product development expense of $3.1 million for the three months ended March 31, 2022, due primarily to increased personnel costs resulting from additional hiring and increases in employee benefit and insurance costs;</w:t>
      </w:r>
    </w:p>
    <w:p>
      <w:pPr>
        <w:spacing w:after="0" w:line="67" w:lineRule="exact"/>
        <w:rPr>
          <w:rFonts w:ascii="Times New Roman" w:cs="Times New Roman" w:eastAsia="Times New Roman" w:hAnsi="Times New Roman"/>
          <w:sz w:val="18"/>
          <w:szCs w:val="18"/>
          <w:color w:val="auto"/>
        </w:rPr>
      </w:pPr>
    </w:p>
    <w:p>
      <w:pPr>
        <w:jc w:val="both"/>
        <w:ind w:left="1020" w:right="24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$5.9 million for the three months ended March 31, 2022, due primarily to increased personnel costs arising from additional hiring and increases in employee benefit and insurance costs, as well as additional accounting and legal expenses resulting from the transition to becoming a publicly traded company;</w:t>
      </w:r>
    </w:p>
    <w:p>
      <w:pPr>
        <w:spacing w:after="0" w:line="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type w:val="continuous"/>
        </w:sectPr>
      </w:pPr>
    </w:p>
    <w:bookmarkStart w:id="33" w:name="page34"/>
    <w:bookmarkEnd w:id="33"/>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transaction expenses of $1.3 million for the three months ended March 31, 2022, due primarily to the acquisition of Analytical Wizards.</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0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Other expense, net decreased $6.3 million, or 76%, for the three months ended March 31, 2022 compared with the same period in the prior year, due to a decrease in interest expense, net for the three months ended March 31, 2022. The decrease was attributable to lower outstanding debt in 2022, as well as lower interest rates resulting from the refinancing of the Company’s debt in September of 2021.</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Net loss for the three months ended March 31, 2022 increased by $2.6 million, or 24%, compared with the same period in the prior year, which was driven by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As of March 31, 2022, we had $229.8 million of cash and cash equivalents, $109.0 million of short-term investments and $75.0 million available under our revolving credit facility. Our principal sources of liquidity are cash and cash equivalents and short-term investments on hand, primarily from our IPO and follow-on offerings that occurred in September and November 2021, respectively, as well as the cash flows we generate from operations. Our principal uses of liquidity have been primarily for investment in long-term growth of the business through capital expenditures and acquisitions, as well as debt services and distributions to members of Definitive OpCo.</w:t>
      </w:r>
    </w:p>
    <w:p>
      <w:pPr>
        <w:spacing w:after="0" w:line="69"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color w:val="auto"/>
        </w:rPr>
        <w:t>Definitive Healthcare Corp. is a holding company, and its sole material asset is its ownership interest in Definitive OpCo. All of our business is conducted through Definitive OpCo and its consolidated subsidiaries and affiliates, and the financial results are included in the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9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6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Additionally, our liquidity and our ability to meet our obligations and fund our capital requirements are also dependent on our future financial performance, which is subject to general economic, financial and other factors that are beyond our control. See “Risk Factors” in our 2021 Form 10-K. Accordingly, we cannot provide assurance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(166,852 )</w:t>
            </w:r>
          </w:p>
        </w:tc>
        <w:tc>
          <w:tcPr>
            <w:tcW w:w="3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(3,842 )</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(4,376 )</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(1,296 )</w:t>
            </w:r>
          </w:p>
        </w:tc>
      </w:tr>
      <w:tr>
        <w:trPr>
          <w:trHeight w:val="250"/>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cash and cash equivalents (excluding effect of exchange rate changes)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(157,595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06"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Net cash provided by operations was $13.6 million during the three months ended March 31, 2022, primarily as a result of a net loss of $13.1 million, offset by non-cash charges of $24.5 million. The non-cash charges were primarily comprised of amortization of intangible assets of $14.7 million, equity compensation costs of $6.9 million, amortization of deferred contract costs of $1.9 million, a remeasurement of the tax receivable agreement of $0.2 million, and amortization of debt issuance costs of $0.2 million. The net change in operating assets and liabilities of $2.2 million was primarily the result of a decrease in accounts receivable of $8.5 million, an increase in deferred revenue of $6.2 million due to the timing of billings and cash received in advance of revenue recognition for subscription services, and a decrease in prepaid expenses and other assets of $0.7 million, partially offset by cash outflows resulting from $6.4 million in payments of contingent consideration arising from the Monocl acquisition, lower accounts payable, accrued expenses and other current liabilities, collectively, of $3.6 million, and an increase in deferred contract costs of $3.3 million.</w:t>
      </w:r>
    </w:p>
    <w:p>
      <w:pPr>
        <w:spacing w:after="0" w:line="92"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Net cash provided by operations was $13.5 million during the three months ended March 31, 2021, as a result of a net loss of $10.5 million, which was offset by non-cash charges of $16.5 million and a change of $7.5 million in our operating assets and liabilities. The non-cash charges were primarily comprised of amortization of intangible assets of $14.3 million, amortization of deferred contract costs of $0.8 million, and amortization of debt issuance costs of $0.5 million. The net change in operating assets and liabilities was primarily the result of an increase in deferred revenue of $10.4 million due to the timing of billings and cash received in advance of revenue recognition for subscription services and lower accounts receivable of $4.4 million, partially offset by a decrease in accounts payable, accrued expenses and other current liabilities of $3.9 million, an increase in deferred contract costs of $2.9 million and an increase in prepaid expenses and other current assets of $0.6 million.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0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2022 was $166.9 million, primarily driven by purchases of $109.6 million in short-term investments and $56.5 million paid to complete the purchase of Analytical Wizards (net of cash acquired).</w:t>
      </w:r>
    </w:p>
    <w:p>
      <w:pPr>
        <w:spacing w:after="0" w:line="68"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2021 was $3.8 million, driven entirely by the purchases of property, equipment, and other assets.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119"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2022 was $4.4 million, primarily driven by repayments of the 2021 Term Loan of $1.7 million, $1.3 million in payments of deferred equity offering issuance costs, and $1.1 million in payments of contingent consideration arising from the Monocl acquisition.</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2021 was $1.3 million, primarily due to repayments on the Term Loan.</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for additional information related to our debt obligations.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2021 Term Loan is for $275.0 million and has a maturity date of September 17, 2026. The 2021 Term Loan was recorded net of $3.5 million in issuance costs, which are amortized to interest expense over the term of the 2021 Term Loan using the effective interest method.</w:t>
      </w:r>
    </w:p>
    <w:p>
      <w:pPr>
        <w:spacing w:after="0" w:line="5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2021 Term Loan is subject to annual amortization of principal, payable in equal quarterly installments on the last day of each fiscal quarter, commencing on the Initial Amortization Date, equal to approximately 2.5% per annum of the principal amount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$271.6 million outstanding on the 2021 Term Loan at March 31, 2022.</w:t>
      </w:r>
    </w:p>
    <w:p>
      <w:pPr>
        <w:spacing w:after="0" w:line="6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2021 Revolving Line of Credit is committed for $75.0 million and has a maturity date of September 17, 2026. There was no outstanding balance on the 2021 Revolving Line of Credit as of March 31, 2022.</w:t>
      </w:r>
    </w:p>
    <w:p>
      <w:pPr>
        <w:spacing w:after="0" w:line="4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2021 Credit Agreement includes certain financial covenants and the Company was compliant with its financial covenants under the 2021 Credit Agreement as of March 31, 2022 and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1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the TRA with certain of our pre- IPO unitholders and the former shareholders of certain Blocker Companies. The TRA provides for the payment by Definitive Healthcare Corp. of 85.0% of the amount of any tax benefits that it actually realizes, or in some cases is deemed to realize, as a result of (i) certain favorable tax attributes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the acquisition of LLC Units by Definitive Healthcare Corp. and (iii) certain payments made under the TRA.</w:t>
      </w:r>
    </w:p>
    <w:p>
      <w:pPr>
        <w:spacing w:after="0" w:line="87"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104"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17 in our unaudited consolidated financial statements included in Part I, Item 1 of this Form 10-Q.</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1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Capital expenditures decreased by $3.0 million to $0.8 million for the three months ended March 31, 2022 compared to $3.8 million for the same period in the prior year, primarily driven by higher capital expenditures in support of the Company’s growth in the prior year that did not repeat in the first quarter of 2022.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2022, we had no off-balance sheet arrangements.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Our unaudited interim Condensed Consolidated Financial Statements have been prepared in accordance with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2021 included in our 2021 Form 10-K. There have been no material changes to these policies or estimates as of March 31, 2022.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108" w:lineRule="exact"/>
        <w:rPr>
          <w:sz w:val="20"/>
          <w:szCs w:val="20"/>
          <w:color w:val="auto"/>
        </w:rPr>
      </w:pPr>
    </w:p>
    <w:p>
      <w:pPr>
        <w:ind w:right="180" w:firstLine="509"/>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0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See new accounting pronouncements described under “—Adoption of Recently Issued Financial Accounting Standards” and “—Recently Issued Accounting Pronouncements Not Yet Adopted” within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unaudited interim condensed consolidated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Our cash, cash equivalents, and short-term investments primarily consist of cash on hand and highly liquid investments in money market funds, U.S. government securities and commercial paper. As of March 31, 2022, we had cash and cash equivalents of $229.8 million and short-term investments of $109.0 million.</w:t>
      </w:r>
    </w:p>
    <w:p>
      <w:pPr>
        <w:spacing w:after="0" w:line="82"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2021 Term Loan, which bears a variable interest rate based on the LIBO Rate or a Base Rate plus an applicable margin. In order to reduce the interest rate risk on our debt, we have entered into an interest rate swap agreement on a portion of our borrowings. As of March 31, 2022, the total principal balance outstanding was $271.6 million. Excluding the effect of the interest rate swap agreement, a hypothetical 1.0% increase or decrease in the interest rate associated with borrowings under the 2021 Credit Agreement would have resulted in an impact to interest expense of approximately $0.7 million for the three months ended March 31, 2022.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8"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To date, our sales contracts have been denominated in U.S. dollars. We have one foreign entity established in Sweden and one in India. The functional currencies of these foreign subsidiaries are the Swedish Krona and the Indian Rupee, respectively.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08"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March 31, 2022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2022,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our risks and uncertainties, see also Item 1A – Risk Factors in our 2021 Form 10-K. There have been no material changes in our risk factors since the filing of our 2021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Pursuant to the terms of the Amended LLC Agreement, holders of LLC Units have the right to exchange all or a portion of their LLC Units for newly issued shares of Class A Common Stock on a one-for-one basis. Upon any such exchange, a corresponding number of shares of Class B Common Stock held by the LLC Unit holder are cancelled.</w:t>
      </w:r>
    </w:p>
    <w:p>
      <w:pPr>
        <w:spacing w:after="0" w:line="8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March 7, 2022, we issued to stockholders 356,380 shares of Class A Common Stock upon the exchange of the same number of LLC Units and the cancellation of the corresponding shares of Class B Common Stock.</w:t>
      </w:r>
    </w:p>
    <w:p>
      <w:pPr>
        <w:spacing w:after="0" w:line="54" w:lineRule="exact"/>
        <w:rPr>
          <w:sz w:val="20"/>
          <w:szCs w:val="20"/>
          <w:color w:val="auto"/>
        </w:rPr>
      </w:pPr>
    </w:p>
    <w:p>
      <w:pPr>
        <w:ind w:firstLine="509"/>
        <w:spacing w:after="0" w:line="313" w:lineRule="auto"/>
        <w:rPr>
          <w:sz w:val="20"/>
          <w:szCs w:val="20"/>
          <w:color w:val="auto"/>
        </w:rPr>
      </w:pPr>
      <w:r>
        <w:rPr>
          <w:rFonts w:ascii="Times New Roman" w:cs="Times New Roman" w:eastAsia="Times New Roman" w:hAnsi="Times New Roman"/>
          <w:sz w:val="18"/>
          <w:szCs w:val="18"/>
          <w:color w:val="auto"/>
        </w:rPr>
        <w:t>On March 14, 2022, we issued to stockholders 175,676 shares of Class A Common Stock upon the exchange of the same number of LLC Units and the cancellation of the corresponding shares of Class B Common Stock.</w:t>
      </w:r>
    </w:p>
    <w:p>
      <w:pPr>
        <w:spacing w:after="0" w:line="27" w:lineRule="exact"/>
        <w:rPr>
          <w:sz w:val="20"/>
          <w:szCs w:val="20"/>
          <w:color w:val="auto"/>
        </w:rPr>
      </w:pPr>
    </w:p>
    <w:p>
      <w:pPr>
        <w:ind w:right="120" w:firstLine="509"/>
        <w:spacing w:after="0" w:line="297" w:lineRule="auto"/>
        <w:rPr>
          <w:sz w:val="20"/>
          <w:szCs w:val="20"/>
          <w:color w:val="auto"/>
        </w:rPr>
      </w:pPr>
      <w:r>
        <w:rPr>
          <w:rFonts w:ascii="Times New Roman" w:cs="Times New Roman" w:eastAsia="Times New Roman" w:hAnsi="Times New Roman"/>
          <w:sz w:val="18"/>
          <w:szCs w:val="18"/>
          <w:color w:val="auto"/>
        </w:rPr>
        <w:t>On March 22, 2022, we issued to a stockholder 1,532 shares of Class A Common Stock upon the exchange of the same number of LLC Units and the cancellation of the corresponding shares of Class B Common Stock.</w:t>
      </w:r>
    </w:p>
    <w:p>
      <w:pPr>
        <w:spacing w:after="0" w:line="5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March 28, 2022, we issued to stockholders 10,714 shares of Class A Common Stock upon the exchange of the same number of LLC Units and the cancellation of the corresponding shares of Class B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360" w:firstLine="509"/>
        <w:spacing w:after="0" w:line="246" w:lineRule="auto"/>
        <w:rPr>
          <w:sz w:val="20"/>
          <w:szCs w:val="20"/>
          <w:color w:val="auto"/>
        </w:rPr>
      </w:pPr>
      <w:r>
        <w:rPr>
          <w:rFonts w:ascii="Times New Roman" w:cs="Times New Roman" w:eastAsia="Times New Roman" w:hAnsi="Times New Roman"/>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500" w:type="dxa"/>
            <w:vAlign w:val="bottom"/>
            <w:gridSpan w:val="5"/>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11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160" w:type="dxa"/>
            <w:vAlign w:val="bottom"/>
            <w:vMerge w:val="restart"/>
          </w:tcPr>
          <w:p>
            <w:pPr>
              <w:ind w:left="20"/>
              <w:spacing w:after="0" w:line="227" w:lineRule="exact"/>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tc>
        <w:tc>
          <w:tcPr>
            <w:tcW w:w="120" w:type="dxa"/>
            <w:vAlign w:val="bottom"/>
            <w:vMerge w:val="restart"/>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 as adopted pursuant to Section 302</w:t>
            </w: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540" w:type="dxa"/>
            <w:vAlign w:val="bottom"/>
            <w:tcBorders>
              <w:top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w:t>
            </w:r>
          </w:p>
        </w:tc>
        <w:tc>
          <w:tcPr>
            <w:tcW w:w="740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98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w:t>
            </w:r>
          </w:p>
        </w:tc>
        <w:tc>
          <w:tcPr>
            <w:tcW w:w="49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 to</w:t>
            </w: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24"/>
                <w:szCs w:val="24"/>
                <w:color w:val="auto"/>
                <w:vertAlign w:val="superscript"/>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40" w:type="dxa"/>
            <w:vAlign w:val="bottom"/>
            <w:tcBorders>
              <w:top w:val="single" w:sz="8" w:color="0000FF"/>
            </w:tcBorders>
            <w:gridSpan w:val="2"/>
          </w:tcPr>
          <w:p>
            <w:pPr>
              <w:spacing w:after="0" w:line="177" w:lineRule="exact"/>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6500" w:type="dxa"/>
            <w:vAlign w:val="bottom"/>
            <w:gridSpan w:val="5"/>
          </w:tcPr>
          <w:p>
            <w:pPr>
              <w:ind w:left="20"/>
              <w:spacing w:after="0" w:line="177" w:lineRule="exact"/>
              <w:rPr>
                <w:sz w:val="20"/>
                <w:szCs w:val="20"/>
                <w:color w:val="auto"/>
              </w:rPr>
            </w:pPr>
            <w:r>
              <w:rPr>
                <w:rFonts w:ascii="Times New Roman" w:cs="Times New Roman" w:eastAsia="Times New Roman" w:hAnsi="Times New Roman"/>
                <w:sz w:val="18"/>
                <w:szCs w:val="18"/>
                <w:color w:val="auto"/>
              </w:rPr>
              <w:t>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101.SCH</w:t>
            </w:r>
            <w:r>
              <w:rPr>
                <w:rFonts w:ascii="Times New Roman" w:cs="Times New Roman" w:eastAsia="Times New Roman" w:hAnsi="Times New Roman"/>
                <w:sz w:val="24"/>
                <w:szCs w:val="24"/>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83"/>
        </w:trPr>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r>
              <w:rPr>
                <w:rFonts w:ascii="Times New Roman" w:cs="Times New Roman" w:eastAsia="Times New Roman" w:hAnsi="Times New Roman"/>
                <w:sz w:val="24"/>
                <w:szCs w:val="24"/>
                <w:color w:val="auto"/>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r>
              <w:rPr>
                <w:rFonts w:ascii="Times New Roman" w:cs="Times New Roman" w:eastAsia="Times New Roman" w:hAnsi="Times New Roman"/>
                <w:sz w:val="24"/>
                <w:szCs w:val="24"/>
                <w:color w:val="auto"/>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r>
              <w:rPr>
                <w:rFonts w:ascii="Times New Roman" w:cs="Times New Roman" w:eastAsia="Times New Roman" w:hAnsi="Times New Roman"/>
                <w:sz w:val="24"/>
                <w:szCs w:val="24"/>
                <w:color w:val="auto"/>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r>
              <w:rPr>
                <w:rFonts w:ascii="Times New Roman" w:cs="Times New Roman" w:eastAsia="Times New Roman" w:hAnsi="Times New Roman"/>
                <w:sz w:val="24"/>
                <w:szCs w:val="24"/>
                <w:color w:val="auto"/>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9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4"/>
                <w:szCs w:val="24"/>
                <w:color w:val="auto"/>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-2404745</wp:posOffset>
            </wp:positionV>
            <wp:extent cx="7372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05" w:lineRule="exact"/>
        <w:rPr>
          <w:sz w:val="20"/>
          <w:szCs w:val="20"/>
          <w:color w:val="auto"/>
        </w:rPr>
      </w:pPr>
    </w:p>
    <w:p>
      <w:pPr>
        <w:jc w:val="both"/>
        <w:ind w:right="180" w:firstLine="8"/>
        <w:spacing w:after="0" w:line="250" w:lineRule="auto"/>
        <w:tabs>
          <w:tab w:leader="none" w:pos="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31.1, 31.2 and 32.1 that accompany this Quarterly Report on Form 10-Q are not deemed filed with the Securities and Exchange Commission and are not to be incorporated by reference into any filing of Definitive Healthcare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7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May 5, 2022</w:t>
            </w:r>
          </w:p>
        </w:tc>
        <w:tc>
          <w:tcPr>
            <w:tcW w:w="25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0"/>
                <w:szCs w:val="20"/>
                <w:color w:val="auto"/>
              </w:rPr>
            </w:pPr>
          </w:p>
        </w:tc>
        <w:tc>
          <w:tcPr>
            <w:tcW w:w="5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Jason Krantz</w:t>
            </w:r>
          </w:p>
        </w:tc>
        <w:tc>
          <w:tcPr>
            <w:tcW w:w="0" w:type="dxa"/>
            <w:vAlign w:val="bottom"/>
          </w:tcPr>
          <w:p>
            <w:pPr>
              <w:spacing w:after="0"/>
              <w:rPr>
                <w:sz w:val="1"/>
                <w:szCs w:val="1"/>
                <w:color w:val="auto"/>
              </w:rPr>
            </w:pPr>
          </w:p>
        </w:tc>
      </w:tr>
      <w:tr>
        <w:trPr>
          <w:trHeight w:val="34"/>
        </w:trPr>
        <w:tc>
          <w:tcPr>
            <w:tcW w:w="27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Jason Krantz</w:t>
            </w:r>
          </w:p>
        </w:tc>
        <w:tc>
          <w:tcPr>
            <w:tcW w:w="0" w:type="dxa"/>
            <w:vAlign w:val="bottom"/>
          </w:tcPr>
          <w:p>
            <w:pPr>
              <w:spacing w:after="0"/>
              <w:rPr>
                <w:sz w:val="1"/>
                <w:szCs w:val="1"/>
                <w:color w:val="auto"/>
              </w:rPr>
            </w:pPr>
          </w:p>
        </w:tc>
      </w:tr>
      <w:tr>
        <w:trPr>
          <w:trHeight w:val="191"/>
        </w:trPr>
        <w:tc>
          <w:tcPr>
            <w:tcW w:w="2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25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45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May 5, 2022</w:t>
            </w:r>
          </w:p>
        </w:tc>
        <w:tc>
          <w:tcPr>
            <w:tcW w:w="25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5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Richard Booth</w:t>
            </w:r>
          </w:p>
        </w:tc>
        <w:tc>
          <w:tcPr>
            <w:tcW w:w="0" w:type="dxa"/>
            <w:vAlign w:val="bottom"/>
          </w:tcPr>
          <w:p>
            <w:pPr>
              <w:spacing w:after="0"/>
              <w:rPr>
                <w:sz w:val="1"/>
                <w:szCs w:val="1"/>
                <w:color w:val="auto"/>
              </w:rPr>
            </w:pPr>
          </w:p>
        </w:tc>
      </w:tr>
      <w:tr>
        <w:trPr>
          <w:trHeight w:val="34"/>
        </w:trPr>
        <w:tc>
          <w:tcPr>
            <w:tcW w:w="27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Richard Booth</w:t>
            </w:r>
          </w:p>
        </w:tc>
        <w:tc>
          <w:tcPr>
            <w:tcW w:w="0" w:type="dxa"/>
            <w:vAlign w:val="bottom"/>
          </w:tcPr>
          <w:p>
            <w:pPr>
              <w:spacing w:after="0"/>
              <w:rPr>
                <w:sz w:val="1"/>
                <w:szCs w:val="1"/>
                <w:color w:val="auto"/>
              </w:rPr>
            </w:pPr>
          </w:p>
        </w:tc>
      </w:tr>
      <w:tr>
        <w:trPr>
          <w:trHeight w:val="189"/>
        </w:trPr>
        <w:tc>
          <w:tcPr>
            <w:tcW w:w="2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w:t>
            </w:r>
          </w:p>
        </w:tc>
        <w:tc>
          <w:tcPr>
            <w:tcW w:w="25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Krantz, certify that:</w:t>
      </w:r>
    </w:p>
    <w:p>
      <w:pPr>
        <w:spacing w:after="0" w:line="21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Definitive Healthcare Corp.;</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20" w:right="44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640" w:val="left"/>
          <w:tab w:leader="none" w:pos="6640" w:val="left"/>
        </w:tabs>
        <w:rPr>
          <w:sz w:val="20"/>
          <w:szCs w:val="20"/>
          <w:color w:val="auto"/>
        </w:rPr>
      </w:pPr>
      <w:r>
        <w:rPr>
          <w:rFonts w:ascii="Times New Roman" w:cs="Times New Roman" w:eastAsia="Times New Roman" w:hAnsi="Times New Roman"/>
          <w:sz w:val="18"/>
          <w:szCs w:val="18"/>
          <w:color w:val="auto"/>
        </w:rPr>
        <w:t>Date:</w:t>
        <w:tab/>
        <w:t>May 5, 2022</w:t>
      </w:r>
      <w:r>
        <w:rPr>
          <w:sz w:val="20"/>
          <w:szCs w:val="20"/>
          <w:color w:val="auto"/>
        </w:rPr>
        <w:tab/>
      </w:r>
      <w:r>
        <w:rPr>
          <w:rFonts w:ascii="Times New Roman" w:cs="Times New Roman" w:eastAsia="Times New Roman" w:hAnsi="Times New Roman"/>
          <w:sz w:val="17"/>
          <w:szCs w:val="17"/>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17145</wp:posOffset>
            </wp:positionV>
            <wp:extent cx="30429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-127635</wp:posOffset>
            </wp:positionV>
            <wp:extent cx="29229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Booth, certify that:</w:t>
      </w:r>
    </w:p>
    <w:p>
      <w:pPr>
        <w:spacing w:after="0" w:line="21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Definitive Healthcare Corp.;</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20" w:right="44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680" w:val="left"/>
          <w:tab w:leader="none" w:pos="6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7"/>
          <w:szCs w:val="17"/>
          <w:color w:val="auto"/>
        </w:rPr>
        <w:t>/s/Richard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31203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-127635</wp:posOffset>
            </wp:positionV>
            <wp:extent cx="29229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Definitive Healthcare Corp. (the “Company”) for the quarterly period ended March 31, 2022 as filed with the Securities and Exchange Commission on the date hereof (the “Report”), Jason Krantz, as Chief Executive Officer of the Company, and Rick Booth, as Chief Financial Officer of the Company, each hereby certifies, pursuant to 18 U.S.C. § 1350, as adopted pursuant to § 906 of the Sarbanes-Oxley Act of 2002, that, to the best of his knowledge:</w:t>
      </w:r>
    </w:p>
    <w:p>
      <w:pPr>
        <w:spacing w:after="0" w:line="19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289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Jason Krantz</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0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289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Richard Booth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lvl w:ilvl="1">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Roman"/>
      <w:start w:val="2"/>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2022-05-05T16:21:01Z</dcterms:created>
  <dcterms:modified xsi:type="dcterms:W3CDTF">2022-05-05T16:21:01Z</dcterms:modified>
</cp:coreProperties>
</file>