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100" w:right="2840" w:hanging="4079"/>
        <w:spacing w:after="0" w:line="325"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001-40815</w:t>
      </w:r>
    </w:p>
    <w:p>
      <w:pPr>
        <w:spacing w:after="0" w:line="7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0"/>
          <w:szCs w:val="40"/>
          <w:b w:val="1"/>
          <w:bCs w:val="1"/>
          <w:color w:val="auto"/>
        </w:rPr>
        <w:t>Definitive Healthcare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5"/>
          <w:szCs w:val="15"/>
          <w:b w:val="1"/>
          <w:bCs w:val="1"/>
          <w:color w:val="auto"/>
        </w:rPr>
        <w:t>Delaware</w:t>
      </w:r>
    </w:p>
    <w:p>
      <w:pPr>
        <w:ind w:left="2020"/>
        <w:spacing w:after="0" w:line="227"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jc w:val="center"/>
        <w:ind w:right="1820"/>
        <w:spacing w:after="0" w:line="228" w:lineRule="auto"/>
        <w:rPr>
          <w:sz w:val="20"/>
          <w:szCs w:val="20"/>
          <w:color w:val="auto"/>
        </w:rPr>
      </w:pPr>
      <w:r>
        <w:rPr>
          <w:rFonts w:ascii="Times New Roman" w:cs="Times New Roman" w:eastAsia="Times New Roman" w:hAnsi="Times New Roman"/>
          <w:sz w:val="15"/>
          <w:szCs w:val="15"/>
          <w:b w:val="1"/>
          <w:bCs w:val="1"/>
          <w:color w:val="auto"/>
        </w:rPr>
        <w:t>492 Old Connecticut Path, Suite 401</w:t>
      </w:r>
    </w:p>
    <w:p>
      <w:pPr>
        <w:jc w:val="center"/>
        <w:ind w:right="1820"/>
        <w:spacing w:after="0"/>
        <w:rPr>
          <w:sz w:val="20"/>
          <w:szCs w:val="20"/>
          <w:color w:val="auto"/>
        </w:rPr>
      </w:pPr>
      <w:r>
        <w:rPr>
          <w:rFonts w:ascii="Times New Roman" w:cs="Times New Roman" w:eastAsia="Times New Roman" w:hAnsi="Times New Roman"/>
          <w:sz w:val="15"/>
          <w:szCs w:val="15"/>
          <w:b w:val="1"/>
          <w:bCs w:val="1"/>
          <w:color w:val="auto"/>
        </w:rPr>
        <w:t>Framingham, MA</w:t>
      </w:r>
    </w:p>
    <w:p>
      <w:pPr>
        <w:ind w:left="17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5"/>
          <w:szCs w:val="15"/>
          <w:b w:val="1"/>
          <w:bCs w:val="1"/>
          <w:color w:val="auto"/>
        </w:rPr>
        <w:t>86-3988281</w:t>
      </w:r>
    </w:p>
    <w:p>
      <w:pPr>
        <w:spacing w:after="0" w:line="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55"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5"/>
          <w:szCs w:val="15"/>
          <w:b w:val="1"/>
          <w:bCs w:val="1"/>
          <w:color w:val="auto"/>
        </w:rPr>
        <w:t>01701</w:t>
      </w:r>
    </w:p>
    <w:p>
      <w:pPr>
        <w:spacing w:after="0" w:line="7"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28" w:lineRule="exact"/>
        <w:rPr>
          <w:sz w:val="24"/>
          <w:szCs w:val="24"/>
          <w:color w:val="auto"/>
        </w:rPr>
      </w:pPr>
    </w:p>
    <w:p>
      <w:pPr>
        <w:sectPr>
          <w:pgSz w:w="11900" w:h="16838" w:orient="portrait"/>
          <w:cols w:equalWidth="0" w:num="2">
            <w:col w:w="7460" w:space="480"/>
            <w:col w:w="3300"/>
          </w:cols>
          <w:pgMar w:left="320" w:top="1132" w:right="339" w:bottom="1440" w:gutter="0" w:footer="0" w:header="0"/>
          <w:type w:val="continuous"/>
        </w:sect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(508) 720-4224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332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60" w:type="dxa"/>
            <w:vAlign w:val="bottom"/>
          </w:tcPr>
          <w:p>
            <w:pPr>
              <w:jc w:val="center"/>
              <w:ind w:right="66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6"/>
        </w:trPr>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Class A Common Stock, $0.001 par value</w:t>
            </w:r>
          </w:p>
        </w:tc>
        <w:tc>
          <w:tcPr>
            <w:tcW w:w="120" w:type="dxa"/>
            <w:vAlign w:val="bottom"/>
          </w:tcPr>
          <w:p>
            <w:pPr>
              <w:spacing w:after="0"/>
              <w:rPr>
                <w:sz w:val="17"/>
                <w:szCs w:val="17"/>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DH</w:t>
            </w: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860" w:type="dxa"/>
            <w:vAlign w:val="bottom"/>
            <w:tcBorders>
              <w:top w:val="single" w:sz="8" w:color="auto"/>
            </w:tcBorders>
          </w:tcPr>
          <w:p>
            <w:pPr>
              <w:jc w:val="center"/>
              <w:ind w:right="665"/>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206"/>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42"/>
        </w:trPr>
        <w:tc>
          <w:tcPr>
            <w:tcW w:w="738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860" w:type="dxa"/>
            <w:vAlign w:val="bottom"/>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161" w:lineRule="exact"/>
        <w:tabs>
          <w:tab w:leader="none" w:pos="714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50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9"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62" w:lineRule="exact"/>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000000"/>
        </w:rPr>
        <w:t>☐</w:t>
      </w:r>
    </w:p>
    <w:p>
      <w:pPr>
        <w:spacing w:after="0" w:line="1" w:lineRule="exact"/>
        <w:rPr>
          <w:sz w:val="24"/>
          <w:szCs w:val="24"/>
          <w:color w:val="auto"/>
        </w:rPr>
      </w:pPr>
    </w:p>
    <w:p>
      <w:pPr>
        <w:ind w:right="280"/>
        <w:spacing w:after="0" w:line="178" w:lineRule="exact"/>
        <w:rPr>
          <w:sz w:val="20"/>
          <w:szCs w:val="20"/>
          <w:color w:val="auto"/>
        </w:rPr>
      </w:pPr>
      <w:r>
        <w:rPr>
          <w:rFonts w:ascii="Times New Roman" w:cs="Times New Roman" w:eastAsia="Times New Roman" w:hAnsi="Times New Roman"/>
          <w:sz w:val="14"/>
          <w:szCs w:val="14"/>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000000"/>
        </w:rPr>
        <w:t>☐</w:t>
      </w:r>
    </w:p>
    <w:p>
      <w:pPr>
        <w:spacing w:after="0" w:line="1" w:lineRule="exact"/>
        <w:rPr>
          <w:sz w:val="24"/>
          <w:szCs w:val="24"/>
          <w:color w:val="auto"/>
        </w:rPr>
      </w:pPr>
    </w:p>
    <w:p>
      <w:pPr>
        <w:spacing w:after="0" w:line="161" w:lineRule="exact"/>
        <w:tabs>
          <w:tab w:leader="none" w:pos="72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right="320"/>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Class A Common Stock held by non-affiliates of the Registrant on June 28, 2024, based on the reported closing price of the Registrant’s Class A Common Stock on the Nasdaq Global Select Market on that date, was approximately $284.4 million.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Class A Common Stock outstanding as of February 24, 2025 was 112,911,325.</w:t>
      </w:r>
    </w:p>
    <w:p>
      <w:pPr>
        <w:spacing w:after="0" w:line="10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Portions of the registrant’s proxy statement for the 2025 annual meeting of stockholders to be filed pursuant to Regulation 14A within 120 days after the registrant’s fiscal year ended December 31, 2024, are incorporated by reference in Part III of this Form 10-K.</w:t>
      </w:r>
    </w:p>
    <w:p>
      <w:pPr>
        <w:spacing w:after="0" w:line="28" w:lineRule="exact"/>
        <w:rPr>
          <w:sz w:val="24"/>
          <w:szCs w:val="24"/>
          <w:color w:val="auto"/>
        </w:rPr>
      </w:pPr>
    </w:p>
    <w:p>
      <w:pPr>
        <w:ind w:left="20"/>
        <w:spacing w:after="0"/>
        <w:tabs>
          <w:tab w:leader="none" w:pos="3740" w:val="left"/>
          <w:tab w:leader="none" w:pos="7480" w:val="left"/>
        </w:tabs>
        <w:rPr>
          <w:sz w:val="20"/>
          <w:szCs w:val="20"/>
          <w:color w:val="auto"/>
        </w:rPr>
      </w:pPr>
      <w:r>
        <w:rPr>
          <w:rFonts w:ascii="Times New Roman" w:cs="Times New Roman" w:eastAsia="Times New Roman" w:hAnsi="Times New Roman"/>
          <w:sz w:val="14"/>
          <w:szCs w:val="14"/>
          <w:color w:val="auto"/>
        </w:rPr>
        <w:t>Auditor Firm Id: PCAOB No. 34</w:t>
      </w:r>
      <w:r>
        <w:rPr>
          <w:sz w:val="20"/>
          <w:szCs w:val="20"/>
          <w:color w:val="auto"/>
        </w:rPr>
        <w:tab/>
      </w:r>
      <w:r>
        <w:rPr>
          <w:rFonts w:ascii="Times New Roman" w:cs="Times New Roman" w:eastAsia="Times New Roman" w:hAnsi="Times New Roman"/>
          <w:sz w:val="14"/>
          <w:szCs w:val="14"/>
          <w:color w:val="auto"/>
        </w:rPr>
        <w:t>Auditor Name: Deloitte &amp; Touche LLP</w:t>
      </w:r>
      <w:r>
        <w:rPr>
          <w:sz w:val="20"/>
          <w:szCs w:val="20"/>
          <w:color w:val="auto"/>
        </w:rPr>
        <w:tab/>
      </w:r>
      <w:r>
        <w:rPr>
          <w:rFonts w:ascii="Times New Roman" w:cs="Times New Roman" w:eastAsia="Times New Roman" w:hAnsi="Times New Roman"/>
          <w:sz w:val="14"/>
          <w:szCs w:val="14"/>
          <w:color w:val="auto"/>
        </w:rPr>
        <w:t>Auditor Location: Boston, MA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18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Glossary</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180" w:type="dxa"/>
            <w:vAlign w:val="bottom"/>
            <w:gridSpan w:val="22"/>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Summary of 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5"/>
            <w:vMerge w:val="continue"/>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580" w:type="dxa"/>
            <w:vAlign w:val="bottom"/>
            <w:gridSpan w:val="3"/>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5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4"/>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4"/>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520" w:type="dxa"/>
            <w:vAlign w:val="bottom"/>
            <w:gridSpan w:val="2"/>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right w:val="single" w:sz="8" w:color="0000EE"/>
            </w:tcBorders>
            <w:gridSpan w:val="5"/>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4"/>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4"/>
            <w:shd w:val="clear" w:color="auto" w:fill="0000FF"/>
          </w:tcPr>
          <w:p>
            <w:pPr>
              <w:spacing w:after="0" w:line="20" w:lineRule="exact"/>
              <w:rPr>
                <w:sz w:val="1"/>
                <w:szCs w:val="1"/>
                <w:color w:val="auto"/>
              </w:rPr>
            </w:pPr>
          </w:p>
        </w:tc>
        <w:tc>
          <w:tcPr>
            <w:tcW w:w="7640" w:type="dxa"/>
            <w:vAlign w:val="bottom"/>
            <w:gridSpan w:val="1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431"/>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21" w:lineRule="exact"/>
        <w:rPr>
          <w:sz w:val="20"/>
          <w:szCs w:val="20"/>
          <w:color w:val="auto"/>
        </w:rPr>
      </w:pPr>
    </w:p>
    <w:p>
      <w:pPr>
        <w:ind w:right="100" w:firstLine="509"/>
        <w:spacing w:after="0" w:line="272" w:lineRule="auto"/>
        <w:rPr>
          <w:sz w:val="20"/>
          <w:szCs w:val="20"/>
          <w:color w:val="auto"/>
        </w:rPr>
      </w:pPr>
      <w:r>
        <w:rPr>
          <w:rFonts w:ascii="Times New Roman" w:cs="Times New Roman" w:eastAsia="Times New Roman" w:hAnsi="Times New Roman"/>
          <w:sz w:val="17"/>
          <w:szCs w:val="17"/>
          <w:color w:val="auto"/>
        </w:rPr>
        <w:t>As used in this Annual Report on Form 10-K, the terms identified below have the meanings specified below unless otherwise noted or the context indicates otherwise. References in this Form 10-K to “Definitive Healthcare Corp.” refer to Definitive Healthcare Corp. and not to any of its subsidiaries unless the context indicates otherwise. References in this Form 10-K to “Definitive Healthcare,” "Definitive," the “Company,” “we,” “us,” and “our” refer</w:t>
      </w:r>
    </w:p>
    <w:p>
      <w:pPr>
        <w:spacing w:after="0" w:line="2" w:lineRule="exact"/>
        <w:rPr>
          <w:sz w:val="20"/>
          <w:szCs w:val="20"/>
          <w:color w:val="auto"/>
        </w:rPr>
      </w:pPr>
    </w:p>
    <w:p>
      <w:pPr>
        <w:ind w:right="100" w:firstLine="8"/>
        <w:spacing w:after="0" w:line="250"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consummation of the Reorganization Transactions, to Definitive OpCo and its consolidated subsidiaries, and (2) after the consummation of the Reorganization Transactions, to Definitive Healthcare Corp. and its consolidated subsidiaries unless the context indicates otherwise.</w:t>
      </w: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Advent</w:t>
      </w:r>
      <w:r>
        <w:rPr>
          <w:rFonts w:ascii="Times New Roman" w:cs="Times New Roman" w:eastAsia="Times New Roman" w:hAnsi="Times New Roman"/>
          <w:sz w:val="18"/>
          <w:szCs w:val="18"/>
          <w:color w:val="auto"/>
        </w:rPr>
        <w:t>” refers to funds affiliated with Advent International, a global private equity firm.</w:t>
      </w:r>
    </w:p>
    <w:p>
      <w:pPr>
        <w:spacing w:after="0" w:line="9" w:lineRule="exact"/>
        <w:rPr>
          <w:rFonts w:ascii="Times New Roman" w:cs="Times New Roman" w:eastAsia="Times New Roman" w:hAnsi="Times New Roman"/>
          <w:sz w:val="18"/>
          <w:szCs w:val="18"/>
          <w:color w:val="auto"/>
        </w:rPr>
      </w:pPr>
    </w:p>
    <w:p>
      <w:pPr>
        <w:ind w:left="1020" w:right="56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Advent Acquisition</w:t>
      </w:r>
      <w:r>
        <w:rPr>
          <w:rFonts w:ascii="Times New Roman" w:cs="Times New Roman" w:eastAsia="Times New Roman" w:hAnsi="Times New Roman"/>
          <w:sz w:val="18"/>
          <w:szCs w:val="18"/>
          <w:color w:val="auto"/>
        </w:rPr>
        <w:t>” refers to the purchase of a majority of the issued and outstanding units of DH Holdings by Advent in 2019. The acquisition was accounted for as a business combination with purchase accounting applied.</w:t>
      </w:r>
    </w:p>
    <w:p>
      <w:pPr>
        <w:ind w:left="1020" w:right="22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AIDH Buyer</w:t>
      </w:r>
      <w:r>
        <w:rPr>
          <w:rFonts w:ascii="Times New Roman" w:cs="Times New Roman" w:eastAsia="Times New Roman" w:hAnsi="Times New Roman"/>
          <w:sz w:val="18"/>
          <w:szCs w:val="18"/>
          <w:color w:val="auto"/>
        </w:rPr>
        <w:t>” refers to AIDH Buyer, LLC, which is a wholly owned subsidiary of Definitive OpCo and the direct parent company of DH Holdings.</w:t>
      </w:r>
    </w:p>
    <w:p>
      <w:pPr>
        <w:jc w:val="both"/>
        <w:ind w:left="1020" w:right="6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LLC Agreement</w:t>
      </w:r>
      <w:r>
        <w:rPr>
          <w:rFonts w:ascii="Times New Roman" w:cs="Times New Roman" w:eastAsia="Times New Roman" w:hAnsi="Times New Roman"/>
          <w:sz w:val="18"/>
          <w:szCs w:val="18"/>
          <w:color w:val="auto"/>
        </w:rPr>
        <w:t>” refers to the second amended and restated limited liability company agreement entered into by Definitive Opco pursuant to which members have the right to exchange all or a portion of their LLC units for newly issued shares of Class A Common Stock in Definitive Healthcare Corp.</w:t>
      </w:r>
    </w:p>
    <w:p>
      <w:pPr>
        <w:spacing w:after="0" w:line="1" w:lineRule="exact"/>
        <w:rPr>
          <w:rFonts w:ascii="Times New Roman" w:cs="Times New Roman" w:eastAsia="Times New Roman" w:hAnsi="Times New Roman"/>
          <w:sz w:val="18"/>
          <w:szCs w:val="18"/>
          <w:color w:val="auto"/>
        </w:rPr>
      </w:pPr>
    </w:p>
    <w:p>
      <w:pPr>
        <w:ind w:left="1020" w:right="8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w:t>
      </w:r>
      <w:r>
        <w:rPr>
          <w:rFonts w:ascii="Times New Roman" w:cs="Times New Roman" w:eastAsia="Times New Roman" w:hAnsi="Times New Roman"/>
          <w:sz w:val="18"/>
          <w:szCs w:val="18"/>
          <w:color w:val="auto"/>
        </w:rPr>
        <w:t>” refers to annual recurring revenue or annualized contractually recurring revenue as of period end, which is calculated by aggregating annual subscription revenue from committed contractual amounts for all existing customers during that period.</w:t>
      </w:r>
    </w:p>
    <w:p>
      <w:pPr>
        <w:ind w:left="1020" w:right="56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Blocker Companies</w:t>
      </w:r>
      <w:r>
        <w:rPr>
          <w:rFonts w:ascii="Times New Roman" w:cs="Times New Roman" w:eastAsia="Times New Roman" w:hAnsi="Times New Roman"/>
          <w:sz w:val="18"/>
          <w:szCs w:val="18"/>
          <w:color w:val="auto"/>
        </w:rPr>
        <w:t>” refers to certain entities treated as corporations for U.S. federal income tax purposes, as defined within Note 1 to our audited consolidated financial statements included in Part II, Item 8 of this Form 10-K.</w:t>
      </w:r>
    </w:p>
    <w:p>
      <w:pPr>
        <w:ind w:left="1020" w:right="4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Pre-IPO LLC Members</w:t>
      </w:r>
      <w:r>
        <w:rPr>
          <w:rFonts w:ascii="Times New Roman" w:cs="Times New Roman" w:eastAsia="Times New Roman" w:hAnsi="Times New Roman"/>
          <w:sz w:val="18"/>
          <w:szCs w:val="18"/>
          <w:color w:val="auto"/>
        </w:rPr>
        <w:t>” refers to certain Pre-IPO LLC Members who retained their equity ownership in Definitive OpCo in the form of LLC Units immediately following the consummation of the Reorganization Transactions.</w:t>
      </w:r>
    </w:p>
    <w:p>
      <w:pPr>
        <w:ind w:left="1020" w:right="40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OpCo</w:t>
      </w:r>
      <w:r>
        <w:rPr>
          <w:rFonts w:ascii="Times New Roman" w:cs="Times New Roman" w:eastAsia="Times New Roman" w:hAnsi="Times New Roman"/>
          <w:sz w:val="18"/>
          <w:szCs w:val="18"/>
          <w:color w:val="auto"/>
        </w:rPr>
        <w:t>” refers to AIDH TopCo, LLC, a Delaware limited liability company, and a subsidiary of Definitive Healthcare Corp., following the Reorganization Transactions.</w:t>
      </w:r>
    </w:p>
    <w:p>
      <w:pPr>
        <w:ind w:left="1020" w:right="8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DH Holdings</w:t>
      </w:r>
      <w:r>
        <w:rPr>
          <w:rFonts w:ascii="Times New Roman" w:cs="Times New Roman" w:eastAsia="Times New Roman" w:hAnsi="Times New Roman"/>
          <w:sz w:val="18"/>
          <w:szCs w:val="18"/>
          <w:color w:val="auto"/>
        </w:rPr>
        <w:t>” refers to Definitive Healthcare Holdings, LLC, a Delaware limited liability company and wholly owned subsidiary of AIDH Buyer.</w:t>
      </w: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Units</w:t>
      </w:r>
      <w:r>
        <w:rPr>
          <w:rFonts w:ascii="Times New Roman" w:cs="Times New Roman" w:eastAsia="Times New Roman" w:hAnsi="Times New Roman"/>
          <w:sz w:val="18"/>
          <w:szCs w:val="18"/>
          <w:color w:val="auto"/>
        </w:rPr>
        <w:t>” refers to limited liability company interests in Definitive OpCo.</w:t>
      </w:r>
    </w:p>
    <w:p>
      <w:pPr>
        <w:spacing w:after="0" w:line="9"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LTV</w:t>
      </w:r>
      <w:r>
        <w:rPr>
          <w:rFonts w:ascii="Times New Roman" w:cs="Times New Roman" w:eastAsia="Times New Roman" w:hAnsi="Times New Roman"/>
          <w:sz w:val="18"/>
          <w:szCs w:val="18"/>
          <w:color w:val="auto"/>
        </w:rPr>
        <w:t>” refers to customer lifetime value, or the value that we expect to generate from a customer during the period that the customer continues to subscribe to our healthcare commercial intelligence platform. We calculate LTV as the product of (i) our average ARR per customer as of period end, multiplied by (ii) our Adjusted Gross Margin, divided by (iii) the annual revenue churn rate, which is defined as the percentage of ARR associated with customers that cancel during the period divided by the ARR at the beginning of the period.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refers to the initial public offering of Class A Common Stock of Definitive Healthcare Corp.</w:t>
      </w:r>
    </w:p>
    <w:p>
      <w:pPr>
        <w:spacing w:after="0" w:line="9"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NDR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Net Dollar Retention Rate</w:t>
      </w:r>
      <w:r>
        <w:rPr>
          <w:rFonts w:ascii="Times New Roman" w:cs="Times New Roman" w:eastAsia="Times New Roman" w:hAnsi="Times New Roman"/>
          <w:sz w:val="18"/>
          <w:szCs w:val="18"/>
          <w:color w:val="auto"/>
        </w:rPr>
        <w:t>”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Populi</w:t>
      </w:r>
      <w:r>
        <w:rPr>
          <w:rFonts w:ascii="Times New Roman" w:cs="Times New Roman" w:eastAsia="Times New Roman" w:hAnsi="Times New Roman"/>
          <w:sz w:val="18"/>
          <w:szCs w:val="18"/>
          <w:color w:val="auto"/>
        </w:rPr>
        <w:t>” refers to Populi, Inc., a Delaware corporation.</w:t>
      </w:r>
    </w:p>
    <w:p>
      <w:pPr>
        <w:spacing w:after="0" w:line="9" w:lineRule="exact"/>
        <w:rPr>
          <w:rFonts w:ascii="Times New Roman" w:cs="Times New Roman" w:eastAsia="Times New Roman" w:hAnsi="Times New Roman"/>
          <w:sz w:val="18"/>
          <w:szCs w:val="18"/>
          <w:color w:val="auto"/>
        </w:rPr>
      </w:pPr>
    </w:p>
    <w:p>
      <w:pPr>
        <w:ind w:left="1020" w:right="26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LLC Members</w:t>
      </w:r>
      <w:r>
        <w:rPr>
          <w:rFonts w:ascii="Times New Roman" w:cs="Times New Roman" w:eastAsia="Times New Roman" w:hAnsi="Times New Roman"/>
          <w:sz w:val="18"/>
          <w:szCs w:val="18"/>
          <w:color w:val="auto"/>
        </w:rPr>
        <w:t>” refers to certain affiliates of Spectrum Equity, Jason Krantz, DH Holdings, AIDH Management Holdings, LLC, certain affiliates of Advent and certain other minority equity holders of Definitive OpCo prior to the Reorganization Transactions.</w:t>
      </w:r>
    </w:p>
    <w:p>
      <w:pPr>
        <w:ind w:left="1020" w:right="18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Parties</w:t>
      </w:r>
      <w:r>
        <w:rPr>
          <w:rFonts w:ascii="Times New Roman" w:cs="Times New Roman" w:eastAsia="Times New Roman" w:hAnsi="Times New Roman"/>
          <w:sz w:val="18"/>
          <w:szCs w:val="18"/>
          <w:color w:val="auto"/>
        </w:rPr>
        <w:t>” refers to the shareholders of the Blocker Companies prior to the merger of the Blocker Companies into Definitive Healthcare Corp.</w:t>
      </w: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Transactions</w:t>
      </w:r>
      <w:r>
        <w:rPr>
          <w:rFonts w:ascii="Times New Roman" w:cs="Times New Roman" w:eastAsia="Times New Roman" w:hAnsi="Times New Roman"/>
          <w:sz w:val="18"/>
          <w:szCs w:val="18"/>
          <w:color w:val="auto"/>
        </w:rPr>
        <w:t>” refers to transactions completed in connection with the Company’s IPO.</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Spectrum Equity</w:t>
      </w:r>
      <w:r>
        <w:rPr>
          <w:rFonts w:ascii="Times New Roman" w:cs="Times New Roman" w:eastAsia="Times New Roman" w:hAnsi="Times New Roman"/>
          <w:sz w:val="18"/>
          <w:szCs w:val="18"/>
          <w:color w:val="auto"/>
        </w:rPr>
        <w:t>” refers to investment funds associated with Spectrum Equity Management, L.P., a private equity firm.</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refers collectively to Advent and Spectrum Equity.</w:t>
      </w:r>
    </w:p>
    <w:p>
      <w:pPr>
        <w:spacing w:after="0" w:line="9" w:lineRule="exact"/>
        <w:rPr>
          <w:rFonts w:ascii="Times New Roman" w:cs="Times New Roman" w:eastAsia="Times New Roman" w:hAnsi="Times New Roman"/>
          <w:sz w:val="18"/>
          <w:szCs w:val="18"/>
          <w:color w:val="auto"/>
        </w:rPr>
      </w:pPr>
    </w:p>
    <w:p>
      <w:pPr>
        <w:ind w:left="1020" w:right="400" w:hanging="503"/>
        <w:spacing w:after="0" w:line="25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 refers to the Tax Receivable Agreement, dated September 14, 2021, between Definitive Healthcare Corp., Definitive OpCo, and the TRA Parties.</w:t>
      </w:r>
    </w:p>
    <w:p>
      <w:pPr>
        <w:ind w:left="1020" w:right="480" w:hanging="503"/>
        <w:spacing w:after="0" w:line="260"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 Parties</w:t>
      </w:r>
      <w:r>
        <w:rPr>
          <w:rFonts w:ascii="Times New Roman" w:cs="Times New Roman" w:eastAsia="Times New Roman" w:hAnsi="Times New Roman"/>
          <w:sz w:val="18"/>
          <w:szCs w:val="18"/>
          <w:color w:val="auto"/>
        </w:rPr>
        <w:t>” refers to the Continuing Pre-IPO LLC Members, the Reorganization Parties, and any future party to the Tax Receivable Agreement.</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We caution you against relying on any forward-looking statements, which should also be read in conjunction with the other cautionary statements that are included elsewhere in this Annual Report, including under “Risk Factors” and “Management’s Discussion and Analysis of Financial Condition and Results of Operations.” Any forward-looking statement made by us speaks only as of the date on which we make it. Important factors that could cause actual results to differ materially from those in the forward-looking statements include, but are not limited to, regional, national or global political, economic, business, competitive, market, and regulatory conditions. We undertake no obligation to publicly update or revise any forward-looking statement, whether as a result of new information, future developments or otherwise, except as may be required by law.</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principal risks that may materially adversely affect our business, financial condition, results of operations and cash flows. The following is a summary only, and should be read in conjunction with Part I, Item 1A “Risk Factors” and the other information contained in this Annual Report.</w:t>
      </w:r>
    </w:p>
    <w:p>
      <w:pPr>
        <w:spacing w:after="0" w:line="176" w:lineRule="exact"/>
        <w:rPr>
          <w:sz w:val="20"/>
          <w:szCs w:val="20"/>
          <w:color w:val="auto"/>
        </w:rPr>
      </w:pPr>
    </w:p>
    <w:p>
      <w:pPr>
        <w:ind w:left="820" w:right="340" w:hanging="461"/>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sales of subscriptions to our platform or any decline in demand for our platform and the data we offer could have a material adverse effect on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840" w:right="240" w:hanging="468"/>
        <w:spacing w:after="0" w:line="282" w:lineRule="auto"/>
        <w:tabs>
          <w:tab w:leader="none" w:pos="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in which we operate is competitive, and if we do not compete effectively, it could have a material adverse effect on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840" w:right="220" w:hanging="468"/>
        <w:spacing w:after="0" w:line="282" w:lineRule="auto"/>
        <w:tabs>
          <w:tab w:leader="none" w:pos="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respond to advances in healthcare commercial intelligence, which could result in competitors surpassing the depth, breadth or accuracy of our platform;</w:t>
      </w:r>
    </w:p>
    <w:p>
      <w:pPr>
        <w:spacing w:after="0" w:line="67" w:lineRule="exact"/>
        <w:rPr>
          <w:rFonts w:ascii="Times New Roman" w:cs="Times New Roman" w:eastAsia="Times New Roman" w:hAnsi="Times New Roman"/>
          <w:sz w:val="18"/>
          <w:szCs w:val="18"/>
          <w:color w:val="auto"/>
        </w:rPr>
      </w:pPr>
    </w:p>
    <w:p>
      <w:pPr>
        <w:ind w:left="820" w:hanging="461"/>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and maintain accurate, comprehensive or reliable data, which could result in reduced demand for our platform;</w:t>
      </w:r>
    </w:p>
    <w:p>
      <w:pPr>
        <w:spacing w:after="0" w:line="130" w:lineRule="exact"/>
        <w:rPr>
          <w:rFonts w:ascii="Times New Roman" w:cs="Times New Roman" w:eastAsia="Times New Roman" w:hAnsi="Times New Roman"/>
          <w:sz w:val="18"/>
          <w:szCs w:val="18"/>
          <w:color w:val="auto"/>
        </w:rPr>
      </w:pPr>
    </w:p>
    <w:p>
      <w:pPr>
        <w:ind w:left="840" w:hanging="468"/>
        <w:spacing w:after="0"/>
        <w:tabs>
          <w:tab w:leader="none" w:pos="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growth rates may not be indicative of our future growth;</w:t>
      </w:r>
    </w:p>
    <w:p>
      <w:pPr>
        <w:spacing w:after="0" w:line="130" w:lineRule="exact"/>
        <w:rPr>
          <w:rFonts w:ascii="Times New Roman" w:cs="Times New Roman" w:eastAsia="Times New Roman" w:hAnsi="Times New Roman"/>
          <w:sz w:val="18"/>
          <w:szCs w:val="18"/>
          <w:color w:val="auto"/>
        </w:rPr>
      </w:pPr>
    </w:p>
    <w:p>
      <w:pPr>
        <w:ind w:left="840" w:hanging="468"/>
        <w:spacing w:after="0"/>
        <w:tabs>
          <w:tab w:leader="none" w:pos="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achieve or sustain profitability in the future compared to historical levels as we increase investments in our business;</w:t>
      </w:r>
    </w:p>
    <w:p>
      <w:pPr>
        <w:spacing w:after="0" w:line="130" w:lineRule="exact"/>
        <w:rPr>
          <w:rFonts w:ascii="Times New Roman" w:cs="Times New Roman" w:eastAsia="Times New Roman" w:hAnsi="Times New Roman"/>
          <w:sz w:val="18"/>
          <w:szCs w:val="18"/>
          <w:color w:val="auto"/>
        </w:rPr>
      </w:pPr>
    </w:p>
    <w:p>
      <w:pPr>
        <w:ind w:left="820" w:right="140" w:hanging="448"/>
        <w:spacing w:after="0" w:line="282" w:lineRule="auto"/>
        <w:tabs>
          <w:tab w:leader="none" w:pos="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of our access to our data providers could negatively impact our platform and have a material adverse effect on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840" w:right="180" w:hanging="468"/>
        <w:spacing w:after="0" w:line="282" w:lineRule="auto"/>
        <w:tabs>
          <w:tab w:leader="none" w:pos="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maintain and improve our platform, or develop new modules, functionality, or insights for healthcare commercial intelligence, whereby competitors could surpass the depth, breadth or accuracy of our platform;</w:t>
      </w:r>
    </w:p>
    <w:p>
      <w:pPr>
        <w:spacing w:after="0" w:line="67" w:lineRule="exact"/>
        <w:rPr>
          <w:rFonts w:ascii="Times New Roman" w:cs="Times New Roman" w:eastAsia="Times New Roman" w:hAnsi="Times New Roman"/>
          <w:sz w:val="18"/>
          <w:szCs w:val="18"/>
          <w:color w:val="auto"/>
        </w:rPr>
      </w:pPr>
    </w:p>
    <w:p>
      <w:pPr>
        <w:ind w:left="820" w:right="80" w:hanging="461"/>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new customers and expand subscriptions of current customers could negatively impact our revenue growth and financial performance;</w:t>
      </w:r>
    </w:p>
    <w:p>
      <w:pPr>
        <w:spacing w:after="0" w:line="67" w:lineRule="exact"/>
        <w:rPr>
          <w:rFonts w:ascii="Times New Roman" w:cs="Times New Roman" w:eastAsia="Times New Roman" w:hAnsi="Times New Roman"/>
          <w:sz w:val="18"/>
          <w:szCs w:val="18"/>
          <w:color w:val="auto"/>
        </w:rPr>
      </w:pPr>
    </w:p>
    <w:p>
      <w:pPr>
        <w:ind w:left="820" w:right="120" w:hanging="461"/>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 between Russia and Ukraine, the conflict in Israel and surrounding areas, global geopolitical and trade tensions, and worsening global macroeconomic conditions could have a material adverse effect on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820" w:right="140" w:hanging="461"/>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those of third parties upon which we rely, or our data are or were compromised, we could experience material adverse effects on our reputation,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820" w:right="160" w:hanging="448"/>
        <w:spacing w:after="0" w:line="282" w:lineRule="auto"/>
        <w:tabs>
          <w:tab w:leader="none" w:pos="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security measures are breached or unauthorized access to data is otherwise obtained, our platform may be perceived as not being secure, customers may reduce the use of or stop using our platform, and we may incur significant liabilities;</w:t>
      </w:r>
    </w:p>
    <w:p>
      <w:pPr>
        <w:spacing w:after="0" w:line="67" w:lineRule="exact"/>
        <w:rPr>
          <w:rFonts w:ascii="Times New Roman" w:cs="Times New Roman" w:eastAsia="Times New Roman" w:hAnsi="Times New Roman"/>
          <w:sz w:val="18"/>
          <w:szCs w:val="18"/>
          <w:color w:val="auto"/>
        </w:rPr>
      </w:pPr>
    </w:p>
    <w:p>
      <w:pPr>
        <w:ind w:left="820" w:hanging="448"/>
        <w:spacing w:after="0" w:line="261" w:lineRule="auto"/>
        <w:tabs>
          <w:tab w:leader="none" w:pos="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previously identified a material weakness in our internal control over financial reporting, and although we have remediated this material weakness, we cannot assure you that additional material weaknesses or significant deficiencies will not occur in the future. If we fail to maintain an effective system of internal controls, we may not be able to accurately report our financial results or prevent fraud. As a result, our stockholders could lose confidence in our financial reporting, which could harm our business and the trading price of our common stock; and</w:t>
      </w:r>
    </w:p>
    <w:p>
      <w:pPr>
        <w:spacing w:after="0" w:line="85" w:lineRule="exact"/>
        <w:rPr>
          <w:rFonts w:ascii="Times New Roman" w:cs="Times New Roman" w:eastAsia="Times New Roman" w:hAnsi="Times New Roman"/>
          <w:sz w:val="18"/>
          <w:szCs w:val="18"/>
          <w:color w:val="auto"/>
        </w:rPr>
      </w:pPr>
    </w:p>
    <w:p>
      <w:pPr>
        <w:ind w:left="820" w:right="920" w:hanging="448"/>
        <w:spacing w:after="0" w:line="282" w:lineRule="auto"/>
        <w:tabs>
          <w:tab w:leader="none" w:pos="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be harmed if we are required to collect sales or other related taxes for subscriptions to our platform in jurisdictions where we have not historically done so.</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mission is to transform data, analytics, and expertise into healthcare commercial intelligence. We help clients uncover the right markets, opportunities, and people, so they can shape tomorrow’s healthcare industry. Our software-as-a-service (“SaaS”) platform creates new paths to commercial success in the healthcare market, so companies can identify where to go next.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Definitive Healthcare is a leading provider of healthcare commercial intelligence. Our solutions are designed to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important to the commercial success of our approximately 2,500 customers as of December 31, 2024. We generally define a customer as a company that maintains one or more active paid subscriptions to our platform.</w:t>
      </w:r>
    </w:p>
    <w:p>
      <w:pPr>
        <w:spacing w:after="0" w:line="75"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Our healthcare commercial intelligence platform brings together comprehensive, in-depth and high-quality intelligence, a powerful artificial intelligence engine, and an intuitive front-end SaaS platform, which have all been built, modified and improved upon over the last 13 years to create a highly differentiated offering.</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Definitive Healthcare was founded in 2011 and incorporated as Definitive Healthcare Corp. in May 2021 for the purposes of facilitating an IPO of its Class A Common Stock, which was completed on September 17, 2021. The Company is headquartered in Framingham, MA. Our primary website address is www.definitivehc.com. The information on our website is not incorporated herein or otherwise part of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Definitive Healthcare Platform</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SaaS-based healthcare commercial intelligence platform is designed to provide comprehensive and accurate information on the healthcare ecosystem in the U.S. The platform uses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Sources and Data Engine</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comprehensive, high-quality healthcare commercial intelligence is made up of thousands of data sources and billions of data points that enrich and power our platform. We transform this data into intelligence through artificial intelligence and machine learning (“A.I.”) algorithms that ingest, cleanse, link, and analyze the data to create powerful new intelligence and analytics. Each new data source and each new algorithm created by our data science team makes our entire platform and the intelligence modules contained within more valuable to our clients. Built and enhanced since our inception, our platform contains a full 360-degree, longitudinal view of the healthcare ecosystem and depicts how the ecosystem connects together, creating a true barrier to entry.</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Competition and Competitive Strengths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operate in a highly fragmented market. We have a competitive advantage that is based on our comprehensive dataset built up over 14 years, our application of the data science, which has created proprietary intelligence and linkages that we do not see elsewhere, and a user interface that provides customers access to answers, not data, in an integrated manner. Our competitive strengths include:</w:t>
      </w:r>
    </w:p>
    <w:p>
      <w:pPr>
        <w:spacing w:after="0" w:line="64" w:lineRule="exact"/>
        <w:rPr>
          <w:sz w:val="20"/>
          <w:szCs w:val="20"/>
          <w:color w:val="auto"/>
        </w:rPr>
      </w:pPr>
    </w:p>
    <w:p>
      <w:pPr>
        <w:ind w:left="1140" w:right="400" w:hanging="504"/>
        <w:spacing w:after="0" w:line="268"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Proprietary Healthcare-specific Commercial Intelligence</w:t>
      </w:r>
      <w:r>
        <w:rPr>
          <w:rFonts w:ascii="Times New Roman" w:cs="Times New Roman" w:eastAsia="Times New Roman" w:hAnsi="Times New Roman"/>
          <w:sz w:val="18"/>
          <w:szCs w:val="18"/>
          <w:color w:val="auto"/>
        </w:rPr>
        <w:t>. We have built proprietary intelligence via first-party research, aggregated,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linked, cleansed, and inferred information from thousands of data sources and we have tied billions of data points together into a comprehensive view of the entire U.S. healthcare ecosystem.</w:t>
      </w:r>
    </w:p>
    <w:p>
      <w:pPr>
        <w:spacing w:after="0" w:line="62" w:lineRule="exact"/>
        <w:rPr>
          <w:rFonts w:ascii="Times New Roman" w:cs="Times New Roman" w:eastAsia="Times New Roman" w:hAnsi="Times New Roman"/>
          <w:sz w:val="18"/>
          <w:szCs w:val="18"/>
          <w:color w:val="auto"/>
        </w:rPr>
      </w:pPr>
    </w:p>
    <w:p>
      <w:pPr>
        <w:ind w:left="1140" w:right="140" w:hanging="504"/>
        <w:spacing w:after="0" w:line="268"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 Integrated Data and Technology Foundation that Creates a Flywheel of Innovation. </w:t>
      </w:r>
      <w:r>
        <w:rPr>
          <w:rFonts w:ascii="Times New Roman" w:cs="Times New Roman" w:eastAsia="Times New Roman" w:hAnsi="Times New Roman"/>
          <w:sz w:val="18"/>
          <w:szCs w:val="18"/>
          <w:color w:val="auto"/>
        </w:rPr>
        <w:t>Our technology platform provides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foundation for rapid product development and innovation by leveraging our existing data assets to produce new modules and features that solve a growing number of business problems.</w:t>
      </w:r>
    </w:p>
    <w:p>
      <w:pPr>
        <w:spacing w:after="0" w:line="62" w:lineRule="exact"/>
        <w:rPr>
          <w:rFonts w:ascii="Times New Roman" w:cs="Times New Roman" w:eastAsia="Times New Roman" w:hAnsi="Times New Roman"/>
          <w:sz w:val="18"/>
          <w:szCs w:val="18"/>
          <w:color w:val="auto"/>
        </w:rPr>
      </w:pPr>
    </w:p>
    <w:p>
      <w:pPr>
        <w:ind w:left="1140" w:right="160" w:hanging="504"/>
        <w:spacing w:after="0" w:line="286"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Powerful Go-to-Market Engine. </w:t>
      </w:r>
      <w:r>
        <w:rPr>
          <w:rFonts w:ascii="Times New Roman" w:cs="Times New Roman" w:eastAsia="Times New Roman" w:hAnsi="Times New Roman"/>
          <w:sz w:val="18"/>
          <w:szCs w:val="18"/>
          <w:color w:val="auto"/>
        </w:rPr>
        <w:t>We have a highly efficient and effective go-to-market engine that combines effective marketing with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inside sales force comprised of highly trained, vertically focused sales executives.</w:t>
      </w:r>
    </w:p>
    <w:p>
      <w:pPr>
        <w:spacing w:after="0" w:line="46" w:lineRule="exact"/>
        <w:rPr>
          <w:rFonts w:ascii="Times New Roman" w:cs="Times New Roman" w:eastAsia="Times New Roman" w:hAnsi="Times New Roman"/>
          <w:sz w:val="18"/>
          <w:szCs w:val="18"/>
          <w:color w:val="auto"/>
        </w:rPr>
      </w:pPr>
    </w:p>
    <w:p>
      <w:pPr>
        <w:ind w:left="1140" w:hanging="504"/>
        <w:spacing w:after="0" w:line="286"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Visionary Management Team with a Track Record of Execution. </w:t>
      </w:r>
      <w:r>
        <w:rPr>
          <w:rFonts w:ascii="Times New Roman" w:cs="Times New Roman" w:eastAsia="Times New Roman" w:hAnsi="Times New Roman"/>
          <w:sz w:val="18"/>
          <w:szCs w:val="18"/>
          <w:color w:val="auto"/>
        </w:rPr>
        <w:t>Our management team has a strong track record of exceptional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and of building an award-winning culture to attract and retain highly talented individuals.</w:t>
      </w:r>
    </w:p>
    <w:p>
      <w:pPr>
        <w:spacing w:after="0" w:line="5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While we believe no competitor matches our breadth of data and intelligence solutions or offers as comprehensive and accurate a commercial intelligence platform, we compete either directly or indirectly with:</w:t>
      </w:r>
    </w:p>
    <w:p>
      <w:pPr>
        <w:spacing w:after="0" w:line="54" w:lineRule="exact"/>
        <w:rPr>
          <w:sz w:val="20"/>
          <w:szCs w:val="20"/>
          <w:color w:val="auto"/>
        </w:rPr>
      </w:pPr>
    </w:p>
    <w:p>
      <w:pPr>
        <w:ind w:left="1140" w:hanging="50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raw claims data providers, such as Clarivate, IQVIA, and Symphony Health;</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point solution players, such as AcuityMD, RepSignal, and MedScout;</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Niche healthcare specialists, such as Komodo Health, H1 Healthcare, Marketware, Trella Health, and Trilliant Health;</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Ecosystem players that may house or analyze similar intelligence, such as SG2 and Veeva;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Horizontal go-to-market intelligence platforms, such as ZoomInfo, LinkedIn, and Dun &amp; Bradstreet.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principal competitive factors in our markets are:</w:t>
      </w:r>
    </w:p>
    <w:p>
      <w:pPr>
        <w:spacing w:after="0" w:line="117" w:lineRule="exact"/>
        <w:rPr>
          <w:sz w:val="20"/>
          <w:szCs w:val="20"/>
          <w:color w:val="auto"/>
        </w:rPr>
      </w:pPr>
    </w:p>
    <w:p>
      <w:pPr>
        <w:ind w:left="1140" w:hanging="50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Depth, breadth, and accuracy of healthcare-specific commercial intelligence;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subject matter expertise;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and data science capabilities;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and deployment;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intend to drive growth through the following strategies:</w:t>
      </w:r>
    </w:p>
    <w:p>
      <w:pPr>
        <w:spacing w:after="0" w:line="113" w:lineRule="exact"/>
        <w:rPr>
          <w:sz w:val="20"/>
          <w:szCs w:val="20"/>
          <w:color w:val="auto"/>
        </w:rPr>
      </w:pPr>
    </w:p>
    <w:p>
      <w:pPr>
        <w:ind w:left="1140" w:hanging="50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Expanding our relationships with existing customers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Continuing to innovate to strengthen our platform and market leadership position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Making selective strategic acquisitions and investments</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6"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integrated platform is designed to drive commercial success for companies that sell into or compete in the healthcare ecosystem, creating large end-markets for us, including life sciences, healthcare information technology ("HCIT"), healthcare providers and other diversified companies, such as staffing firms, commercial real estate firms, financial institutions and other organizations seeking commercial success in the attractive, but complex, healthcare ecosystem.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Go-to-Market Strategy</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believe we have a very efficient go-to-market model, driven by a high-velocity inside sales and marketing team, experienced sales executives (“SEs”) and a well-defined verticalized sales strategy.</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go-to-market strategy begins with a high-velocity marketing engine that generates more than 10,000 inbound Marketing Qualified Leads (“MQLs”) each year. These inbound leads are quickly converted into demos for our SEs, who are organized into specific verticals. This vertical specialization ensures that each SE understands the specific business problems of their customers and can guide them through an online demo to the exact intelligence that will be most impactful to their business. As our brand presence continues to grow, we have seen a significant increase in the number of inbound MQLs received.</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complement our marketing efforts with a highly targeted outbound effort focused on important prospects across our target universe of over 100,000 companies, with an estimated total addressable market of more than $10 billion. These companies are prioritized and targeted with a measurable outbound effort led by our inside sales representative team.</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Once a new company signs up as a subscriber, they are transferred to our Customer Experience managers (“CX”) who assist with onboarding and training, answering questions, and maintaining a “health score,” which is a predictive metric used to determine whether customers are likely to renew their subscription. In addition, an account executive (“AE”) is typically assigned to each customer, with a focus on deepening the relationship and identifying opportunities to expand the relationship to new departments and sell additional intelligence modules and workflow products. The CX and AE teams are also organized by vertical end market to ensure appropriate subject matter expertise.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at Definitive Healthcare</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community has continued to grow rapidly since our founding 13 years ago. While our people are primarily concentrated in the Boston metro area, we have expanded globally and increased our reach with a flourishing remote employee base.</w:t>
      </w:r>
    </w:p>
    <w:p>
      <w:pPr>
        <w:spacing w:after="0" w:line="5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2024, our workforce included 782 employees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of whom 525 were based in the U.S., 50 were based in Europe, and another 207 were based in India. Functionally, our workforce includes 326 in sales and marketing, 195 in product development, 177 in professional services and customer support, and 84 in general and administrative roles. Our workforce is comprised of a wide variety of professionals, including business development representatives, data scientists, software engineers, and more.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People and culture</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consistently receive workplace accolades. We have been recognized by The Boston Globe as a Top Place to Work several times over the past eight years and were named a “Top Workplace in the USA” by Energage for the third consecutive year.</w:t>
      </w:r>
    </w:p>
    <w:p>
      <w:pPr>
        <w:spacing w:after="0" w:line="54"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are committed to putting our community first. For us that means centering our culture around collaboration and community engagement. DefinitiveCares, our employee-led charitable organization, is at the core of our company culture. The mission of DefinitiveCares is to give back to the community through employee-led volunteer initiatives.</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a company, we are collaborative, energetic, approachable, and driven. These attributes have allowed us to develop and maintain our customer-focused culture, where we are not afraid to roll up our sleeves to get the job done. We also realize that there is more to life than work, so we try to have some fun together and ensure that every employee maintains a healthy work-life balance.</w:t>
      </w:r>
    </w:p>
    <w:p>
      <w:pPr>
        <w:spacing w:after="0" w:line="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46" w:right="439" w:bottom="1440" w:gutter="0" w:footer="0" w:header="0"/>
        </w:sectPr>
      </w:pPr>
    </w:p>
    <w:bookmarkStart w:id="8" w:name="page9"/>
    <w:bookmarkEnd w:id="8"/>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At Definitive Healthcare, we invite everyone to come as they are. We value our employees’ unique perspectives, backgrounds, and voices because these diverse experiences drive new ideas and help us build a better community.</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addition, our employee-led affinity groups provide a way for everyone to come together and share their common experiences. Alongside their allies, these employees promote a sense of community, belonging, and understanding at Definitive Healthcare.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wellness, and total rewards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goal is to offer a best-in-class total rewards package that supports employees and their families, attracts top talent, and ensures pay equity. We provide competitive pay and benefits to attract and retain high quality talent. As part of our total rewards package, U.S. employees are eligible for variable compensation and we pay for employees’ individual full medical coverage, in addition to providing generous healthcare, investment, retirement, educational assistance and reimbursement, and paid time off.</w:t>
      </w:r>
    </w:p>
    <w:p>
      <w:pPr>
        <w:spacing w:after="0" w:line="7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Promoting a culture that supports health and well-being continues to be a priority for the organization. We have implemented a hybrid work environment, enabling all employees to work between our offices and remotely, which we believe enables greater flexibility for a successful work-life balance. Since 2022, we have offered unlimited paid time off and expanded parental leave for U.S.-based employees.</w:t>
      </w:r>
    </w:p>
    <w:p>
      <w:pPr>
        <w:spacing w:after="0" w:line="6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reward high performance and effort, regardless of experience or title. We recognize employees who do exceptional work four times a year through our Trailblazer awards, which are granted to those who embody our guiding principles in extraordinary ways, and recipients are determined by employee nominations.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Development and Advancement</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Our people are our greatest asset. Enabling their career growth and upward mobility is critical to retaining and engaging our talent. We provide employees with the tools, learning, and internal opportunities to find their path and build the skills and abilities to take on new roles. As part of our offerings, we provide a comprehensive learning management system, with a mix of professional, technical, managerial, and leadership development programs across a number of learning pathways.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Each year, we conduct a robust talent review process that includes performance assessments and goal setting to enable growth and employee advancement while creating alignment with both company goals and values. This process ties into our compensation strategy to ensure that we reward and incentivize our high performers.</w:t>
      </w:r>
    </w:p>
    <w:p>
      <w:pPr>
        <w:spacing w:after="0" w:line="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4"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Our data driven platform and our approach to keeping it current is our defensive moat and protecting our intellectual property is a crucial aspect of our business. While, as of December 31, 2024, we have not pursued any patents, we secure and protect our intellectual property rights in material unregistered intellectual property by entering into invention assignment contracts with all of our employees and confidentiality agreements with our employees, vendors, customers, and other parties with whom we conduct business and share confidential information to control access to our proprietary information, technology and processes. We consider our trademark and related names, marks, and logos to be of material importance to our business, and we have registered or applied for registration for certain of these trademarks, including Definitive Healthcare.</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continually assess our strategy with respect to the protection of new intellectual property and intend to pursue additional avenues to intellectual property protection to the extent we believe it would be cost-effective and beneficial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information we collect, use, disclose, and/or otherwise process about individuals from healthcare organizations, and healthcare professionals in the ordinary course of our business is integral to providing a comprehensive healthcare commercial intelligence platform and our other products to our customers. As a result, numerous state, federal, and foreign laws, including consumer protection laws, regulations, industry standards, and other obligations govern our collection, use, disclosure, and/or processing of personal data, including health-related information. For example, in the United States, numerous federal and state laws and regulations, including data breach notification laws, health information privacy and security laws, including Health Insurance Portability and Accountability Act, as amended by the Health Information Technology for Economic and Clinical Health Act, and their implementing regulations (collectively, “HIPAA”), federal and state consumer protection laws and regulations (e.g., Section 5 of the Federal Trade Commission Act), and other similar laws (e.g., wiretapping) govern the collection, use, disclosure, protection, and/or processing of health-related and other personal data and apply, or could apply, to our operations or the operations of our partners or customers.</w:t>
      </w:r>
    </w:p>
    <w:p>
      <w:pPr>
        <w:spacing w:after="0" w:line="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certain individual U.S. state laws, such as the CCPA and foreign laws such as the European Union’s General Data Protection Regulation (“GDPR”) and the United Kingdom’s GDPR (“UK GDPR”) govern the privacy and security of personal data, including health-related information in certain circumstances, some of which, in certain aspects, are more stringent than HIPAA and many of which differ from each other in significant ways, thus complicating our compliance efforts. Any actual or perceived failure to comply with these laws, where applicable, can result in the imposition of significant administrative (e.g., regulatory fines and sanctions), civil and/or criminal penalties and private litigation. Data privacy and security laws, regulations, industry standards, and other obligations are constantly evolving, may conflict with each other, and can result in investigations, proceedings, or actions that lead to significant penalties and restrictions on data processing.</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Other Available Information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make our Annual Report on Form 10-K, Quarterly Reports on Form 10-Q, Current Reports on Form 8-K, and all amendments to these filings, available free of charge as soon as reasonably practicable after we electronically file such material with, or furnish it to, the SEC on our website at https://ir.definitivehc.com/financial-information/sec-filings or by contacting our Investor Relations department at our office address listed above. The SEC maintains an Internet site that contains reports, proxy and information statements and other information regarding issuers that file electronically with the SEC at www.sec.gov. The contents of these websites are not incorporated into this filing. Further, the Company’s references to the URLs for these websites are intended to be inactive textual references only.</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each of the following risk factors, as well as other information contained in this Form 10-K, including “Management’s Discussion and Analysis of Financial Condition and Results of Operations” and our audited consolidated financial statements and related notes. The occurrence of any of the following risks could have a material adverse effect on our business, financial condition and results of operations, in which case the trading price of our Class A Common Stock could decline and you could lose all or part of your investment. Additional risks and uncertainties that we are unaware of, or that we currently believe are not material, may also become important factors that adversely affect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substantially all of our revenue from sales of subscriptions to our platform and any decline in demand for our platform and the data we offer could have a material adverse effect on our business, financial condition and results of operations.</w:t>
      </w:r>
    </w:p>
    <w:p>
      <w:pPr>
        <w:spacing w:after="0" w:line="5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we derived 97% of our revenue from subscription services, and we expect to continue to generate substantially all of our revenue from the sale of subscriptions to our platform. As a result, the continued use of healthcare provider data, sales intelligence and healthcare market analytics by the healthcare ecosystem is critical to our future growth and success. If the healthcare data market fails to grow, or grows more slowly than we currently anticipate, or if there is a decrease in the use of healthcare commercial intelligence, demand for our platform would be negatively affected. For example, difficult macroeconomic conditions have impacted our existing and prospective customers, which has in some cases resulted in longer deal cycles, more stringent approval processes and deferred purchasing decisions, and we expect this to continue until macroeconomic conditions improve.</w:t>
      </w:r>
    </w:p>
    <w:p>
      <w:pPr>
        <w:spacing w:after="0" w:line="10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Changes in preferences for healthcare commercial intelligence may have a disproportionately greater impact on us than if we offered diversified solutions. Demand for healthcare data in general, and our platform in particular, is affected by a number of factors, many of which are beyond our control. Some of these factors include:</w:t>
      </w:r>
    </w:p>
    <w:p>
      <w:pPr>
        <w:spacing w:after="0" w:line="68" w:lineRule="exact"/>
        <w:rPr>
          <w:sz w:val="20"/>
          <w:szCs w:val="20"/>
          <w:color w:val="auto"/>
        </w:rPr>
      </w:pPr>
    </w:p>
    <w:p>
      <w:pPr>
        <w:ind w:left="1140" w:right="480" w:hanging="504"/>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and acceptance of the healthcare commercial intelligence platform category generally, and the growth and evolution of the category and our addressable market;</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products and services that compete with our platform;</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features and user experience, and the development and acceptance of new features, integrations and capabilities;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consistently procure high-quality and useful data;</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support we provide;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accessibility across several operating system and applications;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workflow insights and technologies;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and their impacts on users of healthcare data.</w:t>
      </w:r>
    </w:p>
    <w:p>
      <w:pPr>
        <w:spacing w:after="0" w:line="13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market in which we operate is subject to rapidly changing user demand and preference trends. Failure to successfully predict and address these trends, meet user demands or achieve more widespread market acceptance of our platform could have a material adverse effect on our business, financial condition and results of operations.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12" w:name="page13"/>
    <w:bookmarkEnd w:id="12"/>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 which we operate is highly competitive, such that if we do not compete effectively, it could have a material adverse effect on our business, financial condition and results of operations.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market in which we operate is becoming increasingly competitive as large, well-funded organizations in the healthcare ecosystem, including life sciences companies, healthcare providers and HCIT companies, among others, develop internal technologies to create healthcare commercial intelligence. Demand for our platform is also price sensitive. Many factors, including our marketing, customer acquisition and technology costs, and the pricing and marketing strategies of our competitors, can significantly affect our pricing strategies. Such competition may result in pricing pressures, reduced profit margins or lost market share, or a failure to grow or maintain our market share, any of which could have a material adverse effect on our business, financial condition and results of operations. Our competitors may expand their operations to internally analyze data relating to the healthcare ecosystem. Many of our competitors have significant competitive advantages over us, including longer operating histories, internal datasets and greater financial, sales and marketing, research and development and other resources. In addition, some of our competitors may make acquisitions or enter into strategic relationships to offer a more comprehensive or affordable range of solutions and platform than we do. We also expect that there will be significant competition as we continue to expand our intelligence modules and enter new verticals. Our inability to compete successfully against our competitors and maintain our gross margin could have a material adverse effect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respond to advances in healthcare commercial intelligence, competitors could surpass the depth, breadth or accuracy of our platform.</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Current or future competitors may seek to develop new solutions for more efficiently transforming, cleansing and linking data and creating healthcare commercial intelligence. Such actions may enable a competitor to create a platform that is comparable or superior to ours, that takes substantial market share from us, or that creates or maintains healthcare commercial intelligence at a lower cost than we currently provide. We expect continuous improvements in computer hardware, network operating systems, programming tools, programming languages, large language models (“LLMs”) and A.I. technology, operating systems, data matching, data filtering, data predicting and other database technologies and the use of the Internet. These improvements, as well as changes in customer preferences or regulatory requirements, may require changes in the technology used to process and analyze data. Our future success will depend, in part, upon our ability to internally develop and implement new and competitive intelligence modules and features, use third-party technologies to source data effectively, and respond to advances in healthcare commercial intelligence and technology. If we fail to respond to changes in healthcare commercial intelligence or technology, our competitors may be able to develop solutions that will take market share from us, and the demand for our platform, the delivery of our solutions or our market reputation could be adversely impacted, which could have a material adverse effect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obtain and maintain accurate, comprehensive or reliable data, we could experience reduced demand for our platform.</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healthcare landscape is complex, opaque and constantly evolving and our success depends in large part on our customers’ confidence in the depth, breadth and accuracy of our data and analytics. The task of providing a comprehensive view of the healthcare ecosystem, including information on healthcare providers, physicians and how they are affiliated and interconnected, how they refer patients to each other, the quality of care they provide and procedure and diagnosis volumes, is challenging and expensive. Many of our contracts with our customers include a contractual right pursuant to which our customers may unilaterally terminate their subscription with us and we could be obligated to reimburse certain payments if customers experience any issues with the availability of the platform. Unavailability of our platform for routine scheduled maintenance does not trigger the termination right. If the data we obtain from third parties and our own first party research cannot be obtained on a timely basis, or at all, or maintained, customers may be dissatisfied with our platform reducing the likelihood of customers to renew or upgrade their subscriptions. In addition, if we are no longer able to maintain accuracy in our data and analytics, we may face service disruptions, regulatory or privacy activist scrutiny, or legal claims by our customers, which could have a material adverse effect on our business, reputation, financial condition, or results of operations.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rates have fluctuated and may not be indicative of our future growth.</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revenue growth has fluctuated in prior periods. You should not rely on the revenue growth of any prior quarterly or annual period as an indication of our future performance. We cannot guarantee that we will increase or sustain our revenue growth rate in future periods. Further, as we operate in a new and rapidly changing market, widespread acceptance and use of our platform is critical to our future growth and success. Our revenue growth has in the past slowed and may in the future slow or our revenue may decline for a number of other reasons, including reduced demand for our platform, increased competition, a decrease in the growth or reduction in size of our overall market, failure to capitalize on growth opportunities, and the impacts to our business from macroeconomic factors such as the Russia-Ukraine war, the evolving conflict in Israel and surrounding areas, global geopolitical and trade tensions, and more recently, inflation and high interest rates, volatility in the capital markets and related market uncertainty. Our current and prospective customers are impacted by difficult macroeconomic conditions to varying degrees and as a result, in some cases we are observing deal cycles lengthen for new and existing customers, as well as more stringent approval processes and deferred purchasing decisions, which we expect will impact our growth unless macroeconomic conditions improve.</w:t>
      </w:r>
    </w:p>
    <w:p>
      <w:pPr>
        <w:spacing w:after="0" w:line="86"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expect our operating expenses to increase in future periods, and if our revenue growth does not increase to offset these anticipated increases in our operating expenses, it will have a material adverse effect on our business, financial condition and results of operations and we may not be able to achieve or maintain profitability. Further, our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it could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achieve or sustain profitability in the future as we increase investments in our business or experience operational challenges.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incurred operating losses in the past and may continue to incur net losses in the future. For the year ended December 31, 2024, we had a net loss of $591.4 million, compared to a net loss of $289.6 million for the year ended December 31, 2023. We expect our operating expenses to increase in the future as we invest capital to make acquisitions, develop new features, add to our existing intelligence modules and invest in new products and data sources. While in light of macroeconomic conditions we have made efforts to contain our operating expenses, including implementation of restructuring plans (the “Plans”) in the first and third quarters of 2023 and in the first quarter of 2024, such efforts may not achieve the cost savings that we expect. Our efforts to grow our business may be more costly than we expect and we may not be able to increase our revenue enough to offset higher operating expenses. We may not be able to achieve or sustain profitability in subsequent periods and we may incur significant losses in the future for a number of reasons, including the foregoing as well as unforeseen expenses, difficulties, complications and delays, the other risks described in this Annual Report and other unknown events. The amount of any future net losses will depend, in part, on the growth of our future expenses and our ability to generate revenue. If we incur losses in the future, any such future losses will have an adverse effect on our stockholders’ equity and working capital. If we are unable to achieve or sustain profitability, the market price of our Class A Common Stock may significantly decrease and our ability to raise capital, expand our business or continue our operations may be impaired. A decline in the price of our Class A Common Stock may cause you to lose all or part of your investment.</w:t>
      </w:r>
    </w:p>
    <w:p>
      <w:pPr>
        <w:spacing w:after="0" w:line="29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lose our access to our data providers, which could negatively impact our platform and could have a material adverse effect on our business, financial condition and results of operations.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platform depends extensively upon continued access to and receipt of data from external sources, including real-time claims data, as well as data received from customers, strategic partners and various government and public records repositories. In some cases, we compete with our data providers. Our data providers could stop providing data for any reason, provide outdated data or inaccurate data or increase the costs for their data 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data providers in a way that allows us to legally use the data. If we were to lose access to this external data, either temporarily or permanently, or if our access or use were restricted or were to become less economical or desirable, our ability to provide the full breadth of our healthcare commercial intelligence on our platform could be negatively impacted, which could have a material adverse effect on our business, financial condition and results of operations. If our competitors are able to purchase similar external data on better terms, our ability to compete would be harmed. We cannot provide assurance that we will be successful in maintaining our relationships with these external data providers or that we will be able to continue to obtain data from them on acceptable terms or at all. Further, we cannot provide assurance that we will be able to obtain adequate data on commercially acceptable terms from alternative sources if our current sources become unavailable.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4" w:name="page15"/>
    <w:bookmarkEnd w:id="14"/>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ability to introduce new features, intelligence modules, updates, integrations, capabilities and enhancements to our existing platform is dependent on innovation and our research and product development resources. If our investments in innovation do not translate into material enhancements to our platform or if those investments are more costly than we expect, we may not be able to effectively compete, which could have a material adverse effect on our business, financial condition and results of operations.</w:t>
      </w:r>
    </w:p>
    <w:p>
      <w:pPr>
        <w:spacing w:after="0" w:line="7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ability to compete effectively and to attract new customers and increase revenue from existing customers depends in large part on our ability to continually enhance and improve our platform and the features, intelligence modules and capabilities we offer. It also requires the introduction of compelling new features, intelligence modules and capabilities that reflect the changing nature of our market and available novel technologies (such as A.I. technologies) to maintain and improve the quality and value of our platform, which depends on our ability to continue investing in innovation and our successful execution and our efforts to improve and enhance our platform. There can be no guarantee that we will be able to develop, acquire, or integrate such capabilities. The success of any enhancement to our platform depends on several factors, including availability, frequent updates, analytics reflecting current healthcare commercial intelligence,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Maintaining adequate research and product development resources, such as the appropriate personnel and development technology, to meet the demands of the market is essential. Moreover, innovation can be technically challenging and expensive. If we are unable to successfully develop new features, integrations and capabilities to enhance our platform to meet the requirements of current and prospective customers or otherwise gain widespread market acceptance, it could have a material adverse effect on our business, financial condition and results of operations. In addition, the introduction of new services embodying new technologies could render certain of our existing services obsolete.</w:t>
      </w:r>
    </w:p>
    <w:p>
      <w:pPr>
        <w:spacing w:after="0" w:line="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 our competitors may expend more resources on their respective innovation programs or may be acquired by larger companies that would allocate greater resources to our competitors’ innovation programs or our competitors may be more efficient and/or successful in their innovation activities. Our failure to continue to innovate or to effectively compete with the innovation programs of larger, better-funded companies would give an advantage to such competitors and could have a material adverse effect on our business, financial condition and results of operations.</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and expand subscriptions of current customers, our revenue growth and financial performance will be negatively impacted.</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To increase our revenue and achieve profitability, we must retain and grow the subscriptions of existing customers and attract new customers. We price our services on a tiered subscription-based model that allows our customers to choose a core plan based on their needs and the customers subscribe to the platform on a per user per month basis. Customers can then add users and intelligence modules for additional monthly rates depending on their individual needs. We seek to expand existing customer subscriptions by adding new customers and intelligence modules, including through expanding the adoption of our platform into other departments within existing customers. We do not know whether we will continue to achieve similar customer acquisition, retention, and subscription growth rates in future periods as we have in the past, including in light of recently difficult macroeconomic conditions, which we have seen result in lengthening deal cycles that we expect will continue until macroeconomic conditions improve. Numerous other factors have in the past impeded, and may also in the future impede, our ability to add new customers and retain and expand existing customer subscriptions, including failure to hire effective sales personnel, adequately train new sales personnel, provide a high-quality customer experience and ensure the effectiveness of our go-to-market programs that drive customer referrals. Additionally, increasing our sales to enterprise organizations (including customers generating more than $100,000 in ARR, which we refer to as “Enterprise Customers”) requires increasingly sophisticated and costly sales and account management efforts targeted at senior management and other personnel and generally involve longer sales cycles. If our efforts to sell to Enterprise Customers are not successful or do not generate additional revenue, our growth will suffer, which could have a material adverse effect on our business, financial condition and results of operations.</w:t>
      </w:r>
    </w:p>
    <w:p>
      <w:pPr>
        <w:spacing w:after="0" w:line="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Moreover, our business is subscription-based, and therefore our customers are not obligated to renew their subscriptions after their existing subscriptions expire, which has occurred in the past and may continue to occur in the future. Customers have also renewed at a lower price, including by choosing to reduce the intelligence modules to which they have access and reducing their number of users, and may continue to do so in the future. Most of our subscriptions are sold for multi-year terms, though some organizations purchase a one-year subscription plan. While our subscription agreements typically provide for automatic renewal, our customers have, and may continue to, opt-out of automatic renewal and customers have no obligation to renew a subscription after the expiration of the term. Our customers may or may not renew their subscriptions as a result of a number of factors, including their satisfaction or dissatisfaction with our platform, decreases in the number of users at the organization, our pricing or pricing structure, the pricing or capabilities of the products and services offered by our competitors, the effects of economic conditions (including as a result of general economic downturns and difficult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5" w:name="page16"/>
    <w:bookmarkEnd w:id="15"/>
    <w:p>
      <w:pPr>
        <w:ind w:right="120"/>
        <w:spacing w:after="0" w:line="254" w:lineRule="auto"/>
        <w:rPr>
          <w:sz w:val="20"/>
          <w:szCs w:val="20"/>
          <w:color w:val="auto"/>
        </w:rPr>
      </w:pPr>
      <w:r>
        <w:rPr>
          <w:rFonts w:ascii="Times New Roman" w:cs="Times New Roman" w:eastAsia="Times New Roman" w:hAnsi="Times New Roman"/>
          <w:sz w:val="18"/>
          <w:szCs w:val="18"/>
          <w:color w:val="auto"/>
        </w:rPr>
        <w:t>macroeconomic conditions) or reductions in our paying customers’ spending levels. Our contracts typically require advance notice to terminate a contract in the absence of a default by the Company. In addition, our customers have in the past, and may continue to in the future, renew for shorter contract lengths if they were previously on multi-year contracts or switch to lower cost offerings of our platform. Our attrition rates have, and may continue to,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we fail to add more users, or if we fail to expand subscriptions of existing customers, our revenue may decline or grow less quickly than anticipated and we may not be able to achieve our anticipated LTV from our customer relationships, which could have a material adverse effect on our business, financial condition and results of operations.</w:t>
      </w:r>
    </w:p>
    <w:p>
      <w:pPr>
        <w:spacing w:after="0" w:line="296"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A.I., and the integration of A.I. with our products and services, may not be successful and may present business, compliance, and reputational challenges which could lead to operational or reputational damage, competitive harm, and additional costs.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leverage the use of A.I. in the provision of our solutions and anticipate the use of A.I. to grow. As with many developing technologies, A.I. presents risks and challenges that could affect its further development, adoption, and use, and therefore our business. A.I. algorithms may be flawed. Datasets may be insufficient, of poor quality, or contain biased information. If the recommendations, forecasts, analyses, or results that A.I. applications assist in producing are deficient or inaccurate, we could be subjected to competitive harm, potential legal liability, and brand or reputational harm. Some A.I. scenarios present ethical issues. Though our business practices are designed to mitigate many of these risks, if we enable or offer A.I. solutions that are controversial because of their purported or real impact on human rights, data privacy, employment, or other social issues, we may experience brand or reputational harm.</w:t>
      </w:r>
    </w:p>
    <w:p>
      <w:pPr>
        <w:spacing w:after="0" w:line="8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our competitors, customers, or other third parties may incorporate A.I. into their products more quickly or more successfully than us, which could impair our ability to compete effectively. If any third-party A.I. tools are trained using or otherwise leverage any of our proprietary data or data sets, our competitive advantage may be impaired, and our ability to commercialize our own A.I. tools or such data and data sets may be undermined, damaging our operations and business.</w:t>
      </w:r>
    </w:p>
    <w:p>
      <w:pPr>
        <w:spacing w:after="0" w:line="2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offer the optimal pricing and packaging of our solutions, which could negatively impact our growth strategy and ability to effectively compete in the market.</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make changes to our pricing model from time to time. Demand for our solutions is sensitive to price, and depends substantially on levels of expenditures by our customers and their ability to access capital. Sustained market uncertainty can also result in lower demand and pricing for our products and services. Current or prospective customers may choose not to subscribe or renew their subscriptions due to costs. Further, certain of our competitors have offered, and may in the future offer, lower-priced or free services that compete with our platform or may bundle functionality compatible with our platform and/or offer a broader range of solutions, which have been and may be preferred by current or prospective customers. Similarly, certain competitors may use marketing strategies that enable them to acquire customers more rapidly and/or at a lower cost than us. In addition, if our mix of features and capabilities on our platform changes or if we develop additional intelligence modules for specific use cases or additional premium versions, then we may need or choose to revise our pricing.</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16" w:name="page17"/>
    <w:bookmarkEnd w:id="16"/>
    <w:p>
      <w:pPr>
        <w:jc w:val="both"/>
        <w:ind w:right="7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deploying our solutions, we rely upon third-party providers of cloud-based infrastructure (“Cloud Providers”) to provide our services. Any disruption in the operations of Cloud Providers or interference with our use of Cloud Providers would adversely affect our business, results of operations and financial condition.</w:t>
      </w:r>
    </w:p>
    <w:p>
      <w:pPr>
        <w:spacing w:after="0" w:line="6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outsource infrastructure relating to our cloud offerings to Cloud Providers. Customers of our cloud-based solutions need to be able to access our platform at any time, without interruption or degradation of performance. Our cloud-based solutions depend on protecting the virtual cloud infrastructure hosted by Cloud Providers by maintaining its configuration, architecture, features and interconnection specifications, as well as the information stored in these virtual data centers and which third-party internet service providers transmit. Any incident affecting our Cloud Providers’ infrastructure that may be caused by fire, flood, severe storm, earthquake or other natural disasters, cyber- attacks and other cybersecurity threats, computer viruses, power failure, terrorist or other attacks, and other similar events beyond our control could negatively affect our cloud-based solutions. A prolonged service disruption affecting our cloud-based offerings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Cloud Provider services we use.</w:t>
      </w:r>
    </w:p>
    <w:p>
      <w:pPr>
        <w:spacing w:after="0" w:line="86"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7"/>
          <w:szCs w:val="17"/>
          <w:color w:val="auto"/>
        </w:rPr>
        <w:t>In the event that our service agreements with our Cloud Providers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offering for deployment on a different cloud infrastructure service provider, which may adversely affect our business, operating results and financial condition.</w:t>
      </w:r>
    </w:p>
    <w:p>
      <w:pPr>
        <w:spacing w:after="0" w:line="26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more of our sales efforts target larger Enterprise Customers, our sales cycle has in the past, and may again in the future, become longer and more expensive, and we have in the past encountered, and may again in the future encounter, pricing pressure and implementation and configuration challenges that have required us, and may again in the future require us, to delay revenue recognition for some complex transactions, all of which could have a material adverse effect on our business, financial condition and results of operations.</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Enterprise Customers are a key focus of our go-to-market programs. As we target more of our sales efforts at larger Enterprise Customers, we have in the past faced, and may continue to in the future face, longer sales cycles, greater competition, more complex customer due diligence, less favorable contractual terms, and less predictability in completing some of our sales. These efforts have also in the past caused, and may again in the future cause, disruptions in our sales efforts impacting both new customer acquisition and upsell to existing customers. Consequently, a target customer’s decision to use our solutions may be an enterprise-wide decision and, if so, these types of sales would require us to provide greater levels of education regarding the use and benefits of our platform, as well as education regarding data privacy and security obligations to prospective customers. In addition, larger Enterprise Customers and governmental entities may demand more configuration and integration services and features. As a result of these factors, these sales opportunities may require us to devote greater sales support and professional services resources to smaller Enterprise Customers, which could increase the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our ability to improve our sales of products to large Enterprise Customers is partially dependent on us continuing to attract and retain sales personnel with experience in selling to large organizations. Also, because security breaches with respect to larger, high-profile Enterprise Customers are likely to be heavily publicized, there is increased reputational risk associated with serving such customers. If we are unable to continue to increase sales of our products to large Enterprise Customers while mitigating the risks associated with serving such customers, our business, financial position, and results of operations may suffer.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experience, our business and reputation will suffer.</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Numerous factors may impact a customer’s experience which may in turn impact the likelihood of such customer renewing its subscription. Those factors include the usability of the platform, the depth, breadth and accuracy of the data, the adequacy of our data synthesis, and the quality of our onboarding, training, account management and customer technical and support functions. Our number of customers has grown rapidly, and the continued growth that we anticipate will put additional pressure on our customer experience programs. It may be difficult for us to identify, recruit, train and manage enough employees with sufficient skill and talent in each area of the customer experience to adequately scale those functions to match the growth of our customer base. In addition, larger Enterprise Customers and customers with larger subscriptions are more demanding of our customer experience programs. If and as we add additional large Enterprise Customers and increase the annual contract value of existing subscriptions, we may need to devote even more resources to such programs, and we may find it difficult to effectively scale those programs. If we do not adequately scale our customer experience operations to meet the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17" w:name="page18"/>
    <w:bookmarkEnd w:id="17"/>
    <w:p>
      <w:pPr>
        <w:ind w:right="220"/>
        <w:spacing w:after="0" w:line="289" w:lineRule="auto"/>
        <w:rPr>
          <w:sz w:val="20"/>
          <w:szCs w:val="20"/>
          <w:color w:val="auto"/>
        </w:rPr>
      </w:pPr>
      <w:r>
        <w:rPr>
          <w:rFonts w:ascii="Times New Roman" w:cs="Times New Roman" w:eastAsia="Times New Roman" w:hAnsi="Times New Roman"/>
          <w:sz w:val="17"/>
          <w:szCs w:val="17"/>
          <w:color w:val="auto"/>
        </w:rPr>
        <w:t>demands of our growing customer base, an increase in large Enterprise Customers and large customer subscriptions, or if we otherwise fail to provide an overall high-quality customer experience, fewer customers could renew or upgrade their subscriptions, and our reputation could suffer, negatively impacting our ability to acquire new customers, which could have a material adverse effect on our business, financial condition and results of operations.</w:t>
      </w:r>
    </w:p>
    <w:p>
      <w:pPr>
        <w:spacing w:after="0" w:line="50"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 addition, from time to time customers rely upon our support teams to resolve technical issues relating to our platform. We may be unable to respond quickly enough to accommodate short-term increases in customer demand for support services. Increased customer demand for these services, without corresponding revenue, could increase costs and adversely affect our reputation and results of operations.</w:t>
      </w:r>
    </w:p>
    <w:p>
      <w:pPr>
        <w:spacing w:after="0" w:line="2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or unauthorized parties could use our platform in a manner that is contrary to our values or applicable law, which could harm our relationships with customers or employees, or expose us to litigation or harm our reputation.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Because our platform includes health information about millions of individuals and businesses, some of which we source ourselves and some of which is provided by third-party data providers and de-identified, our platform and data could be misused by customers or by parties who have obtained access to our platform without authorization to access individuals’ health information for purposes that we would not permit, including to perpetrate scams. Our customers could use our platform for purposes beyond the scope of their contractual terms or applicable laws or regulations which may retain Company data post termination. For example, our customers are subject to broad healthcare fraud and abuse laws that may limit their appropriate use of our platform and information obtained therein. In addition, third parties could gain access to our platform through our customers or through malfeasance or cyber-attacks and use our platform for purposes other than its intended purpose or to create products that compete with our platform. Our customers’ or third parties’ misuse of our platform, inconsistent with its permitted use, could result in reputational damage, adversely affect our ability to attract new customers, expose us to potential litigation and cause existing customers to reduce or discontinue the use of our platform, any of which could have a material adverse effect on our business, financial condition and results of operations.</w:t>
      </w:r>
    </w:p>
    <w:p>
      <w:pPr>
        <w:spacing w:after="0" w:line="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brand may be negatively affected by the actions of persons using our platform that are hostile or inappropriate, by the actions of individuals acting under false or inauthentic identities, by the use of our platform to disseminate information that is misleading (or intended to manipulate opinions), by perceived or actual efforts by governments to obtain access to user information for security-related purposes or to censor certain content on our platform, or by the use of our platform for illicit, objectionable or illegal ends. Further, we may fail to respond expeditiously or appropriately to the inappropriate use of our platform outside of the terms of a customers’ subscription, which could erode confidence in our business.</w:t>
      </w:r>
    </w:p>
    <w:p>
      <w:pPr>
        <w:spacing w:after="0" w:line="28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acquire and invest in companies or technologies, including through partnerships with other companies, we may not realize expected business or financial benefits and the acquisitions or investments could prove difficult to integrate, disrupt our business, dilute stockholder value and adversely affect our business, financial condition and results of operations.</w:t>
      </w:r>
    </w:p>
    <w:p>
      <w:pPr>
        <w:spacing w:after="0" w:line="6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part of our business strategy, we make investments in, or acquisitions of, complementary businesses, solutions, databases and technologies, and we expect that we will continue to make such investments and acquisitions in the future to further grow our business and our platform. For example, in July 2023, we completed our acquisition of Populi, a provider-focused data and analytics company that works with healthcare organizations to optimize physician relationships, reduce network leakage, and expand market share, and are in the process of integrating Populi’s business with ours.</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strategy to make selective acquisitions to complement our platform depends on our ability to identify, and the availability of, suitable acquisition candidates. We may not be able to find suitable acquisition candidates in the future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or investors, and could have adverse effects on our existing business relationships.</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Similarly, our strategy to engage in partnerships to complement our sales channels and product offerings depends on our ability to identify, and the availability of, suitable partnership candidates. We may not be able to find suitable partners in the future and we may not be able to complete partnerships on favorable terms, if at all. Partnerships may not be implemented in a way that effectively integrates into our operations, and costs in connection with partnerships may be higher than the expected value therefrom, such that we may incur unanticipated losses or costs, either due to lost opportunities or sunk costs associated with resourcing the partnerships over other native product development and commercialization opportunities. These costs could adversely affect our financial condition, results of operations or prospects. Any partnership we complete could be viewed negatively by customers, users or investors, and could have adverse effects on our existing business relationships.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8" w:name="page19"/>
    <w:bookmarkEnd w:id="18"/>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Acquisitions and other transactions, arrangements and investments involve numerous risks and could create unforeseen operating difficulties and expenditures, including:</w:t>
      </w:r>
    </w:p>
    <w:p>
      <w:pPr>
        <w:spacing w:after="0" w:line="54" w:lineRule="exact"/>
        <w:rPr>
          <w:sz w:val="20"/>
          <w:szCs w:val="20"/>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to achieve the expected benefits on a timely basis or at all;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the cost of, integrating operations, technologies, solutions and platforms;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managerial resources from existing operations;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entry into new markets in which we have little or no experience or where competitors may have stronger market positions;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acquired assets or investments and potential financial and credit risks associated with acquired customers;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our values and those of our acquired companies;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re-training key employees of acquired companies and integrating them into our organizational structure and corporate culture;</w:t>
      </w:r>
    </w:p>
    <w:p>
      <w:pPr>
        <w:spacing w:after="0" w:line="128" w:lineRule="exact"/>
        <w:rPr>
          <w:rFonts w:ascii="Times New Roman" w:cs="Times New Roman" w:eastAsia="Times New Roman" w:hAnsi="Times New Roman"/>
          <w:sz w:val="17"/>
          <w:szCs w:val="17"/>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financial costs of, addressing acquired compensation structures inconsistent with our compensation structure;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to offset acquisition or investment costs;</w:t>
      </w:r>
    </w:p>
    <w:p>
      <w:pPr>
        <w:spacing w:after="0" w:line="117" w:lineRule="exact"/>
        <w:rPr>
          <w:rFonts w:ascii="Times New Roman" w:cs="Times New Roman" w:eastAsia="Times New Roman" w:hAnsi="Times New Roman"/>
          <w:sz w:val="18"/>
          <w:szCs w:val="18"/>
          <w:color w:val="auto"/>
        </w:rPr>
      </w:pPr>
    </w:p>
    <w:p>
      <w:pPr>
        <w:ind w:left="1140" w:right="80" w:hanging="504"/>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or changes in, relationships with customers and partners of the acquired business and costs to optimize any redundant data provider agreements;</w:t>
      </w:r>
    </w:p>
    <w:p>
      <w:pPr>
        <w:spacing w:after="0" w:line="53" w:lineRule="exact"/>
        <w:rPr>
          <w:rFonts w:ascii="Times New Roman" w:cs="Times New Roman" w:eastAsia="Times New Roman" w:hAnsi="Times New Roman"/>
          <w:sz w:val="18"/>
          <w:szCs w:val="18"/>
          <w:color w:val="auto"/>
        </w:rPr>
      </w:pPr>
    </w:p>
    <w:p>
      <w:pPr>
        <w:jc w:val="both"/>
        <w:ind w:left="1140" w:right="440" w:hanging="504"/>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53" w:lineRule="exact"/>
        <w:rPr>
          <w:rFonts w:ascii="Times New Roman" w:cs="Times New Roman" w:eastAsia="Times New Roman" w:hAnsi="Times New Roman"/>
          <w:sz w:val="18"/>
          <w:szCs w:val="18"/>
          <w:color w:val="auto"/>
        </w:rPr>
      </w:pPr>
    </w:p>
    <w:p>
      <w:pPr>
        <w:ind w:left="1140" w:right="160" w:hanging="504"/>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with, and costs related to, transitioning the acquired technology onto our existing platform and customer acceptance of a new or changed platform on a temporary or permanent basis;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augmenting the acquired technologies and platforms to the levels that are consistent with our brand and reputation;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acquired platforms to impact the financial performance of existing platform;</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 maintaining the security standards for acquired technology consistent with our platform;</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associated with the acquired businesses, including risks associated with acquired technologies;</w:t>
      </w:r>
    </w:p>
    <w:p>
      <w:pPr>
        <w:spacing w:after="0" w:line="117" w:lineRule="exact"/>
        <w:rPr>
          <w:rFonts w:ascii="Times New Roman" w:cs="Times New Roman" w:eastAsia="Times New Roman" w:hAnsi="Times New Roman"/>
          <w:sz w:val="18"/>
          <w:szCs w:val="18"/>
          <w:color w:val="auto"/>
        </w:rPr>
      </w:pPr>
    </w:p>
    <w:p>
      <w:pPr>
        <w:ind w:left="1140" w:right="40" w:hanging="504"/>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relating to the structure of an investment, such as governance, accountability and decision-making conflicts that may arise in the context of a joint venture or other majority ownership investments;</w:t>
      </w:r>
    </w:p>
    <w:p>
      <w:pPr>
        <w:spacing w:after="0" w:line="53" w:lineRule="exact"/>
        <w:rPr>
          <w:rFonts w:ascii="Times New Roman" w:cs="Times New Roman" w:eastAsia="Times New Roman" w:hAnsi="Times New Roman"/>
          <w:sz w:val="18"/>
          <w:szCs w:val="18"/>
          <w:color w:val="auto"/>
        </w:rPr>
      </w:pPr>
    </w:p>
    <w:p>
      <w:pPr>
        <w:ind w:left="1140" w:right="40" w:hanging="504"/>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effect on our results of operations because of the depreciation and amortization of amounts related to acquired intangible assets, fixed assets and deferred compensation;</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stock-based compensation;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acquired unearned revenue and unbilled unearned revenue;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customer purchases due to uncertainty related to any acquisition;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or inadequate controls, procedures and policies at the acquired company;</w:t>
      </w:r>
    </w:p>
    <w:p>
      <w:pPr>
        <w:spacing w:after="0" w:line="117" w:lineRule="exact"/>
        <w:rPr>
          <w:rFonts w:ascii="Times New Roman" w:cs="Times New Roman" w:eastAsia="Times New Roman" w:hAnsi="Times New Roman"/>
          <w:sz w:val="18"/>
          <w:szCs w:val="18"/>
          <w:color w:val="auto"/>
        </w:rPr>
      </w:pPr>
    </w:p>
    <w:p>
      <w:pPr>
        <w:ind w:left="1140" w:right="240" w:hanging="504"/>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challenges caused by integrating operations over distance and across different languages, cultures and political environments;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and regulatory risks and potential additional cybersecurity and compliance risks resulting from entry into new markets;</w:t>
      </w:r>
    </w:p>
    <w:p>
      <w:pPr>
        <w:spacing w:after="0" w:line="117" w:lineRule="exact"/>
        <w:rPr>
          <w:rFonts w:ascii="Times New Roman" w:cs="Times New Roman" w:eastAsia="Times New Roman" w:hAnsi="Times New Roman"/>
          <w:sz w:val="18"/>
          <w:szCs w:val="18"/>
          <w:color w:val="auto"/>
        </w:rPr>
      </w:pPr>
    </w:p>
    <w:p>
      <w:pPr>
        <w:ind w:left="1140" w:right="260" w:hanging="504"/>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and costs of any such acquisitions, including the related integration into our tax structure and assessment of the impact on the realizability of our future tax assets or liabilities; and</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challenges by governmental authorities, including the U.S. Department of Justice, for anti-competitive or other reasons.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9" w:name="page20"/>
    <w:bookmarkEnd w:id="19"/>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Any of these risks could harm our business. In addition, to facilitate these acquisitions or investments, we may seek additional equity or debt financing, which may not be available on terms favorable to us or at all, including in light of difficult macroeconomic conditions such as high interest rates and volatility in the capital markets, and may affect our ability to complete subsequent acquisitions or investments and increase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adequate operational and financial resources, particularly if we grow rapidly, we may be unable to execute our business plan or maintain high levels of service and customer satisfaction.</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experienced rapid growth in the past, and may experience rapid growth again, which has placed, and may again place, significant demands on our management and our operational and financial resources. In addition, our organizational structure has become more complex as we scale our reporting systems and procedures and our operational, financial and management controls with international expansion. As we grow, we have faced, and may continue to face, challenges of integrating, developing, training, and motivating a growing employee base in our various offices and maintaining our company culture across multiple offices. Certain members of our management have not previously worked together for an extended period of time, which may affect how they manage our growth. If we fail to manage our anticipated growth and change in a manner that preserves the key aspects of our corporate culture, the quality of our solutions may suffer, which could negatively affect our brand and reputation and harm our ability to retain and attract users, employees, and customers.</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To manage future growth in our operations and personnel, we may need to expand and improve our operational, financial, and management controls and our reporting systems and procedures. We may require significant capital expenditures and the allocation of valuable management resources to grow and change in these areas. Our expansion has placed, and our potential future growth may continue to place, a significant strain on our management, customer experience, innovation, sales and marketing, administrative, financial, and other resources. In light of macroeconomic conditions and their actual and potential future impacts on our business, we have made and expect to continue to make efforts to contain our operating expenses, including the implementation of restructuring plans. These efforts have placed, and may again place, additional strain on our employees and other resources and divert attention from our operations, and may continue do so, which could impact our ability to operate our business effectively.</w:t>
      </w:r>
    </w:p>
    <w:p>
      <w:pPr>
        <w:spacing w:after="0" w:line="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Significant additional investments may be required to scale our operations and increase productivity, to address the needs of our customers, to further develop and enhance our platform,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as we expand our business, it is important that we continue to maintain a high level of customer service and satisfaction. If our customer base continues to grow, we will need to increase our account management, customer service, and other personnel, which will require more complex management and systems. Additionally, since a significant portion of our new business is derived from customer referrals, customers may be less likely to refer new customers if they are not satisfied with our platform. If we are not able to continue to provide high levels of customer service, it could have a material adverse effect on our business, financial condition, and results of operations.</w:t>
      </w:r>
    </w:p>
    <w:p>
      <w:pPr>
        <w:spacing w:after="0" w:line="2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or an inability to attract and retain other highly skilled employees could have a material adverse effect on our business, financial condition and results of operations.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key employees. We rely on our leadership team in the areas of sales and marketing, product development, strategy and corporate development and network development. From time to time, there have been and may in the future be changes in our executive management team resulting from the hiring or departure of executives, which could disrupt our business. For example, we have recently experienced significant management turnover, including our appointment of Kevin Coop as our Chief Executive Officer. Additionally, following discussions regarding the scope of the role of Chief Financial Officer, Richard Booth, the Company’s Chief Financial Officer, and the Company agreed that Mr. Booth will be leaving the Company effective June 1, 2025. After a thorough search process, our board of directors appointed Casey Heller, our current Senior Vice President of Finance, to the role of Chief Financial Officer effective on June 2, 2025. While we seek to manage these transitions carefully, including by establishing strong processes and procedures and succession planning, such changes may result in a loss of institutional knowledge and cause disruption to our business. The loss of one or more of our executive officers or key employees could have a material adverse effect on our business, financial condition and results of operations.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0" w:name="page21"/>
    <w:bookmarkEnd w:id="20"/>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employees. Competition for these employees is intense, especially for data scientists experienced in designing and developing software and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employees have greater resources than us and may be able to offer more attractive terms of employment. In addition, we invest significant time and expense in training our employees, which increases their value to competitors who may seek to recruit them.</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employees or fail to retain and motivate our current employees, our business and future growth prospects could be materially and adversely affected.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many of our essential technologies and systems are custom-made for our business by our key employees. The loss of key employees, including members of our management team, as well as certain of our sales, data scientists or other technology employees could disrupt our operations and have an adverse effect on our ability to grow and maintain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protect and maintain our brand, our reputation may be harmed and our ability to attract and retain customers will be impaired.</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believe that developing, protecting and maintaining awareness of our brand is critical to achieving widespread acceptance of our platform and is an important element in attracting new organizations to our platform. Further, we believe that the importance of brand recognition will increase as competition in our market increases. Successful promotion of our brand will depend largely on the effectiveness of our marketing efforts and on our ability to ensure that our platform remains high-quality, reliable and useful at competitive prices.</w:t>
      </w:r>
    </w:p>
    <w:p>
      <w:pPr>
        <w:spacing w:after="0" w:line="7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our reputation may be harmed and we may fail to attract new customers to the extent necessary to realize a sufficient return on our brand-building efforts, and our business, results of operations and financial condition could suffer.</w:t>
      </w:r>
    </w:p>
    <w:p>
      <w:pPr>
        <w:spacing w:after="0" w:line="284"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and cash flows from sales of our subscriptions to our platform to customers in the healthcare ecosystem, and factors that adversely affect it, including health reform measures and mergers within the healthcare ecosystem or regulatory changes, could also adversely affect us.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Demand for our solutions could be affected by factors that affect the healthcare ecosystem, including:</w:t>
      </w:r>
    </w:p>
    <w:p>
      <w:pPr>
        <w:spacing w:after="0" w:line="117" w:lineRule="exact"/>
        <w:rPr>
          <w:sz w:val="20"/>
          <w:szCs w:val="20"/>
          <w:color w:val="auto"/>
        </w:rPr>
      </w:pPr>
    </w:p>
    <w:p>
      <w:pPr>
        <w:ind w:left="1140" w:right="80" w:hanging="504"/>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could negatively impact the business environment for us, our data sources, or our healthcare customers. Healthcare laws and regulations are rapidly evolving and may change significantly in the future. In particular, legislation or regulatory changes regarding data analytics companies has continued to be a topic of discussion by political leaders and regulators in the U.S. and elsewhere.</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21" w:name="page22"/>
    <w:bookmarkEnd w:id="21"/>
    <w:p>
      <w:pPr>
        <w:ind w:left="1140" w:hanging="504"/>
        <w:spacing w:after="0" w:line="253"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within the healthcare ecosystem has accelerated in recent years, and this trend could continue. We have in the past, and may in the future, suffer reductions in user subscriptions or non-renewal of customer subscription orders due to industry consolidation. We may not be able to expand sales of our platform to new customers enough to counteract any negative impact of company consolidation on our business. In addition, new companies that result from such consolidation may decide that our platform is no longer needed because of their own internal processes or alternative solutions. As these companies consolidate, competition to provide our platform will become more intense and establishing relationships with large industry participants will become more important. These industry participants may also try to use their market power to negotiate price reductions for our platform. If consolidation of our larger customers occurs, the combined company may represent a larger percentage of business for us and, as a result, we are likely to rely more significantly on revenue from the combined company to continue to achieve growth. In addition, if large healthcare companies merge, it would have the potential to reduce per-unit pricing for our platform for the merged companies.</w:t>
      </w:r>
    </w:p>
    <w:p>
      <w:pPr>
        <w:spacing w:after="0" w:line="86" w:lineRule="exact"/>
        <w:rPr>
          <w:rFonts w:ascii="Times New Roman" w:cs="Times New Roman" w:eastAsia="Times New Roman" w:hAnsi="Times New Roman"/>
          <w:sz w:val="18"/>
          <w:szCs w:val="18"/>
          <w:color w:val="auto"/>
        </w:rPr>
      </w:pPr>
    </w:p>
    <w:p>
      <w:pPr>
        <w:ind w:left="1140" w:right="220" w:hanging="504"/>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companies may be unsuccessful and may subsequently declare bankruptcy. If our customers declare bankruptcy or otherwise dissolve, they may terminate their agreements with us or we may not be able to recoup the full payment of fees owed to us.</w:t>
      </w:r>
    </w:p>
    <w:p>
      <w:pPr>
        <w:spacing w:after="0" w:line="53" w:lineRule="exact"/>
        <w:rPr>
          <w:rFonts w:ascii="Times New Roman" w:cs="Times New Roman" w:eastAsia="Times New Roman" w:hAnsi="Times New Roman"/>
          <w:sz w:val="18"/>
          <w:szCs w:val="18"/>
          <w:color w:val="auto"/>
        </w:rPr>
      </w:pPr>
    </w:p>
    <w:p>
      <w:pPr>
        <w:ind w:left="1140" w:right="140" w:hanging="504"/>
        <w:spacing w:after="0" w:line="255"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implications of precision medicine treatments, changes in the practices of prescribing providers and patients, changes with respect to payer relationships, the policies and preferences of healthcare professionals and healthcare organizations with respect to the sales and marketing efforts of healthcare companies, changes in the regulation of the sales and marketing efforts and pricing practices of healthcare companies, and other factors such as the impact of public health crises, could lead to a significant reduction in businesses that use our platform or otherwise change the demand for our platform. Changes in public perception regarding the practices of the healthcare ecosystem may result in political pressure to increase the regulation of healthcare companies in one or more of the areas described above, which may negatively impact demand for our platform.</w:t>
      </w:r>
    </w:p>
    <w:p>
      <w:pPr>
        <w:spacing w:after="0" w:line="80" w:lineRule="exact"/>
        <w:rPr>
          <w:rFonts w:ascii="Times New Roman" w:cs="Times New Roman" w:eastAsia="Times New Roman" w:hAnsi="Times New Roman"/>
          <w:sz w:val="18"/>
          <w:szCs w:val="18"/>
          <w:color w:val="auto"/>
        </w:rPr>
      </w:pPr>
    </w:p>
    <w:p>
      <w:pPr>
        <w:ind w:left="1140" w:hanging="504"/>
        <w:spacing w:after="0" w:line="253"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overall economic health of our existing and prospective customers. Subscribing to our platform may involve a significant commitment of capital and other resources for certain customers. If economic conditions, including the ability to market commercial intelligence in the healthcare ecosystem or the demand for healthcare products globally deteriorates, many of our customers may delay on growth initiatives that would require our solutions. We have seen this happen in response to difficult macroeconomic conditions and expect it will continue until they improve. In particular, these trends have been more pronounced for our existing and prospective Life Science customers. For example, difficult macroeconomic conditions have impacted our existing and prospective customers and their business spendings, which has in some cases resulted in longer deal cycles, more stringent approval processes and deferred purchasing decisions, and we expect this to continue until macroeconomic conditions improve. Such macroeconomic conditions may also result in reductions in sales of our solutions, reductions in subscription duration and value, slower adoption of new solutions, and increased price competition.</w:t>
      </w:r>
    </w:p>
    <w:p>
      <w:pPr>
        <w:spacing w:after="0" w:line="8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Accordingly, our operating results and our ability to efficiently provide our solutions to healthcare companies and to grow or maintain our customer base could be adversely affected as a result of these factors and others that affect the healthcare ecosystem generally.</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22" w:name="page23"/>
    <w:bookmarkEnd w:id="22"/>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sizes or types of organizations that subscribe to our platform could affect our business and our financial results may fluctuate due to increasing variability in our sales cycles.</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strategy is to sell subscriptions of our platform to organizations of all sizes, ranging from life science companies, healthcare information technology companies, healthcare providers and other companies that sell into the healthcare ecosystem. Selling to small-to-medium sized businesses may involve greater credit risk and uncertainty, as well as lower retention rates and limited interaction with our sales and other personnel. Conversely, sales to Enterprise Customers may entail longer sales cycles, more significant selling efforts and greater uncertainty. If we are successful in expanding our customer base to include more Enterprise Customers, our sales cycles may lengthen and become less predictable, which, in turn, may adversely affect our financial results. Factors that may influence the length and variability of our sales cycle include:</w:t>
      </w:r>
    </w:p>
    <w:p>
      <w:pPr>
        <w:spacing w:after="0" w:line="79" w:lineRule="exact"/>
        <w:rPr>
          <w:sz w:val="20"/>
          <w:szCs w:val="20"/>
          <w:color w:val="auto"/>
        </w:rPr>
      </w:pPr>
    </w:p>
    <w:p>
      <w:pPr>
        <w:ind w:left="1140" w:hanging="50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educate prospective customers about the uses and benefits of our platform;</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purchase and budget cycles and decisions;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functionality demands;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planned introductions of new intelligence modules by us or our competitors;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lengthy and multi-faceted purchasing approval processes.</w:t>
      </w:r>
    </w:p>
    <w:p>
      <w:pPr>
        <w:spacing w:after="0" w:line="11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there are changes in the mix of organizations that purchase our platform, our gross margins and operating results could be adversely affected and fluctuations increasing the variability in our sales cycles could negatively affect our financial results.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have overestimated the size of our total addressable market, our future growth rate may be limited.</w:t>
      </w:r>
    </w:p>
    <w:p>
      <w:pPr>
        <w:spacing w:after="0" w:line="121" w:lineRule="exact"/>
        <w:rPr>
          <w:sz w:val="20"/>
          <w:szCs w:val="20"/>
          <w:color w:val="auto"/>
        </w:rPr>
      </w:pPr>
    </w:p>
    <w:p>
      <w:pPr>
        <w:jc w:val="both"/>
        <w:ind w:right="200" w:firstLine="509"/>
        <w:spacing w:after="0" w:line="256" w:lineRule="auto"/>
        <w:rPr>
          <w:sz w:val="20"/>
          <w:szCs w:val="20"/>
          <w:color w:val="auto"/>
        </w:rPr>
      </w:pPr>
      <w:r>
        <w:rPr>
          <w:rFonts w:ascii="Times New Roman" w:cs="Times New Roman" w:eastAsia="Times New Roman" w:hAnsi="Times New Roman"/>
          <w:sz w:val="18"/>
          <w:szCs w:val="18"/>
          <w:color w:val="auto"/>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Annual Report.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have a material adverse effect on our business, financial condition and results of operations.</w:t>
      </w:r>
    </w:p>
    <w:p>
      <w:pPr>
        <w:spacing w:after="0" w:line="7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Even if our total addressable market meets our size estimates and experiences growth, we may not continue to grow our share of the market. Our growth is subject to many factors, including our success in implementing our business strategy and the activities of our current and potential future competitors, which are subject to many risks and uncertainties. Accordingly, our estimates of our total addressable market should not be taken as indicative of our ability to grow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changes in search engine algorithms and dynamics or other traffic-generating arrangements.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rely on Internet search engines, including through the purchase of sales and marketing-related keywords and other web pages, to generate a portion of the traffic to our website. Search engines frequently update and change the logic that determines the placement and display of results of a user’s search, such that the purchased or algorithmic placement of links to our website can be negatively affected.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outside the U.S. expose us to risks inherent in international operations.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Monocl and AW businesses create exposure to risks inherent in international operations. Any new markets or countries into which we attempt to sell subscriptions to our platform may not be as receptive to our solutions as we anticipate. It is costly to establish, develop and maintain international operations and develop and promote our platform in international markets. A significant increase in international customers or an expansion of our operations into other countries would create additional risks and challenges which could have a material adverse effect on our business, financial condition and results of operations.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3" w:name="page24"/>
    <w:bookmarkEnd w:id="23"/>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in an evolving industry, which makes it difficult to forecast our revenue and evaluate our business and future prospects.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a limited operating history at the current scale of our business in an evolving industry that may not develop as expected, if at all. As a result, our ability to forecast our future results of operations and plan for and model future growth is limited and subject to a number of uncertainties, and our historical operating results may not be indicative of our future operating results, making it difficult to assess our future prospects. We have encountered and expect to continue to encounter risks and uncertainties frequently experienced by growing companies in rapidly evolving industries, such as the risks and uncertainties described herein. In addition, we have faced and continue to face evolving macroeconomic conditions that negatively impact our business and future prospects, which are hard to predict. Accordingly, we may be unable to prepare accurate internal financial forecasts or replace anticipated revenue that we do not receive as a result of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29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have a material adverse effect on our business, financial condition and results of operations.</w:t>
      </w:r>
    </w:p>
    <w:p>
      <w:pPr>
        <w:spacing w:after="0" w:line="5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may require additional financing, and we may not be able to obtain debt or equity financing on favorable terms, if at all. The terms of any additional debt financing may be similar or more restrictive than our current debt facilities. Difficult macroeconomic conditions, including high interest rates and volatility in the capital markets, exacerbate this risk.</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need additional capital and cannot raise it on acceptable terms, or at all, we may not be able to, among other things:</w:t>
      </w:r>
    </w:p>
    <w:p>
      <w:pPr>
        <w:spacing w:after="0" w:line="117" w:lineRule="exact"/>
        <w:rPr>
          <w:sz w:val="20"/>
          <w:szCs w:val="20"/>
          <w:color w:val="auto"/>
        </w:rPr>
      </w:pPr>
    </w:p>
    <w:p>
      <w:pPr>
        <w:ind w:left="1140" w:hanging="50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features, intelligence modules, updates, integrations, capabilities and enhancements;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provide synthesis of real-time data;</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employees;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 or</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 opportunities.</w:t>
      </w:r>
    </w:p>
    <w:p>
      <w:pPr>
        <w:spacing w:after="0" w:line="32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undertaken internal restructuring activities, and may do so again in the future. The assumptions underlying these activities may prove to be inaccurate, or we may fail to achieve the expected benefits therefrom.</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light of recent macroeconomic conditions, we have made, and will continue to make, judgments as to whether we should further reduce, relocate or otherwise change our workforce. For example, in January 2024, we took certain actions to reduce our global headcount by 154 employees. This reduction in force, and any other future reductions, and the attrition that may occur following them, result in the loss of institutional knowledge and expertise and the reallocation and combination of certain roles and responsibilities across the organization, all of which could adversely affect our operations. These restructurings and other additional measures we might take to reduce costs could strain our workforce, divert management attention, yield attrition beyond our intended reduction in force, reduce employee morale, cause us to delay, limit, reduce or eliminate certain development plans or otherwise interfere with our ability to operate and grow our business effectively, each of which could have an adverse impact on our business, operating results, and financial condition. Charges and costs incurred in connection with workforce reduction efforts may be significant and higher than estimated. In connection with these actions, we incurred pre-tax cash restructuring and related charges of approximately $8.1 million during the year ended December 31, 2024, consisting primarily of severance payments, employee benefits, and related cash expenses, as well as non-cash stock-based compensation charges related to the vesting of share-based awards for employees who were terminated. We may not complete the current or any future restructuring activities on the anticipated timetable, and even if successfully completed, we may not achieve the anticipated cost savings, operating efficiencies or other benefits of such activities.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and geopolitical and trade tensions could disrupt our business and adversely affect our operating results.</w:t>
      </w:r>
    </w:p>
    <w:p>
      <w:pPr>
        <w:spacing w:after="0" w:line="121" w:lineRule="exact"/>
        <w:rPr>
          <w:sz w:val="20"/>
          <w:szCs w:val="20"/>
          <w:color w:val="auto"/>
        </w:rPr>
      </w:pPr>
    </w:p>
    <w:p>
      <w:pPr>
        <w:ind w:right="60" w:firstLine="554"/>
        <w:spacing w:after="0" w:line="258" w:lineRule="auto"/>
        <w:rPr>
          <w:sz w:val="20"/>
          <w:szCs w:val="20"/>
          <w:color w:val="auto"/>
        </w:rPr>
      </w:pPr>
      <w:r>
        <w:rPr>
          <w:rFonts w:ascii="Times New Roman" w:cs="Times New Roman" w:eastAsia="Times New Roman" w:hAnsi="Times New Roman"/>
          <w:sz w:val="18"/>
          <w:szCs w:val="18"/>
          <w:color w:val="auto"/>
        </w:rPr>
        <w:t>We are a global technology company with a corporate headquarters located in Framingham, Massachusetts and international offices in Sweden and India. Instability and unforeseen changes in any of the markets in which we operate could result in business disruptions or operational challenges that may adversely affect the demand for our products and services, or our reputation, financial condition, results of operations or cash flows. Additionally, we rely on our network and third-party infrastructure and enterprise applications, internal technology systems and our website, for our product development, analytics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24" w:name="page25"/>
    <w:bookmarkEnd w:id="24"/>
    <w:p>
      <w:pPr>
        <w:ind w:right="220"/>
        <w:spacing w:after="0" w:line="261" w:lineRule="auto"/>
        <w:rPr>
          <w:sz w:val="20"/>
          <w:szCs w:val="20"/>
          <w:color w:val="auto"/>
        </w:rPr>
      </w:pPr>
      <w:r>
        <w:rPr>
          <w:rFonts w:ascii="Times New Roman" w:cs="Times New Roman" w:eastAsia="Times New Roman" w:hAnsi="Times New Roman"/>
          <w:sz w:val="18"/>
          <w:szCs w:val="18"/>
          <w:color w:val="auto"/>
        </w:rPr>
        <w:t>innovation, marketing, operational support, hosted services and sales activities. In the event of a major weather event or threatened public health emergency, or other catastrophic event such as fire, power loss, telecommunications failure, cyber-attack, war or terrorist attack, we may be unable to continue our operations at full capacity or at all and may experience system interruptions, reputational harm, delays in our solution development, lengthy interruptions in our services, breaches of data security, loss of key employees and loss of critical data.</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Global geopolitical and trade tensions may also be disruptive to our business, including as a result of the military conflict between Russia and Ukraine and the evolving conflict in Israel and surrounding areas. The sanctions announced by the U.S. and other countries against Russia to date include restrictions on selling or importing goods, services or technology in or from affected regions and travel bans and asset freezes impacting connected individuals and political, military, business and financial organizations in Russia. The U.S. and other countries could impose wider sanctions and take other actions should the conflict further escalate. It is not possible to predict the broader consequences of these conflicts, which have included or could include further sanctions, embargoes, regional instability, prolonged periods of higher inflation, geopolitical shifts, and adverse effects on macroeconomic conditions, currency exchange rates and financial markets, all of which could have a material adverse effect on our business, financial condition and results of operations.</w:t>
      </w:r>
    </w:p>
    <w:p>
      <w:pPr>
        <w:spacing w:after="0" w:line="29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solutions utilize open-source software, and any failure to comply with the terms of one or more of these open-source licenses could adversely affect our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solutions include software subject to open-source licenses and we may incorporate third-party open source software in our solutions in the future. Particular uses of open-source software and the terms of various open-source licenses have not been interpreted by U.S. courts, and there is a risk that such use or licenses could be construed in a manner that imposes unanticipated conditions or restrictions with respect to our platform and proprietary technology.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If we were to receive a claim of non-compliance with the terms of any of these open source licenses, we could be required to incur significant legal expenses defending against those allegations and could be subject to significant damages, enjoined from offering or selling our solutions that contained the open source software, and required to comply with the foregoing conditions. We could also be required to expend substantial time and resources to re-engineer some of our software. Any of the foregoing could disrupt and harm our business.</w:t>
      </w:r>
    </w:p>
    <w:p>
      <w:pPr>
        <w:spacing w:after="0" w:line="86"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Additionally, the use of certain open-source software in certain manners requires that other licensees be granted the right to make any derivative works of any proprietary software linked to or used with the open-source code, or make such proprietary software available to others on terms that are unfavorable to such licensee or at no cost. This can effectively render what was previously proprietary software open-source software.</w:t>
      </w:r>
    </w:p>
    <w:p>
      <w:pPr>
        <w:spacing w:after="0" w:line="68"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7"/>
          <w:szCs w:val="17"/>
          <w:color w:val="auto"/>
        </w:rPr>
        <w:t>It is possible under the terms of certain open-source licenses (often called “copyleft” or “viral” licenses), if we combine our proprietary software with open-source software in a certain manner, that we could be required to release the source code of our proprietary software and make our proprietary software available under open-source licenses. In the event that portions of our proprietary software are determined to be subject to an open- source license, we could be required to publicly release the affected portions of our source code, re-engineer all or a portion of our solutions, or otherwise be limited in the licensing of our solutions, and each of such instances could reduce or eliminate the value of our solutions. In addition to risks related to license requirements, use of open-source software can lead to greater risks than use of third-party commercial software, as open-source licensors generally do not provide warranties, controls on the origin of the software, bug fixing, or security scans. Use of open-source software may also present additional security risks because the public availability of such software may make it easier for hackers and other third parties to determine how to compromise our solutions. Any of the foregoing could harm our business and could help our competitors develop platforms and applications that are similar to or better than ours.</w:t>
      </w:r>
    </w:p>
    <w:p>
      <w:pPr>
        <w:spacing w:after="0" w:line="2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subscription and payment processing risk from our third-party vendors and any disruption to such processing systems could have a material adverse effect on our business, financial condition and results of operations.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rely on a third-party subscription management platform to process the subscription plans and billing frequencies of our customers. In addition, we rely primarily on third parties for payment processing services. If these third-party vendors were to experience an interruption, delay or outages in service and availability, we may be unable to process new and renewing subscriptions or invoices. Further, if these third-party vendors experience a cybersecurity breach affecting data related to services provided to us, we could experience reputational damage or incur liability. Although alternative service providers may be available to us, we may incur significant expense and research and product development efforts to deploy any alternative service providers. To the extent there are disruptions in our third-party subscription and payment processing systems, we could experience revenue loss, accounting issues and harm to our reputation and customer relationships, which could have a material adverse effect on our business, financial condition and results of operations.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Risks Related to Data Privacy and Cybersecurity</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or our data are or were compromised, we could experience material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including when we provide our solutions to customers,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business plans, transactions, and financial information (collectively, sensitive data). As a result, our business, brand, reputation and ability to attract and retain customers depends upon the satisfactory performance, reliability, and availability of our platform and solutions. 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services.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credential harvesting, personnel misconduct or error, ransomware attacks, supply-chain attacks, software bugs, server malfunctions, software or hardware failures, loss of data or other information technology assets, adware, attacks enhanced or facilitated by AI, telecommunications failures, earthquakes, fire, flood, power loss, system failures, computer viruses, software errors, physical or electronic break-ins or malicious hacks or attacks on our systems (such as denial of service attacks), and other similar threats.</w:t>
      </w:r>
    </w:p>
    <w:p>
      <w:pPr>
        <w:spacing w:after="0" w:line="7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the software, internal applications and systems underlying our platform are complex and have not always been, and may not in the future be, error-free. Any inefficiencies, errors or technical problems with our platform, internal applications and systems could reduce the quality of our solutions or interfere with our customers’ use of our platform, which could reduce demand, lower our revenues and increase our costs.</w:t>
      </w:r>
    </w:p>
    <w:p>
      <w:pPr>
        <w:spacing w:after="0" w:line="68"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particular, severe ransomware attacks are becoming increasingly prevalent and can lead to significant interruptions in our operations, ability to provide our products or services, loss of sensitive data and income, and diversion of funds. Extortion payments may alleviate the negative impact of a ransomware attack, but we may be unwilling or unable to make such payments due to, for example, applicable laws or regulations prohibiting such payments.</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Further, our platform utilizes certain A.I. technology to provide services, and this technology is integrated into the platform, making us susceptible to additional cybersecurity threats. Additionally, confidential and sensitive data of the Company and our customers may be leaked, disclosed, or revealed as a result of or in connection with our employees’, personnel’s, or vendors’ use of A.I. technologies.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Remote work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6" w:name="page27"/>
    <w:bookmarkEnd w:id="26"/>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Furthermore, because the techniques used to obtain unauthorized access to, or to sabotage, systems change frequently and often are not recognized until launched against a target, we have in the past been, and may in the future be, unable to anticipate these techniques or implement adequate preventative measures. We may also experience security breaches that may remain undetected for an extended period, due to, among other things, the breadth and complexity of our operations and the high volume of transactions that we process, the large number of customers, counterparties and third party service providers with which we do business, the proliferation and increasing sophistication of cyber-attacks, and the possibility that a third party, after establishing a foothold on an internal network without being detected, might obtain access to other networks and systems.</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also outsourced elements of our information technology infrastructure to third parties, including, without limitation, cloud-based infrastructure, data center facilities, encryption and authentication technology, employee email, content delivery to customers, and other functions. We also rely on third parties to provide other products, services, parts, or otherwise to operate our business. Our reliance on these third parties introduces new cybersecurity risks and vulnerabilities, including supply-chain attacks, and other threats to our business operations.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have not and may not in the future, however, detect and remediate all such vulnerabilities including on a timely basis. Further, we have experienced, and may in the future experience, delays in developing and deploying remedial measures and patches designed to address identified vulnerabilities.</w:t>
      </w:r>
    </w:p>
    <w:p>
      <w:pPr>
        <w:spacing w:after="0" w:line="7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operate under a shared responsibility model, where both we and our customers play a role in maintaining security. While we provide a secure platform, services, and products, customers are responsible for properly configuring, implementing, and managing security controls to align with cybersecurity standards, comply with regulations, and mitigate their own security risks. As part of this model, we offer security features and best practices to help customers strengthen their security posture. However, the effective use of these features remains the customer’s responsibility. Failure to properly configure or utilize security settings, misusing our services, or experiencing security incidents due to policy violations, credential exposure, or other vulnerabilities on the customer’s side can lead to security issues independent of our platform. While we are not the cause of such customer-side security incidents, they may still negatively impact our customer relationships, reputation, and revenue.</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Certain of the previously identified or similar threats have in the past and may in the future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with whom we work. For example, we have been the target of successful phishing attacks in the past and expect such attacks will continue in the future. Security incidents or other interruptions have caused, and may in the future cause, disruptions in our ability (and that of third parties with whom we work) to provide our services.</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6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or are unable to protect our computer systems, software, networks, sensitive data and other technology assets, or there is a perception that we have failed to do so, we may experience material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These events may have a material adverse effect on our business, financial condition, and results of operations.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7" w:name="page28"/>
    <w:bookmarkEnd w:id="27"/>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regulatory fines and sanctions, liabilities, damages, or claims related to our data privacy and security obligations. We maintain insurance policies that cover certain security and privacy damages. However, we cannot guarantee that our coverage will be adequate for liabilities actually incurred or that insurance will continue to be available to us on economically reasonable terms, or at all.</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spacing w:after="0" w:line="2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applicable U.S. and foreign privacy and security laws, regulations, industry standards, contractual obligations, and other requirements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customers use our solutions to understand and navigate the healthcare ecosystem. As a result, we process sensitive data that subjects us to a variety of laws, regulations, guidance, industry standards, external and internal privacy and security policies, contractual requirements, and other obligations relating to data privacy and security. In the United States, federal, state, and local governments have enacted numerous data privacy and security laws, including data breach notification laws, data privacy laws, consumer protection laws (e.g., Section 5 of the Federal Trade Commission Act), and other similar laws (e.g., wiretapping laws). These laws and regulations are constantly evolving and may be interpreted, applied, created, or amended in a manner that could harm our current or future business and operations. Implementation standards and enforcement practices are likely to remain uncertain for the foreseeable future, and we cannot yet determine the impact future laws, regulations, standards, or perception of their requirements may have on our business. This evolution creates uncertainty in our business and may affect our ability to operate in certain jurisdictions or to process personal data, necessitate the acceptance of more onerous obligations in our contracts, or result in liability or impose additional costs on us. These laws, regulations, and other obligations may also be interpreted and applied inconsistently from jurisdiction to jurisdiction which may make compliance difficult or impossible in certain circumstances.</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platform involves use and disclosure of de-identified data, which must be de-identified in accordance with applicable laws, including Health Insurance Portability and Accountability Act (“HIPAA”). Certain states have signed into law or are intending to enact laws governing the use and disclosure of such de-identified information, and there is some uncertainty regarding those laws’ conformity with the HIPAA de-identification standards. Compliance with state laws could require additional investment and management attention and may subject us to significant liabilities if we do not comply appropriately with new and potentially conflicting regulations. If there is a future change in law, we may also face limitations on our ability to use de-identified information that could harm our business. There is also a risk that the third-party vendors that provide our data sets may fail to properly de-identify protected health information (“PHI”) under HIPAA or applicable state laws, some of which impose different standards for de-identification than those imposed by HIPAA. There is also a risk that customers and third-party vendors who are subject to HIPAA and interface with us may misunderstand the limits of our ability to conform to HIPAA given our posture that we remain outside of the HIPAA regulation by virtue of de-identifying our data, and may expose us inadvertently to PHI that we need to then make efforts to excise from our systems. We are also required to ensure that such information remains de-identified and our failure to do so could result in non-compliance with privacy laws and contractual obligations.</w:t>
      </w:r>
    </w:p>
    <w:p>
      <w:pPr>
        <w:spacing w:after="0" w:line="84"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7"/>
          <w:szCs w:val="17"/>
          <w:color w:val="auto"/>
        </w:rPr>
        <w:t>The privacy, security and breach notification rules promulgated under HIPAA establish a set of national privacy and security standards for the protection of PHI, by health plans, health care clearinghouses, and certain health care providers, referred to as covered entities, and the business associates with whom such covered entities contract for services that involve creating, receiving, maintaining or transmitting PHI, and their covered subcontractors.</w:t>
      </w:r>
    </w:p>
    <w:p>
      <w:pPr>
        <w:spacing w:after="0" w:line="5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Certain of our customers may be either “business associates” or “covered entities” under HIPAA, including certain of our customers that are not traditional healthcare providers. For example, some of our customers are medical device companies that may work with healthcare professionals or researchers from whom they receive PHI for data analysis purposes, thus triggering compliance obligations under HIPAA. While such PHI is de-identified before it is introduced into our systems, in certain scenarios, we may nevertheless be contractually obligated to comply with certain HIPAA obligations, including the various requirements of the HIPAA de-identification rules. Additionally, if PHI is inadvertently introduced into our systems without being properly de-identified, we may be directly liable for mishandling PHI and for failing to comply with HIPAA as a “business associate.” The U.S. Department of Health and Human Services Office for Civil Rights, or OCR, may impose penalties for a failure to comply with applicable requirements of HIPAA. Penalties will vary significantly depending on factors such as the date of the violation, whether the business associate knew or should have known of the failure to comply, or</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28" w:name="page29"/>
    <w:bookmarkEnd w:id="28"/>
    <w:p>
      <w:pPr>
        <w:ind w:right="200"/>
        <w:spacing w:after="0" w:line="261" w:lineRule="auto"/>
        <w:rPr>
          <w:sz w:val="20"/>
          <w:szCs w:val="20"/>
          <w:color w:val="auto"/>
        </w:rPr>
      </w:pPr>
      <w:r>
        <w:rPr>
          <w:rFonts w:ascii="Times New Roman" w:cs="Times New Roman" w:eastAsia="Times New Roman" w:hAnsi="Times New Roman"/>
          <w:sz w:val="18"/>
          <w:szCs w:val="18"/>
          <w:color w:val="auto"/>
        </w:rPr>
        <w:t>whether the business associate’s failure to comply was due to willful neglect. Penalties for HIPAA violations can be significant, including civil monetary penalties, fines, required remediation, and ongoing monitoring. A single breach incident can result in violations of multiple standards. If a person knowingly or intentionally obtains or discloses PHI in violation of HIPAA requirements, criminal penalties may also be imposed. Failure to comply with applicable HIPAA requirements could also give rise to breach of contract claims with our customers.</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 our (and our employees’ and personnels’) use of A.I. technologies, and the disclosure and use of personal data in A.I. technologies, is subject to various laws and evolving regulations regarding the use of A.I., controlling for data bias, and antidiscrimination. For example, due to inaccuracies or flaws in the inputs, outputs, or logic of the A.I., the model could be biased and could lead us to make decisions that could bias certain individuals (or classes of individuals), and adversely impact their rights, employment, and ability to obtain certain pricing, products, services, or benefits. Several jurisdictions around the globe, including Europe and certain U.S. states, have proposed enacted, or are considering laws governing the development and use of A.I. technologies, such as the EU’s AI Act, and we expect other jurisdictions will adopt similar laws. Furthermore, the Federal Trade Commission (“FTC”) enforces consumer protection laws such as Section 5 of the FTC Act, the Fair Credit Reporting Act, and the Equal Credit Opportunity Act, which prohibit unfair and deceptive practices, including use of biased algorithms in AI. These obligations may make it harder for us to conduct our business using A.I. technologies, lead to regulatory fines or penalties, require us to change our business practices, retrain our A.I. technologies, or prevent or limit our use of A.I. technologies. For example, the FTC has required other companies to turn over (or disgorge) valuable insights or trainings generated through the use of A.I. where they allege the company has violated privacy and consumer protection laws. If we cannot use A.I. technologies or that use is restricted, our business may be less efficient, or we may be at a competitive disadvantage.</w:t>
      </w:r>
    </w:p>
    <w:p>
      <w:pPr>
        <w:spacing w:after="0" w:line="8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addition to government regulations, privacy advocates and other key industry players have established or may establish various new, additional, or different policies or self-regulatory standards in certain digital environments that may place additional resource constraints on us or limit our ability to generate certain analytics. Our customers may expect us to meet voluntary certifications or adhere to other standards established by third parties. If we are unable to maintain these certifications or meet these standards, it could reduce demand for our solutions and adversely affect our business and operating results.</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Many data privacy and security obligations protect more than health-related information, and although they vary by jurisdiction, these obligations can extend to employee information, business information, healthcare provider information and other information relating to individual consumers. Our actual or perceived failure to comply with these laws may result in, among other things, civil and criminal liability, vulnerability to class actions where private right of action is available to individuals, regulatory fines and sanctions, negative publicity, damage to our reputation and liability under contractual provisions. These obligations may also increase our compliance costs and influence or limit the types of services we can provide. The occurrence of any of the foregoing could impact our ability to provide the same level of service to our customers, require us to modify our offerings or increase our costs, which could have a material adverse effect on our business, financial condition and results of operations.</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data, such as further requirements for explicit opt-in consent in some cases, as well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for intentional violations and may allow private litigants affected by certain data breaches to recover significant statutory damages. Many similar laws have been proposed or enacted at the federal, state and local levels, and we expect more states to pass similar laws in the future. Further, some of these laws allow authorized agents or third parties to act on behalf of individuals who wish to exercise their privacy rights. In some cases, the legislation has made it easier for such third-party agents to provide evidence of their authority to make the necessary request (e.g., by use of a signed permission slip). This factor has contributed to a substantial increase in the volume of third party, authorized agent requests with associated risks, including potential risks to our systems, in the case of large volumes of requests, resources, and compliance costs. The designated response time for privacy requests is relatively short in certain jurisdictions resulting in great administrative and compliance challenges.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9" w:name="page30"/>
    <w:bookmarkEnd w:id="29"/>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Furthermore, our business relies on the acquisition and sale of data, including data obtained from third-party data suppliers. The acquisition and sale of data from or to third parties has become subject to increased regulatory scrutiny. Therefore, obtaining and selling data from third parties carries risk to us as a data purchaser and reseller. For example, as a data supplier, we are currently required to register as a data broker under California, Oregon, Texas, and Vermont law and file reports with regulators, which exposes us to increased scrutiny. Additionally, California’s Delete Act requires the California Privacy Protection Agency (“CPPA”) to establish, by January 1, 2026, a mechanism to allow California consumers to submit a single, verifiable request to delete all of their personal data held by all registered data brokers and their service providers. Moreover, third-party data suppliers have recently been subject to increased litigation under various claims of violating certain state privacy laws. These laws and challenges may make it so difficult for us and our suppliers to provide the data and the costs associated with the data materially increase or may materially decrease the availability of data that we or our data suppliers can provide.</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under various privacy laws and other obligations, we may be required to obtain certain consents to process personal data. For example, some of our information 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75"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may be subject to new laws governing the privacy of consumer health data, including reproductive, sexual orientation, and gender identity privacy rights. For example, Washington’s My Health My Data Act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or may become, subject to foreign laws, regulations, and industry standards that govern data privacy and security, such as the EU GDPR, the UK GDPR, Canada’s Personal Information Protection and Electronic Documents Act (“PIPEDA”), and China’s Personal Information Protection Law (“PIPL”), Brazil’s General Data Protection Law (Lei Geral de Proteção de Dados Pessoais, or “LGPD”) (Law No. 13,709/2018), India’s Information Technology Act and supplementary rules, and other foreign data privacy, security, data localization and similar national, state/provincial and local laws which impose strict requirements for processing personal data. For example, under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Because our EU subsidiary, Monocl AB, operates under a Swedish publishing certificate (database protection) issued in accordance with Swedish national law, such processing of personal data by our EU subsidiary comes under the Swedish constitutional protection enshrining freedom of expression and consequently falls within the scope of Article 85 EU GDPR and is exempt from certain core provisions of the EU GDPR. Legal challenges against the general right to publish personal data based on the publishing certificate and consequent exemption from the GDPR, if upheld, may potentially result in the exemption being deemed invalid in certain circumstances. Further the database protection which offers our subsidiary the right to rely on the Article 85 exemption, is traditionally granted to news and media outlets and publications. Given the adjustments in our business and other commercial changes, it may be the case that the authority issuing the publishing certificate may not grant a renewal when the existing certificate expires. In such case alternative legal grounds for processing personal data subject to the GDPR and other privacy laws, will need to be established. This may impact our current data collection practices and could restrict our ability to collect, process and share personal data in certain products.</w:t>
      </w:r>
    </w:p>
    <w:p>
      <w:pPr>
        <w:spacing w:after="0" w:line="85"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0" w:name="page31"/>
    <w:bookmarkEnd w:id="30"/>
    <w:p>
      <w:pPr>
        <w:ind w:right="100"/>
        <w:spacing w:after="0" w:line="258" w:lineRule="auto"/>
        <w:rPr>
          <w:sz w:val="20"/>
          <w:szCs w:val="20"/>
          <w:color w:val="auto"/>
        </w:rPr>
      </w:pPr>
      <w:r>
        <w:rPr>
          <w:rFonts w:ascii="Times New Roman" w:cs="Times New Roman" w:eastAsia="Times New Roman" w:hAnsi="Times New Roman"/>
          <w:sz w:val="18"/>
          <w:szCs w:val="18"/>
          <w:color w:val="auto"/>
        </w:rPr>
        <w:t>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EU GDPR’s cross-border data transfer limitations.</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w:t>
      </w:r>
    </w:p>
    <w:p>
      <w:pPr>
        <w:spacing w:after="0" w:line="18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Understanding and implementing such country specific certifications on top of our security certifications could require additional investment and management attention and may subject us to significant liability if we do not comply with particular requirements. Compliance with global privacy obligations has and will continue to require valuable management and employee time and resources, and failure to comply with these regulations could include severe penalties and could reduce demand for our solutions. Any failure or perceived failure by us to comply with federal, state or foreign laws or regulation, our internal policies and procedures or our contracts governing our processing of personal data could result in negative publicity, government investigations and enforcement actions, claims by third parties and damage to our reputation, any of which could have a material adverse effect on our reputation, business, financial condition and results of operations.</w:t>
      </w:r>
    </w:p>
    <w:p>
      <w:pPr>
        <w:spacing w:after="0" w:line="81"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We also publish privacy policies, marketing materials, whitepapers, and other statements, such as statements related to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Customers expect that our solutions can be used in compliance with privacy and security obligations. The functional and operational requirements and costs of compliance with such obligations may adversely impact our business, and failure to enable our solutions to comply with such obligations could lead to significant fines and penalties imposed by regulators, as well as claims by our customers or third parties. These domestic and foreign legislative and regulatory initiatives could adversely affect our customers’ ability or desire to collect, use, process, store and disclose personal data and health data using our solutions, or to license data products from us, which could reduce demand for our solutions.</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established frameworks, models, processes and technologies designed to manage data privacy and security for many data types and from a variety of sources, though such measures may not always be effective. Due to the complex and evolving nature of privacy obligations, we cannot guarantee that the safeguards and controls employed by us, or third parties upon which we rely, will be sufficient to prevent a breach of these obligations, or that claims, complaints, investigations, or inquiries will not be filed or lodged against us or our data suppliers despite such safeguards and controls.</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Furthermore, we are bound by contractual obligations and industry standards related to data privacy and security, and our efforts to comply with such obligations may not be successful. For example, certain privacy laws, such as the GDPR and CCPA, require our customers to impose specific contractual restrictions on their service providers. Failure to comply with such contractual obligations, certain certification/registration requirement, annual re-certification/registration requirements associated with various privacy obligations, and failure to resolve any serious data privacy or security related complaints or requests, may result in, among other things, regulatory sanctions, criminal prosecution, civil liability, negative publicity, damage to our reputation, or data being blocked from use or liability under contractual provisions.</w:t>
      </w:r>
    </w:p>
    <w:p>
      <w:pPr>
        <w:spacing w:after="0" w:line="79"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upon which we rely may fail to comply with such obligations, which could negatively impact our business operations. If we or the third parties with whom we work fail, or are perceived to have failed, to address or comply with applicable data privacy and security obligations, we could face significant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1" w:name="page32"/>
    <w:bookmarkEnd w:id="31"/>
    <w:p>
      <w:pPr>
        <w:spacing w:after="0" w:line="254" w:lineRule="auto"/>
        <w:rPr>
          <w:sz w:val="20"/>
          <w:szCs w:val="20"/>
          <w:color w:val="auto"/>
        </w:rPr>
      </w:pPr>
      <w:r>
        <w:rPr>
          <w:rFonts w:ascii="Times New Roman" w:cs="Times New Roman" w:eastAsia="Times New Roman" w:hAnsi="Times New Roman"/>
          <w:sz w:val="18"/>
          <w:szCs w:val="18"/>
          <w:color w:val="auto"/>
        </w:rPr>
        <w:t>consequences, including but not limited to: government enforcement actions (e.g., investigations, fines (including regulatory fines and sanctions),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platform addresses heavily regulated functions within the healthcare ecosystem and such regulations and laws are subject to change. Failure to comply with applicable laws and regulations could lessen the demand for our solutions or subject us to significant claims and losses.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customers use our platform for business activities that are subject to a complex regime of global laws and regulations, including requirements for maintenance of electronic records and electronic signatures, requirements regarding processing of health data, healthcare fraud and abuse, and other laws and regulations. Our customers expect to be able to use our platform in a manner that is compliant with the regulations to which they are subject. Our efforts to provide solutions that comply with such laws and regulations are time-consuming and costly and include validation procedures that may delay the release of new versions of our solutions. As these laws and regulations change over time, we may find it difficult to adjust our platform to comply with such changes.</w:t>
      </w:r>
    </w:p>
    <w:p>
      <w:pPr>
        <w:spacing w:after="0" w:line="7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we increase the number of intelligence modules we offer and potentially the number of countries in which we operate, the complexity of adjusting our solutions to comply with legal and regulatory changes will increase. If we are unable to effectively manage this increased complexity or if we are not able to provide solutions that can be used in compliance with applicable laws and regulations, customers may be unwilling to use our solutions, and any such non-compliance could result in the termination of our customer agreements or claims arising from such agreements with our customers.</w:t>
      </w:r>
    </w:p>
    <w:p>
      <w:pPr>
        <w:spacing w:after="0" w:line="7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Additionally, Populi participates in the Centers for Medicare &amp; Medicaid Services (“CMS”) Qualified Entity Certification Program (“QECP”) as a qualified entity and is subject to the QECP participant requirements. Failure to comply with such requirements could result in removal from the QECP and penalties.</w:t>
      </w:r>
    </w:p>
    <w:p>
      <w:pPr>
        <w:spacing w:after="0" w:line="2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sanctions, export controls, anti-corruption, anti-bribery, anti-money laundering and similar laws, and non-compliance with such laws can subject us to criminal penalties or significant fines and have a material adverse effect on our business, financial condition and results of operations.</w:t>
      </w:r>
    </w:p>
    <w:p>
      <w:pPr>
        <w:spacing w:after="0" w:line="67"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We are subject to applicable anti-corruption, anti-bribery, and similar laws, such as the U.S. Foreign Corrupt Practices Act of 1977, as amended (the “FCPA”), the U.S. domestic bribery statute contained in 18 U.S.C. § 201, the U.S. Travel Act, the U.K. Bribery Act 2010. Anti-corruption and anti-bribery laws have been enforced aggressively in recent years. The FCPA and other anti-corruption laws prohibit companies and their employees and agents from corruptly promising, authorizing, making, offering or providing anything of value to a foreign government official for the purpose of influencing official decisions or obtaining or retaining business, or otherwise obtaining an improper business advantage. The FCPA also requires that we keep accurate books and records and maintain a system of adequate internal controls. The UK Bribery Act 2010 and other anti-corruption laws also prohibit commercial bribery not involving government officials, and requesting or accepting bribes. We also are subject to applicable anti-money laundering laws, which prohibit engaging in certain transactions involving criminally-derived property or the proceeds of criminal activity. Our activities are also subject to applicable export controls, trade and economic sanctions laws and regulations, including those administered by the U.S. Treasury Department’s Office of Foreign Assets Control, the U.S. Department of Commerce, and the U.S. Department of State. These trade laws and regulations prohibit certain transactions involving sanctioned countries, governments, and persons without a license or other appropriate authorization. As we increase our international sales and business, our risks under these laws may increase. Changes to U.S. export and sanctions policy could also affect our ability to interact, directly and indirectly, with targeted persons or companies, or companies in sanctioned markets.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have a material adverse effect on our business, financial condition and results of operations. 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which increases our risks under the FCPA and other public corruption laws. We can be held liable for the corrupt or other illegal activities by our employees and, in certain circumstances, by our third-party intermediaries, even if we do not explicitly authorize such activities. Although we have controls in place to promote compliance with these laws and regulations, we cannot provide assurance that our internal controls and compliance systems will always prevent illegal or improper acts by employees, agents, third parties, or business partners. Controls intended to prevent access to our platform from certain geographies may not be effective in all cases.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3" w:name="page34"/>
    <w:bookmarkEnd w:id="33"/>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Any violation or allegation of violations of economic and trade sanctions laws, export controls, the FCPA or other applicable anti-corruption laws, or anti-money laundering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and could also result in whistleblower complaints, adverse media coverage, investigations, loss of export privileges, any of which could have a material adverse effect on our reputation, business, results of operations and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claims brought by our customers, which could be costly and time consuming to defend.</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could be, from time to time, subject to claims brought by our customers in connection with commercial disputes or other proceedings. We may incur material costs and expenses in connection with any claims, including but not limited to fines or penalties and legal costs, or be subject to other remedies, any of which could have a material adverse effect on our business, financial condition and results of operations. Insurance may not cover such claims, may not be sufficient for one or more such claims and may not continue to be available on terms acceptable to us. A claim brought against us that is uninsured or underinsured could result in unanticipated costs, management distraction or reputational harm, which could have a material adverse effect on our business, financial condition and results of operations.</w:t>
      </w:r>
    </w:p>
    <w:p>
      <w:pPr>
        <w:spacing w:after="0" w:line="29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investigations or other actions, which could harm our reputation and have a material adverse effect on our business, financial condition and results of operations.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may be involved in and subject to litigation for a variety of claims or disputes and receive regulatory inquiries. These claims, lawsuits and proceedings could include labor and employment, wage and hour, commercial, intellectual property, data privacy and security,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financial condition and results of operations. Any claims or litigation, even if fully indemnified or insured, could make it more difficult to effectively compete or to obtain adequate insurance in the future.</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be required to spend significant resources to monitor and protect our contractual, intellectual property and other rights, including collection of payments and fees and enforcement of intellectual property rights. Litigation has been and may be necessary in the future to enforce such rights. Such litigation could be costly, time consuming and distracting to management and could result in the impairment or loss of our rights. Further,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liability if we breach our contracts, and our insurance may be inadequate to cover our losses.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numerous obligations in our contracts with organizations using our platform,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75"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legal liability for collecting, displaying or distributing information.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Because the content in our database is collected from various sources and distributed to others, we may be subject to claims for breach of contract, defamation, negligence, unfair competition or copyright or trademark infringement or claims based on other theories, such as breach of laws related to data privacy and security. We could also be subject to claims based upon the content that is accessible from our website through links to other websites or information on our website supplied by third parties. Even if these claims do not result in liability to us, we could incur significant costs in investigating and defending against any claims and we could be subject to public notice requirements that may affect our reputation. Our potential liability for information distributed by us to others could require us to implement measures to reduce our exposure to such liability, which may require us to expend substantial resources and limit the attractiveness of our analytics to users.</w:t>
      </w:r>
    </w:p>
    <w:p>
      <w:pPr>
        <w:spacing w:after="0" w:line="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6"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proprietary and intellectual property rights in our data analytics or data science.</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information and technology including our trade secrets and other unregistered intellectual property, which our competitors could use to market and deliver similar solutions, decreasing the demand for our platform. We may be unsuccessful in adequately protecting the proprietary aspects of our technology and solutions such as our proprietary software and databases. To protect our intellectual property rights, we primarily rely upon trade secret protection, including by entering into confidentiality and non-disclosure agreements, and other contractual arrangements, along with copyright law, rather than on registered intellectual property such as patents, registered copyrights or registered trademarks.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While it is our policy to require our employees, contractors, and other partners who may be involved in the development of intellectual property for us to execute agreements assigning such intellectual property to us, we may be unsuccessful in executing such an agreement with each party that develops intellectual property that we regard as ours. Additionally,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 we cannot guarantee that we have entered into such agreements with each party that has or may have had access to our trade secrets, confidential information, software (including our A.I. tools), or other proprietary technology. Further, these confidentiality, non-disclosure, or invention assignment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registered or unregistered trademarks and tradenames, or other intellectual property rights, may be challenged, infringed, circumvented, misappropriated, or otherwise violated, or declared invalid or unenforceable, or determined to be infringing on other marks. Furthermore, even if we are able to obtain intellectual property rights, any challenge to our intellectual property rights could result in them being narrowed in scope or declared invalid or unenforceable.</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Current law may not provide for adequate protection of our platform or proprietary information and technology. In addition, legal standards relating to the validity, enforceability and scope of protection of proprietary rights in datasets and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analytics may be unenforceable under the laws of certain jurisdictions. Further, the laws of some countries in which we operate or intend to operate do not protect proprietary rights to the same extent as the laws of the U.S., and mechanisms for enforcement of intellectual property rights in some foreign countries may be inadequate. To the extent we expand our international activities, our exposure to unauthorized copying and use of our proprietary information or technology, or certain aspects of our platform, or our data analytics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To protect our intellectual property rights, we may be required to spend significant resources to monitor and protect these rights, and we may not be able to detect infringement or misappropriation by our customers, business partners, or other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and data from third parties to develop and market new features, integrations and capabilities, and we cannot be certain that we could license that technology or data on commercially reasonable terms or at all, and our inability to license this technology or data could harm our ability to compete and have a material adverse effect on our business, financial condition and results of operations.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6" w:name="page37"/>
    <w:bookmarkEnd w:id="36"/>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 third parties may misappropriate our data or data analytics through website scraping, robots, or other means and aggregate and display this data or data analytics on their websites. Customers or partners may impermissibly retain our data in breach of our agreements with them, including past the expiration or termination of such agreements, and use our data or data analytics for purposes outside of the scope of our engagement with them. In addition, “copycat” websites may misappropriate data or data analytics on our website or platform and attempt to imitate our brands or the functionality of our website or platform. We may not be able to detect all such copycats in a timely manner and, even if we could, technological and legal measures available to us may be insufficient to stop their operations and the misappropriation of our data or data analytics. In addition, third parties that provide A.I. products and services, including some which are publicly available, may have trained A.I. tools or technology from our data without our consent and it may be difficult to enforce our copyrights and other intellectual property rights in connection with such unauthorized use, which could reduce demand for our products and services. Any measures that we may take to enforce our rights could require us to expend significant financial or other resources.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by others that we are infringing on their intellectual property rights.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competitors, as well as a number of other entities and individuals, including so-called non-practicing entities, may own or claim to own intellectual property relating to our product offering. From time to time, third parties may claim that we are infringing upon their intellectual property rights or that we have misappropriated their intellectual property. As competition in our market grows, the possibility of patent infringement, trademark infringement and other intellectual property claims against us increases. We may be unaware of the intellectual property rights that others may claim cover some or all of our technology or services. Because patent applications can take years to issue and are often afforded confidentiality for some period of time there may currently be pending applications, unknown to us, that later result in issued patents that could cover one or more aspects of our technology and services.</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Third parties may assert claims that we or our customers infringe or otherwise violate their intellectual property rights and these claims, with or without merit, could be expensive to litigate, cause us to incur substantial costs and divert management resources and attention in defending the claim. In some jurisdictions, plaintiffs can also seek injunctive relief that may limit the operation of our business or prevent the marketing and selling of our products or services that infringe or allegedly infringe on the plaintiff’s intellectual property rights. To resolve these claims, we may enter into licensing agreements with restrictive terms or significant fees, stop making our technology, products or services available, be required to implement costly redesigns to the affected technology, or products or services, or pay damages to satisfy contractual obligations to others. If we do not resolve these claims in advance of a trial, there is no guarantee that we will be successful in court. These outcomes could have a material adverse effect on our business, financial condition and operations.</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certain contracts with our suppliers or customers contain provisions whereby we are required to indemnify the counterparty for damages suffered as a result of claims related to intellectual property infringement and the use of data analytics by our technology, products, or services. Claims made under these provisions could be expensive to litigate and could result in significant payments. Even if we were to prevail in such a dispute, any litigation regarding our or others’ intellectual property could be costly and time-consuming and divert the attention of our management and key personnel from our business operations. The occurrence of infringement claims may grow as the market for our products grows.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impacted by changes in laws and regulations related to the Internet or changes in access to the Internet generally.</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future success of our Internet-based business depends upon the continued use of the Internet as a primary medium for communication, business applications, and commerce. Federal or state government bodies or agencies have in the past adopted, and may in the future adopt, laws or regulations affecting the use of the 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platform in order to comply with these changes, to incur substantial additional costs or divert resources that could otherwise be deployed to grow our business, or expose us to unanticipated civil or criminal liability, among other things.</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additional taxes, fees or other charges have been imposed and may, in the future, be imposed for Internet access or commerce conducted via the Internet. Internet access is frequently provided by companies that have significant market power and could take actions that degrade, disrupt or increase the cost of our customers’ use of our platform, which could negatively impact our business. Federal, state, or foreign governmental bodies or agencies have in the past adopted, and may in the future adopt, laws or regulations affecting the use of the internet as a commercial medium, including with respect to the adoption and repeal of “net neutrality” rules. For example, net neutrality rules, which were designed to ensure that all online content is treated the same by Internet service providers and other companies that provide broadband services, were adopted by the Federal Communications Commission (“FCC”) on May 7, 2024, but those rules were overturned by the U.S.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7" w:name="page38"/>
    <w:bookmarkEnd w:id="37"/>
    <w:p>
      <w:pPr>
        <w:ind w:right="60"/>
        <w:spacing w:after="0" w:line="254" w:lineRule="auto"/>
        <w:rPr>
          <w:sz w:val="20"/>
          <w:szCs w:val="20"/>
          <w:color w:val="auto"/>
        </w:rPr>
      </w:pPr>
      <w:r>
        <w:rPr>
          <w:rFonts w:ascii="Times New Roman" w:cs="Times New Roman" w:eastAsia="Times New Roman" w:hAnsi="Times New Roman"/>
          <w:sz w:val="18"/>
          <w:szCs w:val="18"/>
          <w:color w:val="auto"/>
        </w:rPr>
        <w:t>Court of Appeals for the Sixth Circuit on January 2, 2025. Changes to the party in control of the U.S. presidency, Congress, statehouses, or state legislatures may create at least the possibility that those law makers may enact laws or regulations on net neutrality, though the prospects for such actions are uncertain. Certain states have adopted or are adopting or considering legislation or executive actions that would regulate the conduct of broadband providers. California’s net neutrality law took effect in 2021, and a similar law in Vermont is subject to a pending challenge but went into effect on April 20, 2022. In addition, legislation to impose state-level net neutrality requirements has been proposed in New York. We cannot predict whether future FCC net neutrality rules or other state initiatives will be enforced, modified, overturned, or vacated by legal action of a court, federal legislation, or the FCC. In addition, the status of state regimes may be affected by FCC action. Future repeals of the net neutrality rules or the failure to adopt such rules in the states could force us to incur greater operating expenses or our customers’ use of our platform could be adversely affected, either of which could harm our business and results of operations.</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These developments could limit the growth of Internet-related commerce or communications generally or result in reductions in the demand for Internet-based platforms and services such as ours, increased costs to us or the disruption of our business. Furthermore,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 Moreover,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generally, or our platform specifically, is adversely affected by these or other issues, we could be forced to incur substantial costs, demand for our platform could decline, and our results of operations and financial condition could be harmed.</w:t>
      </w:r>
    </w:p>
    <w:p>
      <w:pPr>
        <w:spacing w:after="0" w:line="29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and legislative developments related to the use of A.I. could adversely affect our use of such technologies in our products, services, and business and expose us to legal and regulatory risks.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regulatory framework for A.I. and similar technologies is changing rapidly. New laws and regulations, or the interpretation of existing laws and regulations, in any of the jurisdictions in which we operate may affect our ability to leverage A.I. and may expose us to legal and regulatory risks, government enforcement, or civil suits and may result in increases in our operational and development expenses that impact our ability to develop, earn revenue from, or utilize any products or services incorporating A.I. Furthermore, if we cannot use A.I. or that use is restricted, our business may be less efficient, or we may be at a competitive disadvantage. We may not be able to adequately anticipate or respond to these evolving laws and regulations, and we may need to expend additional resources to adjust our products or services in certain jurisdictions if applicable legal frameworks are inconsistent across jurisdictions. Because these technologies are rapidly developing, it is not possible to predict all of the legal or regulatory risks that may arise relating to our use of such technologies. The costs related to any litigation and to comply with such laws or regulations could be significant and would increase our operating expenses, which could adversely affect our business, financial condition, and results of operations.</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Risks Related to Certain Tax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Unanticipated changes in our effective tax rate and additional tax liabilities may impact our financial results.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taxes in the U.S. and certain foreign jurisdictions. Due to economic and political conditions, tax rates in various jurisdictions, including the U.S., may be subject to change. The U.S. government may enact significant changes to the taxation of business entities, including, among others, a permanent increase in the corporate income tax rate, an increase in the tax applicable to the global low-taxed income and the imposition of minimum taxes or surtaxes on certain types of income. Our future effective tax rates could be affected by changes in the mix of earnings in countries with differing statutory tax rates, changes in the valuation of deferred tax assets and liabilities and changes in tax laws or their interpretation.</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28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in the various tax jurisdictions we are subject to that are applied adversely to us or our paying customers could increase the costs of our platform and harm our business.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Those enactments could harm our domestic and foreign business operations and our business, financial condition and results of operations.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subscribe to our platform in the future. Additionally, new, changed, modified or newly interpreted or applied tax laws could increase our paying customers’ and our compliance, operating and other costs, as well as the costs of our platform. Further, these events could decrease the capital we have available to operate our business. Any or all of these events could harm our business, financial condition and results of operations.</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Additionally, the application of U.S. federal, state, local and foreign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taxes, fines or penalties and thereby have a material adverse effect on our business, financial condition and results of operations.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39" w:name="page40"/>
    <w:bookmarkEnd w:id="39"/>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harmed if we are required to collect sales or other related taxes for subscriptions to our platform in jurisdictions where we have not historically done so.</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States and some local taxing jurisdictions have differing rules and regulations governing sales and use taxes, and these rules and regulations are subject to varying interpretations that may change over time. The application of federal, state, local and foreign tax laws to services provided electronically is unclear and continually evolving. In particular, the applicability of sales taxes to our platform in various jurisdictions is unclear. For example, during the quarter ended June 30, 2023, we determined that sales in certain states were subject to sales tax and that we had not assessed such sales tax on sales of our services to customers. As a result, we entered into voluntary disclosure agreements with the applicable jurisdictions, which were settled as of December 31, 2024.</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collect and remit U.S. sales tax and foreign value-added tax (“VAT”), in a number of jurisdictions. It is possible, however, that we could face sales tax or VAT audits and that our liability for these taxes could exceed our estimates as state and foreign taxing authorities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tax, VAT or other taxes on our services in jurisdictions where we have not historically done so and do not accrue for sales taxes and VAT could result in substantial tax liabilities for past sales or services, discourage organizations from subscribing to our platform, or otherwise have a material adverse effect on our business, financial condition and results of operations.</w:t>
      </w:r>
    </w:p>
    <w:p>
      <w:pPr>
        <w:spacing w:after="0" w:line="81"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Further, one or more state or foreign taxing authorities could seek to impose additional sales tax, use tax, VAT or other tax collection and record-keeping obligations on us or may determine that such taxes should have, but have not been, paid by us. Liability for past taxes may also include substantial interest and penalty charges. Any successful action by state or foreign taxing authorities to compel us to collect and remit sales tax, use tax, VAT or other taxes, either retroactively and/or prospectively, could have a material adverse effect on our business, financial condition and results of operations.</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Risks Related to Accounting and Financial Reporting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change in deferred revenue may not be accurate indicators of our future financial results.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annualized value of some customer subscriptions may not be completely reflected in deferred revenue at any single point in time. We may agree to allow customers to change the renewal dates of their orders to, for example, align more closely with a customer’s annual budget process or to align with the renewal dates of other orders placed by other entities within the same corporate control group, or to change payment terms from annual to quarterly, or vice versa. Such changes typically result in an order of less than one year as necessary to align all orders to the desired renewal date and, thus, may result in a lesser increase to deferred revenue than if the adjustment had not occurred. Additionally, changes in renewal dates may change the fiscal quarter in which deferred revenue associated with a particular order is booked. However, many companies that provide cloud-based software report changes in deferred revenue or calculated billings as key operating or financial metrics, and it is possible that analysts or investors may view these metrics as important. Thus, any changes in our deferred revenue balances or deferred revenue trends, or in the future, our unbilled accounts receivable balances or trends, could adversely affect the market price of our Class A Common Stock.</w:t>
      </w:r>
    </w:p>
    <w:p>
      <w:pPr>
        <w:spacing w:after="0" w:line="29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short-term investment balances and may not use them effectively.</w:t>
      </w:r>
    </w:p>
    <w:p>
      <w:pPr>
        <w:spacing w:after="0" w:line="12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We have broad discretion in the use of our cash balances and may not use them effectively. The failure by our management to apply these funds effectively could adversely affect our business, financial condition and results of operations. Pending their use, we may invest our cash balances in a manner that does not produce income or that loses value. Our investments may not yield a favorable return to our investors and may have a material adverse effect on the price of our Class A Common Stock.</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41" w:name="page42"/>
    <w:bookmarkEnd w:id="41"/>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goodwill and intangible assets on our balance sheet, and our results of operations have in the past been and may in the future be adversely affected if we fail to realize the full value of our goodwill and intangible assets.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a significant amount of goodwill and intangible assets on our balance sheet, and our results of operations may be adversely affected if we fail to realize the full value of our goodwill and intangible assets. Our balance sheet reflects goodwill of $393.3 million and $1.1 billion as of December 31, 2024 and 2023, respectively, and intangible assets, net of accumulated amortization, of $297.9 million and $323.1 million as of December 31, 2024 and 2023, respectively. In accordance with accounting principles generally accepted in the United States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79" w:lineRule="exact"/>
        <w:rPr>
          <w:sz w:val="20"/>
          <w:szCs w:val="20"/>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relative to historical or projected future operating results;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manner of our use of acquired assets or the strategy for our overall business;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industry or economic trends; or</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our market capitalization relative to net book value for a sustained period.</w:t>
      </w:r>
    </w:p>
    <w:p>
      <w:pPr>
        <w:spacing w:after="0" w:line="117"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have a material adverse effect on our business, financial condition and results of operations.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have recently experienced declines in our market capitalization as a result of sustained decreases in our stock price, which resulted in goodwill impairment charges of $688.9 million and $287.4 million during the years ended December 31, 2024 and 2023, respectively. Refer to Note 9. </w:t>
      </w:r>
      <w:r>
        <w:rPr>
          <w:rFonts w:ascii="Times New Roman" w:cs="Times New Roman" w:eastAsia="Times New Roman" w:hAnsi="Times New Roman"/>
          <w:sz w:val="18"/>
          <w:szCs w:val="18"/>
          <w:i w:val="1"/>
          <w:iCs w:val="1"/>
          <w:color w:val="auto"/>
        </w:rPr>
        <w:t>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for further information. Our reporting unit is at risk of future goodwill impairments if we again experience a continued decline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capitalization or if macroeconomic conditions worsen, which could represent potential indicators of impairment requiring further impairment analysis in 2025. We continue to monitor for potential impairment should impairment indicators arise. If actual results in our single reporting unit are substantially lower than the projections used in our valuation methodology, or if market discount rates substantially increase or our market capitalization substantially decreases, then our future valuations could be adversely affected. We could be required to record a significant charge to earnings in our financial statements during the period in which any impairment of our goodwill or intangible assets is determined, negatively impacting our results of operations.</w:t>
      </w:r>
    </w:p>
    <w:p>
      <w:pPr>
        <w:spacing w:after="0" w:line="2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 material weakness in our internal control over financial reporting, and although we have remediated this material weakness, we cannot assure you that additional material weaknesses or significant deficiencies will not occur in the future. If we fail to maintain an effective system of internal controls, we may not be able to accurately report our financial results or prevent fraud. As a result, our stockholders could lose confidence in our financial reporting, which could harm our business and the trading price of our common stock.</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of 2002, to furnish a report by management on, among other things, the effectiveness of our internal control over financial reporting. This assessment includes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42" w:name="page43"/>
    <w:bookmarkEnd w:id="42"/>
    <w:p>
      <w:pPr>
        <w:ind w:right="220"/>
        <w:spacing w:after="0" w:line="282" w:lineRule="auto"/>
        <w:rPr>
          <w:sz w:val="20"/>
          <w:szCs w:val="20"/>
          <w:color w:val="auto"/>
        </w:rPr>
      </w:pPr>
      <w:r>
        <w:rPr>
          <w:rFonts w:ascii="Times New Roman" w:cs="Times New Roman" w:eastAsia="Times New Roman" w:hAnsi="Times New Roman"/>
          <w:sz w:val="18"/>
          <w:szCs w:val="18"/>
          <w:color w:val="auto"/>
        </w:rPr>
        <w:t>harmed if we experience problems with any new systems and controls that result in delays in their implementation or increased costs to correct any post-implementation issues that may arise.</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disclosed within this Annual Report on Form 10-K, management identified a material weakness in internal control related to the collection and remittance of sales tax and concluded that our internal control over financial reporting was not effective as of December 31, 2023. Although this material weakness has been remediated, these remediation measures have been time consuming and costly and may continue to incur additional time and expense. If other material weaknesses or other deficiencies arise in the future, we may be unable to accurately report our financial results, which could cause our financial results to be materially misstated and require restatement.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secure sufficient additional financing on favorable terms, or at all, to meet our future capital needs.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may require additional capital in the future to pursue business opportunities or acquisitions or respond to challenges and unforeseen circumstances. We may also decide to engage in equity or debt financings or enter into additional credit facilities for other reasons. We may not be able to secure additional debt or equity financing in a timely manner, on favorable terms, or at all. Any debt financing we obtain in the future could involve restrictive covenants relating to our capital raising activities and other financial and operational matters, which may make it more difficult for us to obtain additional capital and pursue business opportunities, including potential acquisitions.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default under our debt agreements could have significant consequences.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2021 Credit Agreement (as defined below) contains covenants imposing certain restrictions on our business. These restrictions may affect our ability to operate our business and may limit our ability to take advantage of potential business opportunities as they arise. The 2021 Credit Agreement contains restrictive covenants including, with specified exceptions, limitations on our ability to incur debt and liens; make certain investments, acquisitions and loans; pay dividends or make other distributions; make payments on subordinated debt; enter into burdensome agreements or affiliate transactions; consolidate, merge or dissolve; acquire or dispose of assets; materially alter our business, amend our organizational documents or the terms of certain restricted debt; and modify our fiscal year end. The 2021 Credit Agreement also requires us to, commencing on the last day of the fiscal quarter ended December 31, 2021, maintain a maximum total leverage ratio.</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ability to comply with these covenants under the 2021 Credit Agreement may be affected by events beyond our control, including prevailing economic, financial and industry conditions. The breach of any of these covenants could result in an event of default, which would permit Bank of America, N.A. (the “Administrative Agent”) or the specified threshold of lenders to declare all outstanding debt to be due and payable, together with accrued and unpaid interest. Our obligations under the 2021 Credit Agreement are secured by liens on substantially all of our assets, subject to agreed-upon exceptions. Any default by us under the 2021 Credit Agreement could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level of indebtedness could have a material adverse effect on our business, financial condition and results of operations.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total principal amount of debt outstanding, excluding unamortized debt issuance costs, under the 2021 Credit Agreement as of December 31, 2024 was $244.1 million.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indebtedness could have significant effects on our business, such as:</w:t>
      </w:r>
    </w:p>
    <w:p>
      <w:pPr>
        <w:spacing w:after="0" w:line="117" w:lineRule="exact"/>
        <w:rPr>
          <w:sz w:val="20"/>
          <w:szCs w:val="20"/>
          <w:color w:val="auto"/>
        </w:rPr>
      </w:pPr>
    </w:p>
    <w:p>
      <w:pPr>
        <w:ind w:left="1140" w:right="120" w:hanging="504"/>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to fund acquisitions, debt service requirements, execution of our growth strategy, capital expenditures and other purposes;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make investments, including acquisitions, loans and advances, and to sell, transfer or otherwise dispose of assets;</w:t>
      </w:r>
    </w:p>
    <w:p>
      <w:pPr>
        <w:spacing w:after="0" w:line="11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 principal and interest on our borrowings, which would reduce availability of our cash flow to fund working capital, acquisitions, execution of our growth strategy, capital expenditures and other general corporate purposes;</w:t>
      </w:r>
    </w:p>
    <w:p>
      <w:pPr>
        <w:spacing w:after="0" w:line="67" w:lineRule="exact"/>
        <w:rPr>
          <w:rFonts w:ascii="Times New Roman" w:cs="Times New Roman" w:eastAsia="Times New Roman" w:hAnsi="Times New Roman"/>
          <w:sz w:val="18"/>
          <w:szCs w:val="18"/>
          <w:color w:val="auto"/>
        </w:rPr>
      </w:pPr>
    </w:p>
    <w:p>
      <w:pPr>
        <w:ind w:left="1140" w:right="120" w:hanging="504"/>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with our competitors that have less debt; and</w:t>
      </w:r>
    </w:p>
    <w:p>
      <w:pPr>
        <w:spacing w:after="0" w:line="117" w:lineRule="exact"/>
        <w:rPr>
          <w:rFonts w:ascii="Times New Roman" w:cs="Times New Roman" w:eastAsia="Times New Roman" w:hAnsi="Times New Roman"/>
          <w:sz w:val="18"/>
          <w:szCs w:val="18"/>
          <w:color w:val="auto"/>
        </w:rPr>
      </w:pPr>
    </w:p>
    <w:p>
      <w:pPr>
        <w:ind w:left="1140" w:right="440" w:hanging="504"/>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could have a material adverse effect on our business, financial condition and results of operation.</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44" w:name="page45"/>
    <w:bookmarkEnd w:id="44"/>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Pursuant to our 2021 Credit Agreement, we are required to maintain, commencing on the last day of the fiscal quarter ending December 31, 2021, on a consolidated basis, a maximum ratio of consolidated net debt to consolidated EBITDA (with certain adjustments as set forth in the 2021 Credit Agreement), tested as of the last day of any fiscal quarter.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comply with the covenants under our credit agreements or volatility in the credit and capital markets could have a material adverse effect on our business, financial condition, liquidity and results of operation.</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ability to manage our debt is dependent on our level of positive cash flow from the sale of our platform. An economic downturn may negatively impact our cash flows. Credit and capital markets can be volatile, and have recently experienced such volatility in light of global economic factors, which could make it more difficult for us to refinance our existing debt or to obtain additional debt or equity financings in the future. Such constraints could increase our costs of borrowing and could restrict our access to other potential sources of future liquidity. Future volatility or disruption in the credit and capital markets could require us to take measures to conserve cash until the markets stabilize or until alternative credit arrangements or other funding for our business needs can be arranged. Our failure to comply with the covenants under our credit agreements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principal asset is our 74.3% ownership interest in Definitive OpCo, and we are accordingly dependent upon distributions from Definitive OpCo to pay dividends, if any, and taxes, make payments under the Tax Receivable Agreement and pay other expenses.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 holding company and our principal asset is our ownership of 74.3% of the outstanding LLC Units (as of December 31, 2024), exclusive of unvested LLC Units. We have no independent means of generating revenue. We anticipate that Definitive OpCo will continue to be treated as a partnership for U.S. federal and applicable state and local income tax purposes and, as such, will generally not be subject to entity-level U.S. federal and applicable state and local income tax. Instead, the taxable income of Definitive OpCo is allocated among its members, including us. Accordingly, we incur income taxes on our allocable share of any taxable income of Definitive OpCo. We also incur expenses related to our operations, and have obligations to make payments under the Tax Receivable Agreement. As the sole managing member of Definitive OpCo, we intend to cause Definitive OpCo to make distributions to the holders of LLC Units in amounts sufficient to (i) cover all of the income taxes payable by holders of LLC Units (including us) on such holders’ respective allocable shares of the taxable income of Definitive OpCo, (ii) allow us to make any payments required under the Tax Receivable Agreement, (iii) fund dividends to our stockholders in accordance with our dividend policy, to the extent that our board of directors declares such dividends and (iv) pay our expenses.</w:t>
      </w:r>
    </w:p>
    <w:p>
      <w:pPr>
        <w:spacing w:after="0" w:line="8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Deterioration in the financial condition, earnings or cash flow of Definitive OpCo and its subsidiaries for any reason could limit or impair their ability to pay such distributions. Additionally, to the extent that we need funds and Definitive OpCo is restricted from making such distributions under applicable law or regulation, as a result of covenants in its debt agreements or otherwise, we may not be able to obtain such funds on terms acceptable to us, or at all, which could have a material adverse effect on our liquidity and financial condition. In addition, for taxable years beginning after December 31, 2017, liability for adjustments to a partnership’s tax return can be imposed on the partnership itself in certain circumstances, absent an election to the contrary. Definitive OpCo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Definitive OpCo will be required to make distributions to us and the other holders of LLC Units, and the distributions that Definitive OpCo will be required to make may be substantial.</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Under the Amended LLC Agreement, Definitive OpCo is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As a result of (i) potential differences in the amount of taxable income allocable to us and the other LLC Unit holders, (ii) the lower tax rate applicable to corporations than individuals and (iii) the use of an assumed tax rate (based on the tax rate applicable to individuals) in calculating Definitive OpCo’s distribution obligations,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To the extent that we do not distribute such excess cash as dividends on our Class A Common Stock or otherwise take ameliorative actions between LLC Units and shares of Class A Common Stock and instead, for example, hold such cash balances, holders of our LLC Units (other than Definitive Healthcare Corp.) may benefit from any value attributable to such cash balances as a result of their ownership of Class A Common Stock following a redemption or exchange of their LLC Units, notwithstanding that such holders of our LLC Units (other than Definitive Healthcare Corp.) may previously have participated as holders of LLC Units in distributions by Definitive OpCo that resulted in such excess cash balances at Definitive Healthcare Corp.</w:t>
      </w:r>
    </w:p>
    <w:p>
      <w:pPr>
        <w:spacing w:after="0" w:line="29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structure, including the Tax Receivable Agreement, confers certain benefits upon the TRA Parties that will not benefit holders of our Class A Common Stock to the same extent that it will benefit the TRA Parties. The Tax Receivable Agreement with the TRA Parties requires Definitive Healthcare Corp. to make cash payments to TRA Parties in respect of certain tax benefits to which it may become entitled, and we expect that such payments will be substantial.</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organizational structure, including the Tax Receivable Agreement, confers certain benefits upon the TRA Parties that will not benefit the holders of Class A Common Stock to the same extent that it will benefit the TRA Parties. Although Definitive Healthcare Corp. holds 15% of the amount of such tax benefits, this and other aspects of our organizational structure may adversely impact the future trading market for our Class A Common Stock. Under the Tax Receivable Agreement, we are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46" w:name="page47"/>
    <w:bookmarkEnd w:id="46"/>
    <w:p>
      <w:pPr>
        <w:ind w:right="60"/>
        <w:spacing w:after="0" w:line="253" w:lineRule="auto"/>
        <w:rPr>
          <w:sz w:val="20"/>
          <w:szCs w:val="20"/>
          <w:color w:val="auto"/>
        </w:rPr>
      </w:pPr>
      <w:r>
        <w:rPr>
          <w:rFonts w:ascii="Times New Roman" w:cs="Times New Roman" w:eastAsia="Times New Roman" w:hAnsi="Times New Roman"/>
          <w:sz w:val="18"/>
          <w:szCs w:val="18"/>
          <w:color w:val="auto"/>
        </w:rPr>
        <w:t>required to make cash payments to the TRA Parties equal to 85% of the tax benefits, if any, that Definitive Healthcare Corp. actually realizes, or in certain circumstances are deemed to realize, as a result of (i) certain tax attributes that Definitive Healthcare Corp. acquired from the Blocker Companies, (ii) certain tax basis adjustments resulting from (a) acquisitions by Definitive Healthcare Corp. of LLC Units from existing holders and (b) future redemptions or exchanges of LLC Units by holders of LLC Units for Class A Common Stock or other consideration and (iii) certain payments made under the Tax Receivable Agreement. The payment obligations under the Tax Receivable Agreement are obligations of Definitive Healthcare Corp. and we expect that the amount of the cash payments that we are required to make under the Tax Receivable Agreement will be significant. Any payments made by Definitive Healthcare Corp. to the TRA Parties under the Tax Receivable Agreement will not be available for reinvestment in our business and will generally reduce the amount of overall cash flow that might have otherwise been available to us. The payments under the Tax Receivable Agreement are not conditioned upon continued ownership of us by the exchanging TRA Parties. Furthermore, Definitive Healthcare Corp.’s future obligation to make payments under the Tax Receivable Agreement could make us a less attractive target for an acquisition, particularly in the case of an acquirer that cannot use some or all of the tax benefits that are the subject of the Tax Receivable Agreement.</w:t>
      </w:r>
    </w:p>
    <w:p>
      <w:pPr>
        <w:spacing w:after="0" w:line="29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to the TRA Parties may be accelerated or significantly exceed any actual benefits we realize in respect of the tax attributes subject to the Tax Receivable Agreement.</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Tax Receivable Agreement provides that upon certain mergers, asset sales, other forms of business combinations or other changes of control, upon a breach of any of our material obligations under the Tax Receivable Agreement or if, at any time, we elect an early termination of the Tax Receivable Agreement, then our obligations, or our successor’s obligations, under the Tax Receivable Agreement to make payments will accelerate. The accelerated payments required in such circumstances will be calculated by reference to the present value (at a discount rate equal to LIBOR plus 100 basis points or a replacement rate) of all future payments that TRA Parties or other recipients would have been entitled to receive under the Tax Receivable Agreement, and such accelerated payments and any other future payments under the Tax Receivable Agreement will be based on certain assumptions, including an assumption that we would have sufficient taxable income to fully utilize all potential future tax benefits that are subject to the Tax Receivable Agreement.</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a result of the foregoing, we could be required to make payments under the Tax Receivable Agreement that are greater than the specified percentage of any actual benefits we ultimately realize in respect of the tax benefits that are subject to the Tax Receivable Agreement, and we could be required to make payments under the Tax Receivable Agreement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case of certain changes of control,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8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TRA Parties under the Tax Receivable Agreement in the event that any tax benefits are disallowed.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U.S. Internal Revenue Service, or the IRS, or another taxing authority may challenge all or part of the tax basis increases or other tax benefits that we claim, as well as other related tax positions we take, and a court could sustain such challenge. If the outcome of any such challenge would reasonably be expected to materially affect a recipient’s payments under the Tax Receivable Agreement, then we will not be permitted to settle or fail to contest such challenge without the consent (not to be unreasonably withheld or delayed) of certain TRA Parties. The 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Tax Receivable Agreement in the event that any tax benefits initially claimed by us and for which payment has been made to a TRA Party are subsequently challenged by a taxing authority and are ultimately disallowed. Instead, any excess cash payments made by us to a TRA Party will be netted against any future cash payments that we might</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47" w:name="page48"/>
    <w:bookmarkEnd w:id="47"/>
    <w:p>
      <w:pPr>
        <w:ind w:right="40"/>
        <w:spacing w:after="0" w:line="255" w:lineRule="auto"/>
        <w:rPr>
          <w:sz w:val="20"/>
          <w:szCs w:val="20"/>
          <w:color w:val="auto"/>
        </w:rPr>
      </w:pPr>
      <w:r>
        <w:rPr>
          <w:rFonts w:ascii="Times New Roman" w:cs="Times New Roman" w:eastAsia="Times New Roman" w:hAnsi="Times New Roman"/>
          <w:sz w:val="18"/>
          <w:szCs w:val="18"/>
          <w:color w:val="auto"/>
        </w:rPr>
        <w:t>otherwise be required to make to such TRA Party, as applicable, under the terms of the Tax Receivable Agreement.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previously made under the Tax Receivable Agreement could be greater than the amount of future cash payments against which we would otherwise be permitted to net such excess. As a result, payments made under the Tax Receivable Agreement could be significantly in excess of any tax savings that we realize from the tax attributes could be that are the subject of the Tax Receivable Agreement</w:t>
      </w:r>
    </w:p>
    <w:p>
      <w:pPr>
        <w:spacing w:after="0" w:line="293"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(the “1940 Act”), as a result of our ownership of Definitive OpCo, applicable restrictions could make it impractical for us to continue our business as contemplated and could have a material adverse effect on our business.</w:t>
      </w:r>
    </w:p>
    <w:p>
      <w:pPr>
        <w:spacing w:after="0" w:line="6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7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the sole managing member of Definitive OpCo, we control and operate Definitive OpCo. On that basis, we believe that our interest in Definitive OpCo is not an “investment security” as that term is used in the 1940 Act. However, if we were to cease participation in the management of Definitive OpCo, or if Definitive OpCo itself becomes an investment company, our interest in Definitive OpCo, could be deemed an “investment security” for purposes of the 1940 Act.</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and Definitive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have a material adverse effect on the market price of our Class A Common Stock.</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Class A Common Stock or by offering debt or other equity securities, including senior or subordinated notes, debt securities convertible into equity or shares of preferred stock. 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Class A Common Stock. The issuance of additional shares of our Class A Common Stock or other equity securities or securities convertible into equity may dilute the economic and voting rights of our existing stockholders and/or reduce the market price of our Class A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have a material adverse effect on the amount, timing, or nature of our future offerings. Thus, holders of our Class A Common Stock bear the risk that our future offerings may reduce the market price of our Class A Common Stock and dilute their stockholdings in us.</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long-term stockholder value of our stock repurchase program, and any failure to repurchase our common stock after we have announced our intention to do so may negatively impact our stock price.</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November 2024, our board of directors authorized a stock repurchase program for the repurchase of up to $100 million of the Company’s Class A common stock, which expires on December 31, 2025. Under the repurchase program, we may repurchase shares of our outstanding Class A common stock from time to time in the open market (including pre-set trading plans), through privately negotiated transactions and/or other means in compliance with applicable securities laws.</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timing and amount of any repurchases will be determined by management based on an evaluation of market conditions and other factors. The program does not obligate us to acquire any particular amount of Class A common stock and may be suspended or discontinued at any time at our discretion. Any failure to repurchase stock after we have announced our intention to do so may negatively impact our reputation, investor confidence in us, or our stock price.</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existence of our stock repurchase program could cause our stock price to be higher than it otherwise would be and could potentially reduce the market liquidity for our stock. Although our stock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Repurchasing our common stock reduces the amount of cash we have available to fund working capital, capital expenditures, strategic acquisitions or investments, other business opportunities, and other general corporate projects, and we may fail to realize the anticipated long-term stockholder value of any stock repurchase program.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directors and stockholders will not have any obligation to present business opportunities to us and may compete with us.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directors and stockholders affiliated with Advent and Spectrum Equity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such directors and stockholders will not be liable to us or our stockholders for breach of any duty by reason of any such activities.</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a result, our directors and stockholders affiliated with Advent and Spectrum Equity will not be prohibited from investing in competing businesses or doing business with our customers. Therefore, we may be in competition with our directors and stockholders or their respective affiliates, and we may not have knowledge of, or be able to pursue, transactions that could potentially be beneficial to us. Accordingly, we may lose certain corporate opportunities or suffer competitive harm, which could have a material adverse effect on our business, financial condition and results of operations.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49" w:name="page50"/>
    <w:bookmarkEnd w:id="49"/>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quarterly results of operations may fluctuate due to seasonal and other factors. Accordingly, results for any one quarter are not necessarily indicative of results to be expected for any other quarter or for any year. In addition, if we increase our marketing or promotional activity in certain periods, the seasonality of our business may be amplified. In the future, results of operations may fall below the expectations of securities analysts and investors. In that event, the price of our Class A Common Stock could be adversely impacted.</w:t>
      </w:r>
    </w:p>
    <w:p>
      <w:pPr>
        <w:spacing w:after="0" w:line="28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Class A Common Stock has been and may continue to be volatile, which could result in rapid and substantial losses for our stockholders, and you may lose all or part of your investment.</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Shares of our Class A Common Stock have experienced and may continue to experience significant volatility.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continue to decline significantly in the future and you could lose all or part of your investment. Some of the factors that could negatively affect our share price or result in fluctuations in the price or trading volume of our Class A Common Stock include:</w:t>
      </w:r>
    </w:p>
    <w:p>
      <w:pPr>
        <w:spacing w:after="0" w:line="75" w:lineRule="exact"/>
        <w:rPr>
          <w:sz w:val="20"/>
          <w:szCs w:val="20"/>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or annual results of operations;</w:t>
      </w:r>
    </w:p>
    <w:p>
      <w:pPr>
        <w:spacing w:after="0" w:line="117" w:lineRule="exact"/>
        <w:rPr>
          <w:rFonts w:ascii="Times New Roman" w:cs="Times New Roman" w:eastAsia="Times New Roman" w:hAnsi="Times New Roman"/>
          <w:sz w:val="18"/>
          <w:szCs w:val="18"/>
          <w:color w:val="auto"/>
        </w:rPr>
      </w:pPr>
    </w:p>
    <w:p>
      <w:pPr>
        <w:ind w:left="1140" w:right="120" w:hanging="504"/>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earnings estimates (if provided) or differences between our actual results of operations and those expected by investors and analysts;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published research reports about us or our industry or the failure of securities analysts to cover our Class A Common Stock;</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increased indebtedness we may incur in the future;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others and developments affecting us;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stockholders;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judicial pronouncements interpreting laws and regulations;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Class A Common Stock in the public markets;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investment community with respect to us or our industry in general;</w:t>
      </w:r>
    </w:p>
    <w:p>
      <w:pPr>
        <w:spacing w:after="0" w:line="117" w:lineRule="exact"/>
        <w:rPr>
          <w:rFonts w:ascii="Times New Roman" w:cs="Times New Roman" w:eastAsia="Times New Roman" w:hAnsi="Times New Roman"/>
          <w:sz w:val="18"/>
          <w:szCs w:val="18"/>
          <w:color w:val="auto"/>
        </w:rPr>
      </w:pPr>
    </w:p>
    <w:p>
      <w:pPr>
        <w:ind w:left="1140" w:right="100" w:hanging="504"/>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dispositions, strategic relationships, joint ventures or capital commitments; and</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political and economic conditions, including local conditions in the markets in which we operate.</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These broad market and industry factors may decrease the market price of our Class A Common Stock, regardless of our actual financial performance. The stock market in general has from time to time experienced extreme price and volume fluctuations, and the trading prices of technology company securities have been highly volatile,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50" w:name="page51"/>
    <w:bookmarkEnd w:id="50"/>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could be negatively affected by sales of substantial amounts of our Class A Common Stock in the public markets.</w:t>
      </w:r>
    </w:p>
    <w:p>
      <w:pPr>
        <w:spacing w:after="0" w:line="5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2024, we had a total of 113,953,554 shares of Class A Common Stock outstanding. Of those shares, 62,493,676 shares were held by Advent, our largest stockholder and one of our pre-IPO owners. In addition, as of December 31, 2024, our pre-IPO owners held directly or indirectly a total of 39,439,198 LLC Units that, subject to applicable time-vesting conditions (some of which have already been met), can ultimately be redeemed or exchanged for our Class A Common Stock. In connection with the completion of our IPO, we entered into a Registration Rights Agreement with certain pre-IPO owners, including Advent, Spectrum Equity, and our founder. Any sales in connection with the Registration Rights Agreement or otherwise in compliance with the </w:t>
      </w:r>
      <w:r>
        <w:rPr>
          <w:rFonts w:ascii="Times New Roman" w:cs="Times New Roman" w:eastAsia="Times New Roman" w:hAnsi="Times New Roman"/>
          <w:sz w:val="18"/>
          <w:szCs w:val="18"/>
          <w:color w:val="231F20"/>
        </w:rPr>
        <w:t>Securities Act of 1933, as amended (the “Securities Act”)</w:t>
      </w:r>
      <w:r>
        <w:rPr>
          <w:rFonts w:ascii="Times New Roman" w:cs="Times New Roman" w:eastAsia="Times New Roman" w:hAnsi="Times New Roman"/>
          <w:sz w:val="18"/>
          <w:szCs w:val="18"/>
          <w:color w:val="auto"/>
        </w:rPr>
        <w:t>, or the prospect of any such sales, could materially and adversely impact the market price of our Class A common stock and could impair our ability to raise capital through future sales of equity securities.</w:t>
      </w:r>
    </w:p>
    <w:p>
      <w:pPr>
        <w:spacing w:after="0" w:line="8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addition, as of December 31, 2024, up to 9,105,791 shares of our Class A common stock may be issued upon vesting and settlement of outstanding RSUs, and 10,600,545, 1,520,408, and 3,715,178 shares of our Class A common stock are available for future issuance under our 2021 Equity Incentive Plan, our 2023 Inducement Plan, and our 2021 Employee Stock Purchase Plan, respectively, and will become eligible for sale in the public market to the extent permitted by the provisions of various vesting schedules, exercise limitations and the securities laws. We have registered all of the shares of Class A Common Stock issuable upon vesting and settlement of restricted stock units, as well as other equity incentive awards we may grant in the future for public resale under the Securities Act. Shares of Class A Common Stock will become eligible for sale in the public market to the extent such restricted stock units settle, subject to compliance with applicable securities laws.</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w:t>
      </w:r>
    </w:p>
    <w:p>
      <w:pPr>
        <w:spacing w:after="0" w:line="280"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issuance of additional Class A Common Stock in connection with any equity plans, acquisitions or otherwise will dilute all other stockholdings.</w:t>
      </w:r>
    </w:p>
    <w:p>
      <w:pPr>
        <w:spacing w:after="0" w:line="5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we had an aggregate of 461,104,523 shares of Class A Common Stock authorized but unissued and not reserved for issuance under our equity incentive plans. We may issue all these shares of Class A Common Stock without any action or approval by our stockholders, subject to certain exceptions. The issuance of any Class A Common Stock in connection with any equity incentive plan, the exercise of outstanding stock options or otherwise would dilute the percentage ownership held by owners of our Class A Common Stock.</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incur significant costs to comply with the laws and regulations affecting public companies, which could harm our business and results of operations.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listing requirements of Nasdaq, and other applicable securities rules and regulations. These rules and regulations have increased and will continue to increase our legal, accounting and financial compliance costs and have made and will continue to make some activities more time-consuming and costly. We have experienced, and expect to continue to experience, costs associated with being a public company, including costs associated with compliance with the auditor attestation requirement of Section 404 of the Sarbanes-Oxley Act, or Section 404, the adoption of certain accounting standard updates, and additional disclosure requirements. These rules and regulations could also make it more difficult for us to attract and retain qualified persons to serve on our board or our board committees or as executive officers. Our management and other personnel devote a substantial amount of time to these compliance initiatives, diverting their attention from other business concerns, which could harm our business, financial condition and results of operations.</w:t>
      </w:r>
    </w:p>
    <w:p>
      <w:pPr>
        <w:spacing w:after="0" w:line="8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To comply with the requirements of being a public company, including the Sarbanes-Oxley Act, we continue to undertake various actions, such as further developing and refining internal controls and procedures and hiring accounting or internal audit staff or outsourcing certain functions to third parties, which could have a material adverse effect on our business, financial condition and results of operations.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51" w:name="page52"/>
    <w:bookmarkEnd w:id="51"/>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executive officers, directors, and current beneficial owners of 5% or more of our common stock beneficially own a significant percentage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Definitive Healthcare Corp. is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amended and restated bylaws may make it more difficult for, or prevent a third-party from, acquiring control of us without the approval of our Board. Among other things, these provisions generally:</w:t>
      </w:r>
    </w:p>
    <w:p>
      <w:pPr>
        <w:spacing w:after="0" w:line="72" w:lineRule="exact"/>
        <w:rPr>
          <w:sz w:val="20"/>
          <w:szCs w:val="20"/>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with staggered three-year terms;</w:t>
      </w:r>
    </w:p>
    <w:p>
      <w:pPr>
        <w:spacing w:after="0" w:line="117" w:lineRule="exact"/>
        <w:rPr>
          <w:rFonts w:ascii="Times New Roman" w:cs="Times New Roman" w:eastAsia="Times New Roman" w:hAnsi="Times New Roman"/>
          <w:sz w:val="18"/>
          <w:szCs w:val="18"/>
          <w:color w:val="auto"/>
        </w:rPr>
      </w:pPr>
    </w:p>
    <w:p>
      <w:pPr>
        <w:ind w:left="1140" w:right="440" w:hanging="50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cumulative voting in the election of directors, which would otherwise allow less than a majority of stockholders to elect director candidates;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sole power of a majority of the Board to fix the number of directors;</w:t>
      </w:r>
    </w:p>
    <w:p>
      <w:pPr>
        <w:spacing w:after="0" w:line="117" w:lineRule="exact"/>
        <w:rPr>
          <w:rFonts w:ascii="Times New Roman" w:cs="Times New Roman" w:eastAsia="Times New Roman" w:hAnsi="Times New Roman"/>
          <w:sz w:val="18"/>
          <w:szCs w:val="18"/>
          <w:color w:val="auto"/>
        </w:rPr>
      </w:pPr>
    </w:p>
    <w:p>
      <w:pPr>
        <w:ind w:left="1140" w:right="260" w:hanging="50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has the sole power to fill any vacancy on our Board, whether such vacancy occurs as a result of an increase in the number of directors or otherwise;</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preferred stock without any need for action by stockholders;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140" w:right="620" w:hanging="504"/>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acting by written consent once Advent’s ownership falls below 30%; and establish advance notice requirements for nominations for election to our Board or for proposing matters that can be acted on by stockholders at stockholder meetings.</w:t>
      </w:r>
    </w:p>
    <w:p>
      <w:pPr>
        <w:spacing w:after="0" w:line="176"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our 2021 Credit Agreement imposes, and we anticipate that documents governing our future indebtedness may impose, limitations on our ability to enter into change of control transactions. The occurrence of a change of control transaction could constitute an event of default thereunder permitting acceleration of the indebtedness, thereby impeding our ability to enter into certain transactions.</w:t>
      </w:r>
    </w:p>
    <w:p>
      <w:pPr>
        <w:spacing w:after="0" w:line="6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foregoing factors, as well as the significant Class A Common Stock ownership by Advent, could impede a merger, takeover or other business combination, or discourage a potential investor from making a tender offer for our Class A Common Stock, which, under certain circumstances, could reduce the market value of our Class A Common Stock.</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 stock purchase; or (iv) for any transaction from which the director derived an improper personal benefit. The amended and restated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52" w:name="page53"/>
    <w:bookmarkEnd w:id="52"/>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and designates the federal district courts of the United States as the sole and exclusive forum for claims arising under the Securities Act, which, in each case could limit our stockholders’ ability to obtain a favorable judicial forum for disputes with us or our directors, officers employees, agents or other stockholders.</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an alternative forum, the Court of Chancery of the State of Delaware shall, to the fullest extent permitted by law, be the sole and exclusive forum for any (a) derivative action or proceeding brought on our behalf; (b) action asserting a claim of breach of a fiduciary duty owed by or other wrongdoing by any current or former director, officer, employee, agent or stockholder to us or our stockholders; (c) action asserting a claim arising under any provision of the DGCL or our amended and restated certificate of incorporation or amended and restated bylaws (as either may be amended from time to time), or as to which the DGCL confers jurisdiction on the Court of Chancery of the State of Delaware; or (d) action asserting a claim governed by the internal affairs doctrine. For the avoidance of doubt, our amended and restated certificate of incorporation provides that the foregoing exclusive forum provision does not apply to actions brought to enforce any liability or duty created by the Securities Act or the Exchange Act, or any rules or regulations promulgated thereunder, or any other claim or cause of action for which the federal courts have exclusive jurisdiction.</w:t>
      </w:r>
    </w:p>
    <w:p>
      <w:pPr>
        <w:spacing w:after="0" w:line="80"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By agreeing to this provision, however, stockholders are not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issue preferred stock may deter takeover attempts.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Board is empowered to issue, without stockholder approval, preferred stock with dividends, liquidation, conversion, voting or other rights, which could decrease the amount of earnings and assets available for distribution to holders of our Class A Common Stock and adversely affect the relative voting power or other rights of the holders of our Class A Common Stock. In the event of issuance, the preferred stock could be used as a method of discouraging, delaying or preventing a change in control. Our amended and restated certificate of incorporation authorizes the issuance of up to 10 million shares of “blank check” preferred stock with such designations, rights and preferences as may be determined from time to time by our Board. Although we have no present intention to issue any shares of our preferred stock, we may do so in the future under appropriate circumstances.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data of our customers and employees (“Information Systems and Data”).</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Information Security function is overseen by our Chief Technology Officer (“CTO”), our information security team, security management, engineering operations, legal, risk management, and various third-party service providers, including our virtual Chief Information Security Officer (“vCISO”). In doing so, they identify, assess and manage the Company’s cybersecurity threats and risks, using various methods including, for example, manual and automated tools, subscribing to reports and services that identify cybersecurity threats, analyzing reports of threats and actors, conducting scans of the threat environment, evaluating our and our industry’s risk profile, evaluating threats reported to us, coordinating with law enforcement concerning threats, conducting internal and/or external audits and threat assessments for internal and external threats, utilizing third-party threat assessments, conducting threat and vulnerability assessments, using external intelligence feeds, and using third parties to conduct tabletop incident response exercises and other tests.</w:t>
      </w:r>
    </w:p>
    <w:p>
      <w:pPr>
        <w:spacing w:after="0" w:line="8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an incident response plan and incident response policy, incident detection and response capabilities, a vulnerability management policy, disaster recovery/business continuity plans, risk assessments, implementation of security standards and certifications for certain platforms, encryption of certain data, network security controls and data segregation for certain environments, access controls for certain systems, physical security, asset management, tracking and disposal, systems monitoring, incident response table-top exercises, vendor risk management program, employee training, penetration testing, cybersecurity insurance, and dedicated cybersecurity staff.</w:t>
      </w:r>
    </w:p>
    <w:p>
      <w:pPr>
        <w:spacing w:after="0" w:line="81" w:lineRule="exact"/>
        <w:rPr>
          <w:sz w:val="20"/>
          <w:szCs w:val="20"/>
          <w:color w:val="auto"/>
        </w:rPr>
      </w:pPr>
    </w:p>
    <w:p>
      <w:pPr>
        <w:jc w:val="both"/>
        <w:ind w:right="60" w:firstLine="509"/>
        <w:spacing w:after="0" w:line="281" w:lineRule="auto"/>
        <w:rPr>
          <w:sz w:val="20"/>
          <w:szCs w:val="20"/>
          <w:color w:val="auto"/>
        </w:rPr>
      </w:pPr>
      <w:r>
        <w:rPr>
          <w:rFonts w:ascii="Times New Roman" w:cs="Times New Roman" w:eastAsia="Times New Roman" w:hAnsi="Times New Roman"/>
          <w:sz w:val="17"/>
          <w:szCs w:val="17"/>
          <w:color w:val="auto"/>
        </w:rPr>
        <w:t>Our assessment and management of material risks from cybersecurity threats are integrated into the Company’s overall risk management processes. Cyber risk is addressed as a critical component of the Company’s enterprise risk management program and is based upon entity-level controls found in our SOC2 compliance program, addressing all five trust service criteria: security, availability, confidentiality, privacy, and processing integrity. The Company recently received an unqualified opinion from an industry-recognized audit firm attesting to our SOC2 Type II compliance as of the date of such report.</w:t>
      </w:r>
    </w:p>
    <w:p>
      <w:pPr>
        <w:spacing w:after="0" w:line="5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professional services firms (such as outside legal counsel), penetration testing firms, threat intelligence service providers, dark web monitoring services, forensic investigators, cybersecurity software providers, managed cybersecurity service providers, and cybersecurity consultants.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application providers, hosting companies, and supply chain resources. We have a vendor management program to manage cybersecurity risks associated with our use of these providers. The program includes security questionnaires, risk assessments for each vendor, reviewing certain vendors’ security assessments and written information security programs, the imposition of information contractual obligations, and, in certain instances, security assessment calls with select vendors’ security personnel.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 including providing third-party attestations of compliance with certain cybersecurity frameworks, such as SOC2 or ISO 27001.</w:t>
      </w:r>
    </w:p>
    <w:p>
      <w:pPr>
        <w:spacing w:after="0" w:line="8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“Risks Related to Data Privacy and Cybersecurity” under Part 1. Item 1A. Risk Factors in this Annual Report.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21" w:lineRule="exact"/>
        <w:rPr>
          <w:sz w:val="20"/>
          <w:szCs w:val="20"/>
          <w:color w:val="auto"/>
        </w:rPr>
      </w:pPr>
    </w:p>
    <w:p>
      <w:pPr>
        <w:jc w:val="both"/>
        <w:ind w:firstLine="509"/>
        <w:spacing w:after="0" w:line="312" w:lineRule="auto"/>
        <w:rPr>
          <w:sz w:val="20"/>
          <w:szCs w:val="20"/>
          <w:color w:val="auto"/>
        </w:rPr>
      </w:pPr>
      <w:r>
        <w:rPr>
          <w:rFonts w:ascii="Times New Roman" w:cs="Times New Roman" w:eastAsia="Times New Roman" w:hAnsi="Times New Roman"/>
          <w:sz w:val="17"/>
          <w:szCs w:val="17"/>
          <w:color w:val="auto"/>
        </w:rPr>
        <w:t>Our audit committee of the board of directors addresses the Company’s cybersecurity risk management as part of its general oversight function. The audit committee is responsible for overseeing Company’s cybersecurity risk management processes, including oversight of risks from cybersecurity threats.</w:t>
      </w:r>
    </w:p>
    <w:p>
      <w:pPr>
        <w:spacing w:after="0" w:line="32"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Vice President of Information technology and Director of Information Security, each Senior Principal Security and Infrastructure Architect with over 20 years’ experience managing large scale enterprise information technology and security systems and programs.</w:t>
      </w:r>
    </w:p>
    <w:p>
      <w:pPr>
        <w:spacing w:after="0" w:line="68"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CTO is responsible for hiring appropriate personnel, helping to integrate cybersecurity risk considerations into the Company’s overall risk management strategy, and communicating key priorities to relevant personnel. The CTO is also responsible for approving budgets, helping prepare for cybersecurity incidents, approving cybersecurity processes, and reviewing security assessments and other security-related reports.</w:t>
      </w:r>
    </w:p>
    <w:p>
      <w:pPr>
        <w:spacing w:after="0" w:line="68"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Our cybersecurity incident response and vulnerability management policies are designed to escalate certain cybersecurity incidents to members of management depending on the circumstances, including the Chief Financial Officer, Chief Legal Officer and Chief Executive Officer in their role as executive leadership for the Incident Response Team. The executive leadership team will work with the Company’s incident response team to help the Company mitigate and remediate cybersecurity incidents of which they are notified. In addition, the Company’s incident response and vulnerability management policy include reporting to the audit committee for certain cybersecurity incidents.</w:t>
      </w:r>
    </w:p>
    <w:p>
      <w:pPr>
        <w:spacing w:after="0" w:line="75"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receives quarterly reports concerning the Company’s significant cybersecurity threats and risk and the processes the Company has implemented to address them. The audit committee also receives various reports, summaries or presentations related to cybersecurity threats, risk and mitigation.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corporate headquarters is located in Framingham, Massachusetts and consists of approximately 40,500 square feet of space under a lease that expires in January 2029, with extension options. As of December 31, 2024, we have other offices in Sweden and India. We lease all of our facilities and do not own any real property. We believe that our facilities are adequate for our current and anticipated future use and that we will be able to secure additional space as needed to accommodate expansion of our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business, results of operations or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55" w:name="page56"/>
    <w:bookmarkEnd w:id="5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880"/>
        <w:spacing w:after="0" w:line="435"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Our Class A Common Stock is listed and traded on the Nasdaq Global Select Market under the trading symbol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DH</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There is no established public trading market for our Class B Common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As of February 24, 2025, there were 34 holders of record of our Class A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have no current plans to pay dividends on our Class A common stock. The declaration, amount, and payment of any future dividends on shares of Class A Common Stock is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1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shall not be deemed “soliciting material” or to be “filed” with the SEC for purposes of Section 18 of the Exchange Act, or otherwise subject to the liabilities under that Section, and shall not be deemed to be incorporated by reference into any of our other filings under the Securities Act or the Exchange Act.</w:t>
      </w:r>
    </w:p>
    <w:p>
      <w:pPr>
        <w:spacing w:after="0" w:line="6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our Class A Common Stock with the cumulative total return on the Nasdaq Composite Total Return (^XCMP) and the S&amp;P 500 Internet Services &amp; Infrastructure Index, assuming an initial investment of $100 at the market close on September 15, 2021, the date our Class A Common Stock commenced trading on the Nasdaq Global Select Market. Data for the Nasdaq Composite Total Return and S&amp;P 500 Internet Services &amp; Infrastructure Index assume reinvestment of dividends.</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comparisons in the graph below are based upon historical data and are not indicative of, nor intended to forecast, future performance of our Class A Common Stock. Information used in the graph was obtained from a source we believe to be reliable, but we do not assume responsibility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54610</wp:posOffset>
            </wp:positionV>
            <wp:extent cx="5837555" cy="31286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37555"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 Issuer Purchases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Unregistered Equity Securities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Pursuant to the terms of the Amended LLC Agreement, holders of LLC Units have the right to exchange all or a portion of their LLC Units for newly issued shares of Class A Common Stock on a one-for-one basis, which issuances are made in reliance on Section 4(a)(2) of the Securities Act. Upon any such exchange, a corresponding number of shares of Class B Common Stock held by the LLC Unit holder are cancelled. Such exchanges executed in the fourth quarter of 2024 are as follows:</w:t>
      </w:r>
    </w:p>
    <w:p>
      <w:pPr>
        <w:spacing w:after="0" w:line="68"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238"/>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00" w:type="dxa"/>
            <w:vAlign w:val="bottom"/>
          </w:tcPr>
          <w:p>
            <w:pPr>
              <w:spacing w:after="0"/>
              <w:rPr>
                <w:sz w:val="20"/>
                <w:szCs w:val="20"/>
                <w:color w:val="auto"/>
              </w:rPr>
            </w:pPr>
          </w:p>
        </w:tc>
        <w:tc>
          <w:tcPr>
            <w:tcW w:w="2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Exchanged</w:t>
            </w:r>
          </w:p>
        </w:tc>
        <w:tc>
          <w:tcPr>
            <w:tcW w:w="80" w:type="dxa"/>
            <w:vAlign w:val="bottom"/>
          </w:tcPr>
          <w:p>
            <w:pPr>
              <w:spacing w:after="0"/>
              <w:rPr>
                <w:sz w:val="20"/>
                <w:szCs w:val="20"/>
                <w:color w:val="auto"/>
              </w:rPr>
            </w:pPr>
          </w:p>
        </w:tc>
      </w:tr>
      <w:tr>
        <w:trPr>
          <w:trHeight w:val="20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4, 2024</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80" w:type="dxa"/>
            <w:vAlign w:val="bottom"/>
            <w:shd w:val="clear" w:color="auto" w:fill="CFF0FC"/>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80" w:type="dxa"/>
            <w:vAlign w:val="bottom"/>
          </w:tcPr>
          <w:p>
            <w:pPr>
              <w:spacing w:after="0"/>
              <w:rPr>
                <w:sz w:val="18"/>
                <w:szCs w:val="18"/>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 2024</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shd w:val="clear" w:color="auto" w:fill="CFF0FC"/>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December 23, 2024</w:t>
            </w:r>
          </w:p>
        </w:tc>
        <w:tc>
          <w:tcPr>
            <w:tcW w:w="200" w:type="dxa"/>
            <w:vAlign w:val="bottom"/>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r>
      <w:tr>
        <w:trPr>
          <w:trHeight w:val="249"/>
        </w:trPr>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FF0FC"/>
            </w:tcBorders>
            <w:shd w:val="clear" w:color="auto" w:fill="CFF0FC"/>
          </w:tcPr>
          <w:p>
            <w:pPr>
              <w:spacing w:after="0"/>
              <w:rPr>
                <w:sz w:val="21"/>
                <w:szCs w:val="21"/>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-25400</wp:posOffset>
            </wp:positionV>
            <wp:extent cx="51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repurchases of our Class A Common Stock during the quarter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Total Number of</w:t>
            </w:r>
          </w:p>
        </w:tc>
        <w:tc>
          <w:tcPr>
            <w:tcW w:w="26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Approximate Dollar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300" w:type="dxa"/>
            <w:vAlign w:val="bottom"/>
          </w:tcPr>
          <w:p>
            <w:pPr>
              <w:spacing w:after="0"/>
              <w:rPr>
                <w:sz w:val="18"/>
                <w:szCs w:val="18"/>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Average Price Paid</w:t>
            </w:r>
          </w:p>
        </w:tc>
        <w:tc>
          <w:tcPr>
            <w:tcW w:w="2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60" w:type="dxa"/>
            <w:vAlign w:val="bottom"/>
          </w:tcPr>
          <w:p>
            <w:pPr>
              <w:spacing w:after="0"/>
              <w:rPr>
                <w:sz w:val="18"/>
                <w:szCs w:val="18"/>
                <w:color w:val="auto"/>
              </w:rPr>
            </w:pPr>
          </w:p>
        </w:tc>
        <w:tc>
          <w:tcPr>
            <w:tcW w:w="2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of Shares that May Yet Be</w:t>
            </w: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82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80" w:type="dxa"/>
            <w:vAlign w:val="bottom"/>
            <w:gridSpan w:val="2"/>
            <w:vMerge w:val="restart"/>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rPr>
              <w:t>Purchased Under the</w:t>
            </w:r>
          </w:p>
        </w:tc>
        <w:tc>
          <w:tcPr>
            <w:tcW w:w="0" w:type="dxa"/>
            <w:vAlign w:val="bottom"/>
          </w:tcPr>
          <w:p>
            <w:pPr>
              <w:spacing w:after="0"/>
              <w:rPr>
                <w:sz w:val="1"/>
                <w:szCs w:val="1"/>
                <w:color w:val="auto"/>
              </w:rPr>
            </w:pPr>
          </w:p>
        </w:tc>
      </w:tr>
      <w:tr>
        <w:trPr>
          <w:trHeight w:val="88"/>
        </w:trPr>
        <w:tc>
          <w:tcPr>
            <w:tcW w:w="3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6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18"/>
                <w:szCs w:val="18"/>
                <w:b w:val="1"/>
                <w:bCs w:val="1"/>
                <w:color w:val="auto"/>
                <w:w w:val="94"/>
              </w:rPr>
              <w:t xml:space="preserve">Plans or Programs </w:t>
            </w:r>
            <w:r>
              <w:rPr>
                <w:rFonts w:ascii="Times New Roman" w:cs="Times New Roman" w:eastAsia="Times New Roman" w:hAnsi="Times New Roman"/>
                <w:sz w:val="24"/>
                <w:szCs w:val="24"/>
                <w:b w:val="1"/>
                <w:bCs w:val="1"/>
                <w:color w:val="auto"/>
                <w:w w:val="94"/>
                <w:vertAlign w:val="superscript"/>
              </w:rPr>
              <w:t>(1) (2)</w:t>
            </w:r>
          </w:p>
        </w:tc>
        <w:tc>
          <w:tcPr>
            <w:tcW w:w="0" w:type="dxa"/>
            <w:vAlign w:val="bottom"/>
          </w:tcPr>
          <w:p>
            <w:pPr>
              <w:spacing w:after="0"/>
              <w:rPr>
                <w:sz w:val="1"/>
                <w:szCs w:val="1"/>
                <w:color w:val="auto"/>
              </w:rPr>
            </w:pPr>
          </w:p>
        </w:tc>
      </w:tr>
      <w:tr>
        <w:trPr>
          <w:trHeight w:val="258"/>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20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82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3"/>
              </w:rPr>
              <w:t xml:space="preserve">Programs </w:t>
            </w:r>
            <w:r>
              <w:rPr>
                <w:rFonts w:ascii="Times New Roman" w:cs="Times New Roman" w:eastAsia="Times New Roman" w:hAnsi="Times New Roman"/>
                <w:sz w:val="24"/>
                <w:szCs w:val="24"/>
                <w:b w:val="1"/>
                <w:bCs w:val="1"/>
                <w:color w:val="auto"/>
                <w:w w:val="93"/>
                <w:vertAlign w:val="superscript"/>
              </w:rPr>
              <w:t>(1) (2)</w:t>
            </w:r>
          </w:p>
        </w:tc>
        <w:tc>
          <w:tcPr>
            <w:tcW w:w="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 October 31, 2024</w:t>
            </w: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November 30, 2024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768,806</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768,806</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 December 31, 2024</w:t>
            </w:r>
          </w:p>
        </w:tc>
        <w:tc>
          <w:tcPr>
            <w:tcW w:w="200" w:type="dxa"/>
            <w:vAlign w:val="bottom"/>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867,477</w:t>
            </w:r>
          </w:p>
        </w:tc>
        <w:tc>
          <w:tcPr>
            <w:tcW w:w="3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867,477</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1,636,283</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60" w:type="dxa"/>
            <w:vAlign w:val="bottom"/>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1,636,283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0861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26" w:lineRule="exact"/>
        <w:rPr>
          <w:sz w:val="20"/>
          <w:szCs w:val="20"/>
          <w:color w:val="auto"/>
        </w:rPr>
      </w:pPr>
    </w:p>
    <w:p>
      <w:pPr>
        <w:ind w:left="1020" w:right="6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7, 2024, our board of directors announced a stock repurchase program (the “Repurchase Program”) of our Class A Common Stock authorizing up to $20.0 million in share repurchases. The Repurchase Program expires on December 31, 2024. Repurchases may be effected, from time to time, either on the open market (including pre-set trading plans), in privately negotiated transactions, and other transactions in accordance with applicable securities laws.</w:t>
      </w:r>
    </w:p>
    <w:p>
      <w:pPr>
        <w:spacing w:after="0" w:line="71"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2024, our board of directors announced a stock repurchase program (the “2025 Repurchase Program”) of our Class A Common Stock authorizing up to $100.0 million in share repurchases. The Repurchase Program expires on December 31, 2025 and takes effect upon the expiration or completion of our previously announced $20.0 million Repurchase Program. Repurchases may be effected, from time to time, either on the open market (including pre-set trading plans), in privately negotiated transactions, and other transactions in accordance with applicable securities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includes a comparison of our results of operations, financial condition, and liquidity and capital resources for fiscal years 2024, 2023 and 2022. This discussion is provided as a supplement to, and should be read in conjunction with, our consolidated financial statements and accompanying Notes to the Financial Statements found in Part II, Item 8 of this Form 10-K. It contains forward-looking statements that involve risks and uncertainties and our actual results may differ materially from those discussed. Factors that could cause or contribute to these differences include, but are not limited to, those identified below and those discussed in “Risk Factors” under Part I, Item 1A of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Definitive Healthcare is a leading provider of healthcare commercial intelligence. Our solutions are designed to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approximately 2,500 customers as of December 31, 2024. We generally define a customer as a company that maintains one or more active paid subscriptions to our platform.</w:t>
      </w:r>
    </w:p>
    <w:p>
      <w:pPr>
        <w:spacing w:after="0" w:line="7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sell into three end markets: Life Sciences, Provider, and Diversified. Life Sciences is made up of biopharmaceutical and medical device companies; Providers are the healthcare providers; and Diversified includes healthcare information technology companies and other organizations seeking commercial success in the attractive but complex healthcare ecosystem, such as staffing firms, commercial real estate firms, and financial institutions. Within these organizations, our platform is leveraged by a broad set of functional groups, including sales, marketing, clinical research and product development, strategy, talent acquisition, and physician network management. We offer access to our platform on a subscription basis, and we generate substantially all of our revenue from subscription fees.</w:t>
      </w:r>
    </w:p>
    <w:p>
      <w:pPr>
        <w:spacing w:after="0" w:line="7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were founded in 2011 by our Executive Chairman,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believe 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On January 16, 2024, we completed the purchase of assets comprising the Carevoyance business line of H1 Insights, Inc., a product that helps medical technology (“MedTech”) customers to improve segmentation, targeting, and prospect engagement for $13.7 million, subject to closing adjustments. We finalized the purchase price allocations of the Carevoyance acquisition during the fourth quarter of 2024.</w:t>
      </w:r>
    </w:p>
    <w:p>
      <w:pPr>
        <w:spacing w:after="0" w:line="6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On July 21, 2023, we completed the acquisition of Populi, Inc. (“Populi”), a provider-focused data and analytics company that works with healthcare organizations to optimize physician relationships, reduce network leakage, and expand market share, for total consideration of $54.1 million, consisting of approximately $46.4 million of cash paid at closing, a $0.1 million reimbursement from sellers for working capital adjustments, and up to $28.0 million of contingent consideration, with an initial estimated fair value of $7.8 million, subject to meeting certain revenue metrics during calendar years 2024 and 2025. We finalized the purchase price allocations of the Populi acquisition during the first quarter of 2024.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the accompanying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Recently, we have experienced declines in our market capitalization as a result of sustained decreases in our stock price, which represented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triggering events requiring our management to perform quantitative goodwill impairment tests. As a result of each impairment test, we determined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our single reporting unit was lower than its carrying value and, accordingly, recorded non-cash, pre-tax, goodwill impairment charges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$688.9 million and $287.4 million during the years ended December 31, 2024 and 2023, respectively. The goodwill impairment charges did not affect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or the financial covenants in our outstanding debt agreement.</w:t>
      </w:r>
    </w:p>
    <w:p>
      <w:pPr>
        <w:spacing w:after="0" w:line="97"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We will continue to monitor for potential impairment should impairment indicators arise. See Note 9.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in the accompanying consolidated financial statements. Our reporting unit is at risk for future goodwill impairments if we experience a continued decline in our market capitalization or worsening macroeconomic conditions.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During the first quarter of 2024, we committed to a restructuring plan intended to reduce operating costs, improve operating margins, and continue advancing our ongoing commitment to profitable growth (the “2024 Restructuring Plan”). The 2024 Restructuring Plan provided for a reduction of the Company’s current workforce by approximately 150 people. During the year ended December 31, 2024, we incurred restructuring and related charges of $8.1 million, consisting primarily of severance payments, employee benefits, and related cash expenses. These charges were recognized within transaction, integration, and restructuring expenses in our consolidated statements of operations. We do not expect to incur any additional material charges associated with the 2024 Restructuring Plan.</w:t>
      </w:r>
    </w:p>
    <w:p>
      <w:pPr>
        <w:spacing w:after="0" w:line="7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2024, we consolidated certain leased office space at our corporate headquarters and, as a result, recorded impairment charges of $1.2 million, comprised of $0.9 million related to the operating lease right-of-use asset and $0.3 million related to leasehold improvements. These non-cash charges were recognized within transaction, integration, and restructuring expenses in our consolidated statements of operations.</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During the first and third quarters of 2023, we committed to restructuring plans intended to reduce operating costs, improve operating margins, and continue advancing our ongoing commitment to profitable growth by reducing our workforce by approximately 100 people and, as a result, incurred restructuring and related charges of $4.7 million during the year ended December 31, 2023. These charges consisted primarily of severance payments, employee benefits, and related cash expenses. These charges were recognized within Transaction, integration, and restructuring expenses in the accompanying consolidated statement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Execution Challenges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part of the 2024 Restructuring Plan, we made significant changes to our go-to-market team that reduced overlay expenses, created a separate group and sales motion for our small and medium sized customers, and allocated more resources to our Enterprise Customers. These changes, coupled with continued macroeconomic headwinds, disrupted our sales efforts throughout 2024 impacting both new customer acquisition and upsell to existing customers and also causing heightened customer churn. As we moved through 2024, we did not see subscription renewals return to historical levels. Based on these impacts, we expect our revenue to decline in 2025 compared with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Transitions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have had significant executive transitions in 2024. On November 7, 2024, the Company announced that, following discussions regarding the scope of the role of Chief Financial Officer, Richard Booth, the Company’s Chief Financial Officer, and the Company agreed that Mr. Booth will be leaving the Company effective June 1, 2025. After a thorough search process, our board of directors appointed Casey Heller, our current Senior Vice President of Finance, to the role of Chief Financial Officer effective on June 2, 2025.</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current and prospective customers and their business spendings are impacted by difficult macroeconomic conditions to varying degrees and as a result, in some cases we are observing deal cycles lengthen for new and existing customers, in part as a result of more stringent approval processes, as well as a significant number of deferred purchasing decisions. We are also experiencing heightened customer churn. These trends have been particularly pronounced for smaller customers and in the Life Science market. This churn has impacted our revenue growth since 2023, and we expect this will continue to have an impact on our growth into fiscal year 2025.</w:t>
      </w:r>
    </w:p>
    <w:p>
      <w:pPr>
        <w:spacing w:after="0" w:line="75" w:lineRule="exact"/>
        <w:rPr>
          <w:sz w:val="20"/>
          <w:szCs w:val="20"/>
          <w:color w:val="auto"/>
        </w:rPr>
      </w:pPr>
    </w:p>
    <w:p>
      <w:pPr>
        <w:ind w:right="80" w:firstLine="554"/>
        <w:spacing w:after="0" w:line="255" w:lineRule="auto"/>
        <w:rPr>
          <w:sz w:val="20"/>
          <w:szCs w:val="20"/>
          <w:color w:val="auto"/>
        </w:rPr>
      </w:pPr>
      <w:r>
        <w:rPr>
          <w:rFonts w:ascii="Times New Roman" w:cs="Times New Roman" w:eastAsia="Times New Roman" w:hAnsi="Times New Roman"/>
          <w:sz w:val="18"/>
          <w:szCs w:val="18"/>
          <w:color w:val="auto"/>
        </w:rPr>
        <w:t>As a corporation with a global footprint, we are subject to risks and exposures caused by significant events and their macroeconomic impacts, including, but not limited to, the Russia-Ukraine war, the conflict in Israel and surrounding areas, global geopolitical and trade tensions and more recently, inflation and high interest rates, volatility in the capital markets, liquidity concerns at, and failures of, banks and other financial institutions, and related market uncertainty.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been observing changes in the healthcare claims data market as a result of data source disruption earlier in calendar year 2024, including how data providers are reviewing pricing, data availability, and use terms, all of which may negatively impact the prices at which we acquire such data. We are continuing to evaluate these and other past and potential future direct and indirect impacts on our business and results of operations.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 on many factors, including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plan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Customers generating more than $100,000 in Annual Recurring Revenue (“ARR”), which we refer to as “Enterprise Customers”, represent the majority of our ARR and are a key focus of our go-to-market programs.</w:t>
      </w:r>
    </w:p>
    <w:p>
      <w:pPr>
        <w:spacing w:after="0" w:line="7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the second quarter of 2024, we completed a project to refresh our customer hierarchy methodology to reflect industry consolidation and to better reflect our go-to-market strategy as we increased resources and focus on Enterprise Customers. In some cases, this consolidated certain existing customer legal entities under larger parent accounts, and therefore reduced total customer count. As a result, our customer counts are not directly comparable to previously reported values and prior year customer counts have been revised to also reflect the updated customer hierarchy methodology. We believe this view of customer counts better reflects our updated selling and go-to-market strategy. Using the updated methodology, our total customer count, which includes smaller customers, was approximately 2,500 as of December 31, 2024 compared with approximately 2,750 customers as of December 31, 2023. Our smaller customers have churned at disproportionately higher rates, primarily due to current macroeconomic conditions.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presents the customer counts under the former and updated methodologies for the periods ended:</w:t>
      </w:r>
    </w:p>
    <w:p>
      <w:pPr>
        <w:spacing w:after="0" w:line="2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Total Customers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000" w:type="dxa"/>
            <w:vAlign w:val="bottom"/>
            <w:shd w:val="clear" w:color="auto" w:fill="CFF0FC"/>
          </w:tcPr>
          <w:p>
            <w:pPr>
              <w:spacing w:after="0"/>
              <w:rPr>
                <w:sz w:val="10"/>
                <w:szCs w:val="10"/>
                <w:color w:val="auto"/>
              </w:rPr>
            </w:pPr>
          </w:p>
        </w:tc>
        <w:tc>
          <w:tcPr>
            <w:tcW w:w="116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top w:val="single" w:sz="8" w:color="auto"/>
            </w:tcBorders>
            <w:shd w:val="clear" w:color="auto" w:fill="CFF0FC"/>
          </w:tcPr>
          <w:p>
            <w:pPr>
              <w:spacing w:after="0"/>
              <w:rPr>
                <w:sz w:val="10"/>
                <w:szCs w:val="10"/>
                <w:color w:val="auto"/>
              </w:rPr>
            </w:pPr>
          </w:p>
        </w:tc>
        <w:tc>
          <w:tcPr>
            <w:tcW w:w="118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Borders>
              <w:top w:val="single" w:sz="8" w:color="auto"/>
            </w:tcBorders>
            <w:shd w:val="clear" w:color="auto" w:fill="CFF0FC"/>
          </w:tcPr>
          <w:p>
            <w:pPr>
              <w:spacing w:after="0"/>
              <w:rPr>
                <w:sz w:val="10"/>
                <w:szCs w:val="10"/>
                <w:color w:val="auto"/>
              </w:rPr>
            </w:pPr>
          </w:p>
        </w:tc>
        <w:tc>
          <w:tcPr>
            <w:tcW w:w="118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top w:val="single" w:sz="8" w:color="auto"/>
            </w:tcBorders>
            <w:shd w:val="clear" w:color="auto" w:fill="CFF0FC"/>
          </w:tcPr>
          <w:p>
            <w:pPr>
              <w:spacing w:after="0"/>
              <w:rPr>
                <w:sz w:val="10"/>
                <w:szCs w:val="10"/>
                <w:color w:val="auto"/>
              </w:rPr>
            </w:pPr>
          </w:p>
        </w:tc>
        <w:tc>
          <w:tcPr>
            <w:tcW w:w="118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top w:val="single" w:sz="8" w:color="auto"/>
            </w:tcBorders>
            <w:shd w:val="clear" w:color="auto" w:fill="CFF0FC"/>
          </w:tcPr>
          <w:p>
            <w:pPr>
              <w:spacing w:after="0"/>
              <w:rPr>
                <w:sz w:val="10"/>
                <w:szCs w:val="10"/>
                <w:color w:val="auto"/>
              </w:rPr>
            </w:pPr>
          </w:p>
        </w:tc>
        <w:tc>
          <w:tcPr>
            <w:tcW w:w="114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Borders>
              <w:top w:val="single" w:sz="8" w:color="auto"/>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Borders>
              <w:top w:val="single" w:sz="8" w:color="auto"/>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Borders>
              <w:top w:val="single" w:sz="8" w:color="auto"/>
            </w:tcBorders>
            <w:shd w:val="clear" w:color="auto" w:fill="CFF0FC"/>
          </w:tcPr>
          <w:p>
            <w:pPr>
              <w:spacing w:after="0"/>
              <w:rPr>
                <w:sz w:val="10"/>
                <w:szCs w:val="10"/>
                <w:color w:val="auto"/>
              </w:rPr>
            </w:pPr>
          </w:p>
        </w:tc>
        <w:tc>
          <w:tcPr>
            <w:tcW w:w="1120" w:type="dxa"/>
            <w:vAlign w:val="bottom"/>
            <w:tcBorders>
              <w:top w:val="single" w:sz="8" w:color="auto"/>
            </w:tcBorders>
            <w:shd w:val="clear" w:color="auto" w:fill="CFF0FC"/>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shd w:val="clear" w:color="auto" w:fill="CFF0FC"/>
          </w:tcPr>
          <w:p>
            <w:pPr>
              <w:spacing w:after="0"/>
              <w:rPr>
                <w:sz w:val="10"/>
                <w:szCs w:val="10"/>
                <w:color w:val="auto"/>
              </w:rPr>
            </w:pPr>
          </w:p>
        </w:tc>
      </w:tr>
      <w:tr>
        <w:trPr>
          <w:trHeight w:val="173"/>
        </w:trPr>
        <w:tc>
          <w:tcPr>
            <w:tcW w:w="100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Prior</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&gt;3,000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Updated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&gt;2,800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FF0FC"/>
          </w:tcPr>
          <w:p>
            <w:pPr>
              <w:spacing w:after="0"/>
              <w:rPr>
                <w:sz w:val="17"/>
                <w:szCs w:val="17"/>
                <w:color w:val="auto"/>
              </w:rPr>
            </w:pPr>
          </w:p>
        </w:tc>
      </w:tr>
      <w:tr>
        <w:trPr>
          <w:trHeight w:val="429"/>
        </w:trPr>
        <w:tc>
          <w:tcPr>
            <w:tcW w:w="10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429"/>
              <w:spacing w:after="0"/>
              <w:rPr>
                <w:sz w:val="20"/>
                <w:szCs w:val="20"/>
                <w:color w:val="auto"/>
              </w:rPr>
            </w:pPr>
            <w:r>
              <w:rPr>
                <w:rFonts w:ascii="Times New Roman" w:cs="Times New Roman" w:eastAsia="Times New Roman" w:hAnsi="Times New Roman"/>
                <w:sz w:val="16"/>
                <w:szCs w:val="16"/>
                <w:b w:val="1"/>
                <w:bCs w:val="1"/>
                <w:color w:val="auto"/>
              </w:rPr>
              <w:t>Enterprise Customers</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0"/>
        </w:trPr>
        <w:tc>
          <w:tcPr>
            <w:tcW w:w="1000" w:type="dxa"/>
            <w:vAlign w:val="bottom"/>
            <w:shd w:val="clear" w:color="auto" w:fill="CFF0FC"/>
          </w:tcPr>
          <w:p>
            <w:pPr>
              <w:spacing w:after="0"/>
              <w:rPr>
                <w:sz w:val="10"/>
                <w:szCs w:val="10"/>
                <w:color w:val="auto"/>
              </w:rPr>
            </w:pPr>
          </w:p>
        </w:tc>
        <w:tc>
          <w:tcPr>
            <w:tcW w:w="1160" w:type="dxa"/>
            <w:vAlign w:val="bottom"/>
            <w:shd w:val="clear" w:color="auto" w:fill="CFF0FC"/>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shd w:val="clear" w:color="auto" w:fill="CFF0FC"/>
          </w:tcPr>
          <w:p>
            <w:pPr>
              <w:spacing w:after="0"/>
              <w:rPr>
                <w:sz w:val="10"/>
                <w:szCs w:val="10"/>
                <w:color w:val="auto"/>
              </w:rPr>
            </w:pPr>
          </w:p>
        </w:tc>
        <w:tc>
          <w:tcPr>
            <w:tcW w:w="1180" w:type="dxa"/>
            <w:vAlign w:val="bottom"/>
            <w:shd w:val="clear" w:color="auto" w:fill="CFF0FC"/>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shd w:val="clear" w:color="auto" w:fill="CFF0FC"/>
          </w:tcPr>
          <w:p>
            <w:pPr>
              <w:spacing w:after="0"/>
              <w:rPr>
                <w:sz w:val="10"/>
                <w:szCs w:val="10"/>
                <w:color w:val="auto"/>
              </w:rPr>
            </w:pPr>
          </w:p>
        </w:tc>
        <w:tc>
          <w:tcPr>
            <w:tcW w:w="1180" w:type="dxa"/>
            <w:vAlign w:val="bottom"/>
            <w:shd w:val="clear" w:color="auto" w:fill="CFF0FC"/>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shd w:val="clear" w:color="auto" w:fill="CFF0FC"/>
          </w:tcPr>
          <w:p>
            <w:pPr>
              <w:spacing w:after="0"/>
              <w:rPr>
                <w:sz w:val="10"/>
                <w:szCs w:val="10"/>
                <w:color w:val="auto"/>
              </w:rPr>
            </w:pPr>
          </w:p>
        </w:tc>
        <w:tc>
          <w:tcPr>
            <w:tcW w:w="1180" w:type="dxa"/>
            <w:vAlign w:val="bottom"/>
            <w:shd w:val="clear" w:color="auto" w:fill="CFF0FC"/>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20" w:type="dxa"/>
            <w:vAlign w:val="bottom"/>
            <w:shd w:val="clear" w:color="auto" w:fill="CFF0FC"/>
          </w:tcPr>
          <w:p>
            <w:pPr>
              <w:spacing w:after="0"/>
              <w:rPr>
                <w:sz w:val="10"/>
                <w:szCs w:val="10"/>
                <w:color w:val="auto"/>
              </w:rPr>
            </w:pPr>
          </w:p>
        </w:tc>
        <w:tc>
          <w:tcPr>
            <w:tcW w:w="1080" w:type="dxa"/>
            <w:vAlign w:val="bottom"/>
            <w:shd w:val="clear" w:color="auto" w:fill="CFF0FC"/>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shd w:val="clear" w:color="auto" w:fill="CFF0FC"/>
          </w:tcPr>
          <w:p>
            <w:pPr>
              <w:spacing w:after="0"/>
              <w:rPr>
                <w:sz w:val="10"/>
                <w:szCs w:val="10"/>
                <w:color w:val="auto"/>
              </w:rPr>
            </w:pPr>
          </w:p>
        </w:tc>
        <w:tc>
          <w:tcPr>
            <w:tcW w:w="1220" w:type="dxa"/>
            <w:vAlign w:val="bottom"/>
            <w:gridSpan w:val="2"/>
            <w:shd w:val="clear" w:color="auto" w:fill="CFF0FC"/>
          </w:tcPr>
          <w:p>
            <w:pPr>
              <w:jc w:val="center"/>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3"/>
        </w:trPr>
        <w:tc>
          <w:tcPr>
            <w:tcW w:w="100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Prior</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Updated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-1019175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-1019175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-1019175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-1019175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-1019175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-1019175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-1019175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-273685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-273685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-273685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-273685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-273685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-273685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-273685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Relationships with Existing Customers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believe there is a significant opportunity to generate additional revenue from our existing customer base of approximately 2,500 customers, as adjusted, as of December 31, 2024.</w:t>
      </w:r>
    </w:p>
    <w:p>
      <w:pPr>
        <w:spacing w:after="0" w:line="5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customers have historically increased their spending by adding functionality and by expanding use-cases across departments. Our customers are typically assigned to one of our vertically 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capabilities.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progress in expanding usage of our platform with our existing customers is demonstrated by our Net Dollar Retention (“NDR”) (see “Key Metrics”). For the year ended December 31, 2024, our NDR for Enterprise Customers was 90%. As of December 31, 2024, we had 519 Enterprise Customers, which represented approximately 68% of our ARR. Our NDR for all customers over $17,500 ARR was 85%. For the year ended December 31, 2023, our NDR for Enterprise Customers was 96% and our NDR for all customers over $17,500 ARR was 92%. For the year ended December 31, 2022, our NDR for Enterprise Customers was 110% and our NDR for all customers over $17,500 ARR was 103%.</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to Innovate and Expand Our Platform</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growth of our business is driven in part by our ability to apply our deep healthcare domain expertise to innovate and expand our platform. We have continually created new products since our founding in 2011.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38"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performance, identify financial trends, formulate business plans, and make strategic operational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Dollar Retention Rate (“NDR”)</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the same period.</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Unfavorable macroeconomic challenges are elongating deal cycles as customers implement more stringent approval processes or delay spending decisions, which impacts revenue from our existing customers, including upsells. As previously discussed, we have also experienced a significant number of deferred purchasing decisions and heightened customer churn, particularly in the Life Science market, along with sales execution challenges impacting new customer acquisition and upsell to existing customers. As a result, our total NDR of 85% for the year ended December 31, 2024 is lower relative to our total NDR of 91% for the year ended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Remaining Performance Obligations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cRPO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ind w:right="280" w:firstLine="509"/>
        <w:spacing w:after="0" w:line="254" w:lineRule="auto"/>
        <w:rPr>
          <w:sz w:val="20"/>
          <w:szCs w:val="20"/>
          <w:color w:val="auto"/>
        </w:rPr>
      </w:pPr>
      <w:r>
        <w:rPr>
          <w:rFonts w:ascii="Times New Roman" w:cs="Times New Roman" w:eastAsia="Times New Roman" w:hAnsi="Times New Roman"/>
          <w:sz w:val="18"/>
          <w:szCs w:val="18"/>
          <w:color w:val="auto"/>
        </w:rPr>
        <w:t>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most frequent in the fourth quarter. The value of contracts that included cancellation terms began to increase significantly during the third quarter of 2023 compared with prior periods as most of these contracts were inherited from the Populi acquisition. This precludes several millions of dollars of business from being included in the cRPO metric and puts further downward pressure on the cRPO growth rate. Due to these factors, it is important to review cRPO in conjunction with revenue and other financial metrics.</w:t>
      </w:r>
    </w:p>
    <w:p>
      <w:pPr>
        <w:spacing w:after="0" w:line="8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cRPO will continue to be impacted by macroeconomic challenges, which have resulted in elongating deal cycles as customers implement more stringent approval processes or push out final decisions to later periods. We have also observed cancelations due to the impacts of such challenges on the financial condition of our customers, particularly in the Life Science market. We expect this trend will continue to reduce our revenue growth rate for 2025 relative to 2024.</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current and total remaining performance obligations as of December 31, 2024 and 2023:</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188,050</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187,331</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105,673</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89,636</w:t>
            </w:r>
          </w:p>
        </w:tc>
        <w:tc>
          <w:tcPr>
            <w:tcW w:w="100" w:type="dxa"/>
            <w:vAlign w:val="bottom"/>
          </w:tcPr>
          <w:p>
            <w:pPr>
              <w:spacing w:after="0"/>
              <w:rPr>
                <w:sz w:val="18"/>
                <w:szCs w:val="18"/>
                <w:color w:val="auto"/>
              </w:rPr>
            </w:pPr>
          </w:p>
        </w:tc>
      </w:tr>
      <w:tr>
        <w:trPr>
          <w:trHeight w:val="230"/>
        </w:trPr>
        <w:tc>
          <w:tcPr>
            <w:tcW w:w="6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293,723</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276,967</w:t>
            </w:r>
          </w:p>
        </w:tc>
        <w:tc>
          <w:tcPr>
            <w:tcW w:w="100" w:type="dxa"/>
            <w:vAlign w:val="bottom"/>
            <w:shd w:val="clear" w:color="auto" w:fill="CFF0FC"/>
          </w:tcPr>
          <w:p>
            <w:pPr>
              <w:spacing w:after="0"/>
              <w:rPr>
                <w:sz w:val="19"/>
                <w:szCs w:val="19"/>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-24765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Acquisitions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seek to enhance our platform, data and business through internal development and through acquisitions of and investments in businesses that broaden and strengthen our platform. On January 16, 2024, we completed the purchase of assets comprising the Carevoyance business line of H1 Insights, Inc., a product that helps MedTech customers to improve segmentation, targeting, and prospect engagement. In July 2023, we completed the acquisition of Populi, Inc., a provider-focused data and analytics company that works with healthcare organizations to optimize physician relationships, reduce network leakage, and expand market share. In February 2022, we completed our acquisition of Analytical Wizards Inc., a company that specializes in automating complex analytic models using tools that expedite efficient big data mining through A.I. power to uncover deep insights. These acquisitions have strengthened our data platform and our business. Acquisitions can result in transaction costs, amortization expense and other adjustments as purchase accounting requires that all assets acquired and liabilities assumed be recorded at fair value on the acquisition date.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our consolidated financial statements included in Part II, Item 8 of this Form 10-K.</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we derived approximately 97% of our revenue from subscription services and the remainder from professional services. Our subscription services consist primarily of subscription fees for access to our platform and stand-ready support.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or from other one-time deliveries which are generally capable of being distinct and can be accounted for as separate performance obligations. Revenue related to these professional services is recognized at a point in time, when the performance obligations under the terms of the contract are satisfied and control has been transferred to the customer.</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part of the 2024 Restructuring Plan, we made significant changes to our go-to-market team that reduced overlay expenses, created a separate group and sales motion for our small and medium sized customers, and allocated more resources to our Enterprise Customers. These changes disrupted our sales efforts in the first half of 2024, coupled with continued macroeconomic headwinds and sales execution challenges throughout 2024. As we moved through 2024, we did not see subscription renewals return to historical levels. Based on these impacts, we expect our revenue to decline in 2025 compared with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Cost of Revenue</w:t>
      </w:r>
      <w:r>
        <w:rPr>
          <w:rFonts w:ascii="Times New Roman" w:cs="Times New Roman" w:eastAsia="Times New Roman" w:hAnsi="Times New Roman"/>
          <w:sz w:val="17"/>
          <w:szCs w:val="17"/>
          <w:color w:val="auto"/>
        </w:rPr>
        <w:t>. Cost of revenue, excluding amortization of acquired technology and data, consists of direct expenses related to the support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w:t>
      </w:r>
    </w:p>
    <w:p>
      <w:pPr>
        <w:spacing w:after="0" w:line="60" w:lineRule="exact"/>
        <w:rPr>
          <w:sz w:val="20"/>
          <w:szCs w:val="20"/>
          <w:color w:val="auto"/>
        </w:rPr>
      </w:pPr>
    </w:p>
    <w:p>
      <w:pPr>
        <w:ind w:right="6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Amortization</w:t>
      </w:r>
      <w:r>
        <w:rPr>
          <w:rFonts w:ascii="Times New Roman" w:cs="Times New Roman" w:eastAsia="Times New Roman" w:hAnsi="Times New Roman"/>
          <w:sz w:val="18"/>
          <w:szCs w:val="18"/>
          <w:color w:val="auto"/>
        </w:rPr>
        <w:t>. Includes amortization expense for technology and data acquired in business combinations and asset purchase agreements.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 that amortization will increase only if we make additional acquisitions in the future.</w:t>
      </w:r>
    </w:p>
    <w:p>
      <w:pPr>
        <w:spacing w:after="0" w:line="5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Additional third-party data sources, inclusive of sources obtained through the acquisition of Populi, were rolled out to our customers during 2023, which resulted in, and is expected to continue to result in, an increase in cost of revenue, including amortization.</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have been observing changes in the healthcare claims data market as a result of data source disruption since early 2024, including how data providers are reviewing pricing, data availability, and use terms, all of which may negatively impact the prices at which we acquire such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7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expect that gross profit margin for 2025 will continue to be impacted by the expansion of data sources and the anticipated revenue declines, as described above. Revenue declines, in combination with our largely fixed cost structure, are expected to result in a decrease in gross profit margin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60" w:firstLine="509"/>
        <w:spacing w:after="0" w:line="277" w:lineRule="auto"/>
        <w:rPr>
          <w:sz w:val="20"/>
          <w:szCs w:val="20"/>
          <w:color w:val="auto"/>
        </w:rPr>
      </w:pPr>
      <w:r>
        <w:rPr>
          <w:rFonts w:ascii="Times New Roman" w:cs="Times New Roman" w:eastAsia="Times New Roman" w:hAnsi="Times New Roman"/>
          <w:sz w:val="17"/>
          <w:szCs w:val="17"/>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In light of macroeconomic conditions and their past and potential future impacts on our business, we have made efforts to contain our operating expenses, including implementing restructuring plans. Inflation, and in particular increases to the cost of labor due to cost-of-living increases, have negatively impacted our operating expenses, and we expect this to continue. However, inflation has not materially affected our business to date.</w:t>
      </w:r>
    </w:p>
    <w:p>
      <w:pPr>
        <w:spacing w:after="0" w:line="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bookmarkStart w:id="65" w:name="page66"/>
    <w:bookmarkEnd w:id="65"/>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primarily consist of personnel costs such as salaries, bonuses, sales commissions,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other employee-related benefits for our sales and marketing teams, as well as non-personnel costs including overhead costs, technology and advertising costs. While we have slowed hiring in response to macroeconomic conditions, and expect to maintain slower levels until macroeconomic conditions improve, we have continued to hire additional sales and marketing personnel, enhance our digital marketing infrastructure and invest in marketing programs targeting our major vertical markets.</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expenses primarily consist of personnel costs such as salaries, bonuses, stock-based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employee-related benefits for our engineering, data science and product teams, as well as non-personnel costs including overhead costs. We believe that our core technologies and ongoing innovation represent a significant competitive advantage for us, and we continue to invest in systems optimization and product improvements for our customers, enhance our software development team and invest in automation and A.I. to drive higher quality data and deeper insights.</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primarily consist of personnel costs such as salaries,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other employee-related benefits for our executive, finance, legal, human resources, IT and operations, and administrative teams, as well as non-personnel costs including overhead costs, professional fees and other corporate expenses. General and administration expenses also include sales tax amounts payable to taxation authorities, inclusive of interest and penalties, for customers that we did not collect sales taxes from, due to misclassifications of products and services for sales tax purposes. We do not expect sales taxes and related interest and penalties to be an ongoing component of our general and administrative expense as we have completed voluntary disclosure agreements, registered with certain tax authorities, and commenced collection of sales taxes from customers in these tax jurisdictions. We have slowed hiring in response to macroeconomic conditions and do not expect to increase it until macroeconomic conditions improve.</w:t>
      </w:r>
    </w:p>
    <w:p>
      <w:pPr>
        <w:spacing w:after="0" w:line="7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expenses consist primarily of amortization of intangible assets resulting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business combinations, and purchases of data assets, as well as depreciation of property and equipment. We anticipate depreciation of property and equipment as a percentage of revenue to moderately decrease, although amortization will increase if we make additional acquisitions and data asset purchases in the future.</w:t>
      </w:r>
    </w:p>
    <w:p>
      <w:pPr>
        <w:spacing w:after="0" w:line="72"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Transaction, integration and restructuring expenses</w:t>
      </w:r>
      <w:r>
        <w:rPr>
          <w:rFonts w:ascii="Times New Roman" w:cs="Times New Roman" w:eastAsia="Times New Roman" w:hAnsi="Times New Roman"/>
          <w:sz w:val="18"/>
          <w:szCs w:val="18"/>
          <w:color w:val="auto"/>
        </w:rPr>
        <w:t>. Transaction, integration, and restructuring expenses are costs directly associated with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strategic partnership, and integration activities we have undertaken, primarily accounting, legal due diligence, consulting, and advisory fees, as well as expenses related to our restructuring plans committed to in 2024 and 2023 and our office relocations and consolidations.</w:t>
      </w:r>
    </w:p>
    <w:p>
      <w:pPr>
        <w:spacing w:after="0" w:line="65"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Goodwill impairment</w:t>
      </w:r>
      <w:r>
        <w:rPr>
          <w:rFonts w:ascii="Times New Roman" w:cs="Times New Roman" w:eastAsia="Times New Roman" w:hAnsi="Times New Roman"/>
          <w:sz w:val="18"/>
          <w:szCs w:val="18"/>
          <w:color w:val="auto"/>
        </w:rPr>
        <w:t>. Goodwill represents the excess of consideration transferred over the fair value of tangible and identifiable intangible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acquired and the liabilities assumed in a business combination. Substantially all of our goodwill was recognized in the purchase price allocations when our Company was acquired in 2019 by Advent, with smaller incremental amounts recognized in subsequent business combinations. Goodwill is not amortized, but is tested for impairment at the reporting unit level annually and more frequently if indicators of potential impairment arise. In conducting the impairment test, we first review qualitative factors to determine whether it is more likely than not that the fair value of our single reporting unit is less than its carrying amount.</w:t>
      </w:r>
    </w:p>
    <w:p>
      <w:pPr>
        <w:spacing w:after="0" w:line="7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When testing goodwill for impairment, we have the option of first performing a qualitative assessment to determine whether it is more likely than not that the fair value of the reporting unit is less than its carrying amount. If we elect to bypass the qualitative assessment, or if a qualitative assessment indicates it is more likely than not that carrying value exceeds its fair value, we perform a quantitative goodwill impairment test. Under the quantitative goodwill impairment test, if our reporting unit’s carrying amount exceeds its fair value, we will record an impairment charge based on that difference. Recently, we have experienced declines in our market capitalization as a result of sustained decreases in our stock price, which represented triggering events requiring our management to perform quantitative goodwill impairment tests. As a result of each impairment test, we determined that the fair value of our single reporting unit was lower than its carrying value and, accordingly, recorded non-cash, pre-tax, goodwill impairment charges of $688.9 million and $287.4 million during the years ended December 31, 2024 and 2023, respectively. The goodwill impairment charges did not affect our liquidity or the financial covenants in our outstanding debt agreement.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consists of interest expense on our debt obligations and the amortization of debt discounts and debt issuance costs.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consists of earnings resulting from our short-term investments.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consists primarily of the revaluation of Tax Receivable Agreement liabilities and realized and unrealized gains and losses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impact of transactions denominated in a foreign currency. Significant changes in the projected liability resulting from the Tax Receivable Agreement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38" w:right="3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discussion of our consolidated results of operations includes year-over-year comparisons of 2024 results compared to those in 2023. For a discussion of the 2023 results compared to those in 2022, see the discussion in Item 7, Management’s Discussion and Analysis of Financial Condition and Results of Operations in our 2023 Form 10-K, which is incorporated by reference herein.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consolidated statements of operations for the periods presented:</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252,202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251,415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54,733</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47,482</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197,469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203,933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36,518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42,441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37,618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integration and restructuring expenses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688,854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287,400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22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908,289</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533,733</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224,071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(710,820 )</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(329,800 )</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(44,043 )</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77,075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(633,745 )</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(308,180 )</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(41,877 )</w:t>
            </w: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(591,446 )</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(289,627 )</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(24,179 )</w:t>
            </w:r>
          </w:p>
        </w:tc>
        <w:tc>
          <w:tcPr>
            <w:tcW w:w="0" w:type="dxa"/>
            <w:vAlign w:val="bottom"/>
          </w:tcPr>
          <w:p>
            <w:pPr>
              <w:spacing w:after="0"/>
              <w:rPr>
                <w:sz w:val="1"/>
                <w:szCs w:val="1"/>
                <w:color w:val="auto"/>
              </w:rPr>
            </w:pPr>
          </w:p>
        </w:tc>
      </w:tr>
      <w:tr>
        <w:trPr>
          <w:trHeight w:val="20"/>
        </w:trPr>
        <w:tc>
          <w:tcPr>
            <w:tcW w:w="6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40" w:type="dxa"/>
            <w:vAlign w:val="bottom"/>
          </w:tcPr>
          <w:p>
            <w:pPr>
              <w:spacing w:after="0"/>
              <w:rPr>
                <w:sz w:val="18"/>
                <w:szCs w:val="18"/>
                <w:color w:val="auto"/>
              </w:rPr>
            </w:pPr>
          </w:p>
        </w:tc>
        <w:tc>
          <w:tcPr>
            <w:tcW w:w="11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(178,322 )</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(87,239 )</w:t>
            </w: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(16,957 )</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(413,124 )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(202,388 )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(7,222 )</w:t>
            </w:r>
          </w:p>
        </w:tc>
        <w:tc>
          <w:tcPr>
            <w:tcW w:w="0" w:type="dxa"/>
            <w:vAlign w:val="bottom"/>
          </w:tcPr>
          <w:p>
            <w:pPr>
              <w:spacing w:after="0"/>
              <w:rPr>
                <w:sz w:val="1"/>
                <w:szCs w:val="1"/>
                <w:color w:val="auto"/>
              </w:rPr>
            </w:pPr>
          </w:p>
        </w:tc>
      </w:tr>
      <w:tr>
        <w:trPr>
          <w:trHeight w:val="20"/>
        </w:trPr>
        <w:tc>
          <w:tcPr>
            <w:tcW w:w="6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-2279650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-2279650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-2279650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-1174115</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-1174115</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-1174115</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-316865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-316865</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-316865</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Revenue was largely flat, increasing $0.8 million, or 0%, for the year ended December 31, 2024 compared with the same period in the prior year, resulting from higher subscription revenue of $1.8 million, partially offset by lower professional service revenue of $1.0 million. Revenue attributable to new customers in 2024 increased $17.1 million, which was partially offset by a $16.3 million decrease in revenue from customers that existed prior to the start of 2024.</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Total Cost of Revenue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Total cost of revenue increased $7.3 million, or 15%, for the year ended December 31, 2024 compared with the same period in the prior year. This increase was driven primarily by a $6.0 million increase in hosting fees and data subscription costs as a result of expanded customer usage of our platform and the Populi acquisition and an increase of $1.3 million in amortization expense resulting from new data purchases. In addition, a $0.6 million decrease in personnel costs, driven primarily by the 2024 Restructuring Plan, was offset by a $0.6 million increase in other costs, of which there were no individually significant drivers.</w:t>
      </w:r>
    </w:p>
    <w:p>
      <w:pPr>
        <w:spacing w:after="0" w:line="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46" w:right="459" w:bottom="1440" w:gutter="0" w:footer="0" w:header="0"/>
        </w:sectPr>
      </w:pPr>
    </w:p>
    <w:bookmarkStart w:id="68" w:name="page69"/>
    <w:bookmarkEnd w:id="68"/>
    <w:p>
      <w:pPr>
        <w:ind w:left="5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Operating expenses, which include goodwill impairment charges of $688.9 million recorded during the year ended December 31, 2024 compared with $287.4 million incurred during the year ended December 31, 2023 (refer to Note 9.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in the accompanying consolidated financial statements for further details), increased $374.6 million, or 70%, for the year ended December 31, 2024 compared with the same period in the prior year. The increase to operating expenses as compared to the prior-year period was primarily driven by higher goodwill impairment charges in the current period, partially offset by:</w:t>
      </w:r>
    </w:p>
    <w:p>
      <w:pPr>
        <w:spacing w:after="0" w:line="75" w:lineRule="exact"/>
        <w:rPr>
          <w:sz w:val="20"/>
          <w:szCs w:val="20"/>
          <w:color w:val="auto"/>
        </w:rPr>
      </w:pPr>
    </w:p>
    <w:p>
      <w:pPr>
        <w:ind w:left="1020" w:right="4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sales and marketing expense of $10.7 million for the year ended December 31, 2024, primarily driven by lower personnel costs, including stock-based compensation expense, resulting from the 2024 Restructuring Plan;</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product development expense of $5.9 million for the year ended December 31, 2024, primarily driven by lower personnel costs, including stock-based compensation expense, resulting from the 2024 Restructuring Plan and the departure of certain executive-level employees;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general and administrative expense of $9.6 million for the year ended December 31, 2024, primarily driven by lower professional service fees, expense relief from sales tax exposure during the year resulting from voluntary disclosure agreements and finalized favorable rulings on the taxability of our products in certain states, lower personnel costs, including stock-based compensation expense, resulting from the 2024 Restructuring Plan and the departure of certain executive-level employees, and lower franchise taxes;</w:t>
      </w:r>
    </w:p>
    <w:p>
      <w:pPr>
        <w:spacing w:after="0" w:line="71"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depreciation and amortization expense of $1.4 million for the year ended December 31, 2024, primarily driven by certain customer relationship intangible assets utilizing economic consumption amortization methods with lower amortization in the current period;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transaction, integration and restructuring expenses of $0.7 million for the year ended December 31, 2024, primarily driven by higher restructuring costs incurred in the current period associated with the 2024 Restructuring Plan and impairment charges resulting from the consolidation of certain leased office facilities, partially offset by lower acquisition related costs in the current period.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Total other income, net was $77.1 million for the year ended December 31, 2024 compared to total other income, net of $21.6 million in the same period in the prior year. The overall change was primarily attributable to a $76.9 million Tax Receivable Agreement liability remeasurement gain in the year ended December 31, 2024, primarily driven by the impairment of goodwill, as well as changes in future realizability of tax attributes payable under the Tax Receivable Agreement, compared with a $23.5 million Tax Receivable Agreement liability remeasurement gain in the comparable prior year period. The increase in the Tax Receivable Agreement liability remeasurement gain year-over-year was primarily driven by an increase in the goodwill impairment charges of $401.5 million in the year ended December 31, 2024 compared with the same period in the prior year. Interest income earned from our short-term investments also increased by $0.9 million to $14.6 million in the year ended December 31, 2024 compared with $13.6 million in the comparable prior year period.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Benefit From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Benefit from income taxes for the year ended December 31, 2024 was $42.3 million compared to $18.6 million in the same period in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overall increase was primarily attributed to a larger impairment of goodwill during the current period compared with the same period in the prior year.</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view Adjusted Gross Profit, Adjusted Gross Margin, Adjusted EBITDA, and Adjusted EBITDA Margin as operating performance measures. As such, we believe the most directly comparable GAAP financial measures to Adjusted Gross Profit and Adjusted Gross Margin are GAAP Gross Profit and GAAP Gross Margin, respectively, and the most directly comparable GAAP financial measure to Adjusted EBITDA and Adjusted EBITDA Margin is GAAP net loss and GAAP net loss margin, respectively.</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Gross Margin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define Adjusted Gross Profit as Gross Profit, excluding acquisition-related depreciation and amortization, and equity-based compensation costs.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 Gross Margin is defined as Gross Profit as a percentage of revenue and Adjusted Gross Margin is defined as Adjusted Gross Profit as a percentage of revenue. These are key metrics used by management and our board of directors to assess our operations.</w:t>
      </w:r>
    </w:p>
    <w:p>
      <w:pPr>
        <w:spacing w:after="0" w:line="7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gross profit and gross margin to adjusted gross profit and adjusted gross margin, respectively,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78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7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7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r>
      <w:tr>
        <w:trPr>
          <w:trHeight w:val="117"/>
        </w:trPr>
        <w:tc>
          <w:tcPr>
            <w:tcW w:w="4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right"/>
              <w:ind w:right="231"/>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73"/>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Pr>
          <w:p>
            <w:pPr>
              <w:spacing w:after="0"/>
              <w:rPr>
                <w:sz w:val="15"/>
                <w:szCs w:val="15"/>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Pr>
          <w:p>
            <w:pPr>
              <w:spacing w:after="0"/>
              <w:rPr>
                <w:sz w:val="15"/>
                <w:szCs w:val="15"/>
                <w:color w:val="auto"/>
              </w:rPr>
            </w:pPr>
          </w:p>
        </w:tc>
        <w:tc>
          <w:tcPr>
            <w:tcW w:w="7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80" w:type="dxa"/>
            <w:vAlign w:val="bottom"/>
          </w:tcPr>
          <w:p>
            <w:pPr>
              <w:spacing w:after="0"/>
              <w:rPr>
                <w:sz w:val="15"/>
                <w:szCs w:val="15"/>
                <w:color w:val="auto"/>
              </w:rPr>
            </w:pPr>
          </w:p>
        </w:tc>
      </w:tr>
      <w:tr>
        <w:trPr>
          <w:trHeight w:val="210"/>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gross profit and margin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$ 197,469</w:t>
            </w:r>
          </w:p>
        </w:tc>
        <w:tc>
          <w:tcPr>
            <w:tcW w:w="13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78 %</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$ 203,933</w:t>
            </w:r>
          </w:p>
        </w:tc>
        <w:tc>
          <w:tcPr>
            <w:tcW w:w="1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81 %</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$ 180,028</w:t>
            </w:r>
          </w:p>
        </w:tc>
        <w:tc>
          <w:tcPr>
            <w:tcW w:w="1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81 %</w:t>
            </w:r>
          </w:p>
        </w:tc>
      </w:tr>
      <w:tr>
        <w:trPr>
          <w:trHeight w:val="178"/>
        </w:trPr>
        <w:tc>
          <w:tcPr>
            <w:tcW w:w="47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Amortization of intangible assets resulting from acquisition-</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54"/>
        </w:trPr>
        <w:tc>
          <w:tcPr>
            <w:tcW w:w="4780" w:type="dxa"/>
            <w:vAlign w:val="bottom"/>
          </w:tcPr>
          <w:p>
            <w:pPr>
              <w:ind w:left="20"/>
              <w:spacing w:after="0" w:line="255" w:lineRule="exact"/>
              <w:rPr>
                <w:sz w:val="20"/>
                <w:szCs w:val="20"/>
                <w:color w:val="auto"/>
              </w:rPr>
            </w:pPr>
            <w:r>
              <w:rPr>
                <w:rFonts w:ascii="Times New Roman" w:cs="Times New Roman" w:eastAsia="Times New Roman" w:hAnsi="Times New Roman"/>
                <w:sz w:val="18"/>
                <w:szCs w:val="18"/>
                <w:color w:val="auto"/>
              </w:rPr>
              <w:t xml:space="preserve">related purchase accounting adjustments </w:t>
            </w:r>
            <w:r>
              <w:rPr>
                <w:rFonts w:ascii="Times New Roman" w:cs="Times New Roman" w:eastAsia="Times New Roman" w:hAnsi="Times New Roman"/>
                <w:sz w:val="24"/>
                <w:szCs w:val="24"/>
                <w:color w:val="auto"/>
                <w:vertAlign w:val="superscript"/>
              </w:rPr>
              <w: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15,715</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Equity-based compensation costs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0 %</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0 %</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r>
      <w:tr>
        <w:trPr>
          <w:trHeight w:val="20"/>
        </w:trPr>
        <w:tc>
          <w:tcPr>
            <w:tcW w:w="47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 and margin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$ 208,174</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$ 214,074</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85 %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$ 196,685</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88 %</w:t>
            </w:r>
          </w:p>
        </w:tc>
      </w:tr>
      <w:tr>
        <w:trPr>
          <w:trHeight w:val="20"/>
        </w:trPr>
        <w:tc>
          <w:tcPr>
            <w:tcW w:w="4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-170815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-170815</wp:posOffset>
            </wp:positionV>
            <wp:extent cx="1200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-170815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1200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70" w:lineRule="exact"/>
        <w:rPr>
          <w:sz w:val="20"/>
          <w:szCs w:val="20"/>
          <w:color w:val="auto"/>
        </w:rPr>
      </w:pPr>
    </w:p>
    <w:p>
      <w:pPr>
        <w:ind w:left="760" w:right="44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resulting from purchase accounting adjustments represents non-cash amortization of acquired intangibles, primarily resulting from the Advent Acquisition.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present “Adjusted EBITDA” as a measure of our operating performance. EBITDA is defined as earnings before (i) debt-related costs, including interest expense, (ii) interest income, (iii) income taxes, and (iv) depreciation and amortization. Management further adjusts EBITDA in its presentation of Adjusted EBITDA to exclude (i) other income, (ii) equity-based compensation, (iii) transaction, integration, and restructuring expenses, (iv) goodwill impairments, and (v) other non-core items. We exclude these items because they are by nature non-cash, non-recurring, and/or unrelated to our core operations, and therefore we do not believe them to be representative of ongoing operational performance. Adjusted EBITDA Margin is defined as Adjusted EBITDA as a percentage of revenue. Adjusted EBITDA and Adjusted EBITDA Margin are key metrics used by management and our board of directors to assess the profitability of our operations. We believe these metrics provide useful measures to investors to assess our operating performance and in measuring the profitability of our operations on a consolidated level.</w:t>
      </w:r>
    </w:p>
    <w:p>
      <w:pPr>
        <w:spacing w:after="0" w:line="19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loss and margin to adjusted EBITDA and adjusted EBITDA margin, respectively,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1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3"/>
          </w:tcPr>
          <w:p>
            <w:pPr>
              <w:jc w:val="right"/>
              <w:ind w:right="7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3"/>
          </w:tcPr>
          <w:p>
            <w:pPr>
              <w:jc w:val="right"/>
              <w:ind w:right="7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ind w:right="8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margin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(591,446 )</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8"/>
              </w:rPr>
              <w:t>(289,627 )</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(24,179 )</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0 %</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2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(42,299 )</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(18,553 )</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(17,698 )</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51,667</w:t>
            </w:r>
          </w:p>
        </w:tc>
        <w:tc>
          <w:tcPr>
            <w:tcW w:w="2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20 %</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51,750</w:t>
            </w:r>
          </w:p>
        </w:tc>
        <w:tc>
          <w:tcPr>
            <w:tcW w:w="2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56,904</w:t>
            </w:r>
          </w:p>
        </w:tc>
        <w:tc>
          <w:tcPr>
            <w:tcW w:w="2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EBITDA and margin</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(581,833 )</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(231 )%</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8"/>
              </w:rPr>
              <w:t>(254,871 )</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(101 )%</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23,440</w:t>
            </w: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4"/>
                <w:szCs w:val="24"/>
                <w:color w:val="auto"/>
                <w:vertAlign w:val="superscript"/>
              </w:rPr>
              <w:t>(a)</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(77,320 )</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(31 )%</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(23,179 )</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(10,579 )</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Equity-based compensation </w:t>
            </w:r>
            <w:r>
              <w:rPr>
                <w:rFonts w:ascii="Times New Roman" w:cs="Times New Roman" w:eastAsia="Times New Roman" w:hAnsi="Times New Roman"/>
                <w:sz w:val="24"/>
                <w:szCs w:val="24"/>
                <w:color w:val="auto"/>
                <w:vertAlign w:val="superscript"/>
              </w:rPr>
              <w:t>(b)</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38,085</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48,739</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36,434</w:t>
            </w: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Transaction, integration and restructuring expenses </w:t>
            </w:r>
            <w:r>
              <w:rPr>
                <w:rFonts w:ascii="Times New Roman" w:cs="Times New Roman" w:eastAsia="Times New Roman" w:hAnsi="Times New Roman"/>
                <w:sz w:val="24"/>
                <w:szCs w:val="24"/>
                <w:color w:val="auto"/>
                <w:vertAlign w:val="superscript"/>
              </w:rPr>
              <w:t>(c)</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2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w:t>
            </w:r>
          </w:p>
        </w:tc>
        <w:tc>
          <w:tcPr>
            <w:tcW w:w="2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2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4"/>
                <w:szCs w:val="24"/>
                <w:color w:val="auto"/>
                <w:vertAlign w:val="superscript"/>
              </w:rPr>
              <w:t>(d)</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688,854</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273 %</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287,400</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114 %</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Other non-core items </w:t>
            </w:r>
            <w:r>
              <w:rPr>
                <w:rFonts w:ascii="Times New Roman" w:cs="Times New Roman" w:eastAsia="Times New Roman" w:hAnsi="Times New Roman"/>
                <w:sz w:val="24"/>
                <w:szCs w:val="24"/>
                <w:color w:val="auto"/>
                <w:vertAlign w:val="superscript"/>
              </w:rPr>
              <w:t>(e)</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(936 )</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(0 )%</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2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2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and margin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79,075</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74,453</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63,746</w:t>
            </w: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foreign exchange and Tax Receivable Agreement liability remeasurement gains and losses.</w:t>
      </w:r>
    </w:p>
    <w:p>
      <w:pPr>
        <w:spacing w:after="0" w:line="27" w:lineRule="exact"/>
        <w:rPr>
          <w:rFonts w:ascii="Times New Roman" w:cs="Times New Roman" w:eastAsia="Times New Roman" w:hAnsi="Times New Roman"/>
          <w:sz w:val="18"/>
          <w:szCs w:val="18"/>
          <w:color w:val="auto"/>
        </w:rPr>
      </w:pPr>
    </w:p>
    <w:p>
      <w:pPr>
        <w:ind w:left="760" w:right="340" w:hanging="378"/>
        <w:spacing w:after="0" w:line="250"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represents non-cash compensation expense recognized in association with equity awards made to employees and directors.</w:t>
      </w:r>
    </w:p>
    <w:p>
      <w:pPr>
        <w:jc w:val="both"/>
        <w:ind w:left="760" w:right="240" w:hanging="378"/>
        <w:spacing w:after="0" w:line="253"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primarily represent legal, accounting, and consulting expenses and fair value adjustments for contingent consideration related to our acquisitions and strategic partnerships. Restructuring expenses relate to the 2024 Restructuring Plan and those we committed to during the first and third quarters of 2023, as well as impairment and restructuring charges related to office closures, relocations, and consolidations.</w:t>
      </w:r>
    </w:p>
    <w:p>
      <w:pPr>
        <w:spacing w:after="0" w:line="182"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Merger and acquisition due diligence and transaction costs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Integration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adjustment for contingent consideration</w:t>
            </w:r>
          </w:p>
        </w:tc>
        <w:tc>
          <w:tcPr>
            <w:tcW w:w="24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(1,780 )</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for severance and other separation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closure and relocation restructuring charges and impairments</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transaction, integration and restructuring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-170815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760" w:right="140" w:hanging="378"/>
        <w:spacing w:after="0" w:line="254"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represents non-cash, pre-tax, goodwill impairment charges. We experienced declines in our market capitalization as a result of sustained decreases in our stock price, which represented triggering events requiring our management to perform quantitative goodwill impairment tests as of the end of the second, third, and fourth quarters of 2024 and the third quarter of 2023. As a result of the impairment tests conducted in each respective period, we determined that the fair value of our single reporting unit was lower than its carrying value and, accordingly, recorded these impairment charges.</w:t>
      </w:r>
    </w:p>
    <w:p>
      <w:pPr>
        <w:spacing w:after="0" w:line="3" w:lineRule="exact"/>
        <w:rPr>
          <w:rFonts w:ascii="Times New Roman" w:cs="Times New Roman" w:eastAsia="Times New Roman" w:hAnsi="Times New Roman"/>
          <w:sz w:val="18"/>
          <w:szCs w:val="18"/>
          <w:color w:val="auto"/>
        </w:rPr>
      </w:pPr>
    </w:p>
    <w:p>
      <w:pPr>
        <w:ind w:left="760" w:right="220" w:hanging="378"/>
        <w:spacing w:after="0" w:line="253"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adjustments inclusive of penalties and interest for sales taxes that we may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71" w:name="page72"/>
    <w:bookmarkEnd w:id="71"/>
    <w:p>
      <w:pPr>
        <w:ind w:left="760" w:right="40"/>
        <w:spacing w:after="0" w:line="266" w:lineRule="auto"/>
        <w:rPr>
          <w:sz w:val="20"/>
          <w:szCs w:val="20"/>
          <w:color w:val="auto"/>
        </w:rPr>
      </w:pPr>
      <w:r>
        <w:rPr>
          <w:rFonts w:ascii="Times New Roman" w:cs="Times New Roman" w:eastAsia="Times New Roman" w:hAnsi="Times New Roman"/>
          <w:sz w:val="18"/>
          <w:szCs w:val="18"/>
          <w:color w:val="auto"/>
        </w:rPr>
        <w:t>have been required to collect from customers in 2024 and in certain previous years, and other non-recurring legal and regulatory matters. Other non-core items also include consulting fees and severance costs associated with strategic transition initiatives, as well as professional fees related to financing, capital structure changes, and other non-core items.</w:t>
      </w:r>
    </w:p>
    <w:p>
      <w:pPr>
        <w:spacing w:after="0" w:line="169"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Non-core legal and regulatory</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(3,439 )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Consulting and severance costs for strategic transition initiatives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Professional fees for set-up of Up-C, TRA, tax and public company</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infrastructure</w:t>
            </w: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non-core expenses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non-core items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(936 )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-25400</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2024, we had $105.4 million of cash and cash equivalents, $184.8 million of short-term investments and $74.4 million available under our revolving credit facility. Our principal sources of liquidity are cash and cash equivalents and short-term investments on hand, primarily from our IPO and follow-on offering, as well as the cash flows we generate from operations. Our principal uses of liquidity have been, and are expected to continue to be, primarily for investment in long-term growth of the business through capital expenditures and acquisitions, as well as debt services (see Note 10. </w:t>
      </w: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in the accompanying consolidated financial statements for further details), stock repurchases, and distributions to members of Definitive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OpCo.</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All of our business is conducted through Definitive OpCo and its consolidated subsidiaries and affiliates, and the financial results are included in the consolidated financial statements of Definitive Healthcare Corp. Definitive Healthcare Corp. has no independent means of generating revenue. The Amended LLC Agreement provides that certain distributions will be made to cover Definitive Healthcare Corp.’s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w:t>
      </w:r>
    </w:p>
    <w:p>
      <w:pPr>
        <w:spacing w:after="0" w:line="8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cash flow from operations, availability under the 2021 Credit Agreement and available cash and cash equivalents and short-term investments will be sufficient to meet our liquidity needs for at least the next twelve months.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Additionally, our liquidity and our ability to meet our obligations and fund our capital requirements are dependent on our future financial performance, which is subject to general economic, financial, and other factors that are beyond our control. See the “Risk Factors” section within this Annual Report and the factors described elsewhere in this “Management’s Discussion and Analysis of Financial Condition and Results of Operations.” Macroeconomic conditions, including inflation and a potential recession, could increase our anticipated funding requirements. In the event we need to seek additional funding, high interest rates, stock market volatility, or other unfavorable macroeconomic conditions may also prevent us from obtaining additional financing on favorable terms or at all. Additionally, future adverse developments with respect to specific financial institutions or the broader financial services industry may lead to market-wide liquidity shortages that could impact us and our customers, and materially harm our business and financial condition. Our ability to access our cash, cash equivalents and investments, including transferring funds, making payments or receiving funds could be threatened and our ability to raise additional capital could be substantially impaired, any of which could materially and adversely affect our business and financial condition. Accordingly, we cannot provide assurance that our business will generate sufficient cash flow from operations or that future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72" w:name="page73"/>
    <w:bookmarkEnd w:id="72"/>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While inflation and increases to the cost of and competition for labor have negatively impacted and continue to negatively impact our operating expenses, we do not believe inflation has had a material effect on our business, financial condition, or results of operations.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short-term investments, and trade and other receivables. We hold cash with reputable financial institutions that often exceed federally insured limits. We manage our credit risk by concentrating our cash deposits and short-term investments with high-quality financial institutions and periodically evaluating the credit quality of those institutions. The carrying value of cash approximates fair value.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discussion of our cash flows includes a year-over-year comparison of 2024 cash flows to those in 2023. For a discussion of our 2023 cash flows compared to 2022 cash flows, see the discussion in Item 7, Management’s Discussion and Analysis of Financial Condition and Results of Operations in our 2023 Form 10-K, which is incorporated by reference herein.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40" w:type="dxa"/>
            <w:vAlign w:val="bottom"/>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58,196</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41,190</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(26,409 )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(31,782 )</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(248,903 )</w:t>
            </w:r>
          </w:p>
        </w:tc>
        <w:tc>
          <w:tcPr>
            <w:tcW w:w="0" w:type="dxa"/>
            <w:vAlign w:val="bottom"/>
          </w:tcPr>
          <w:p>
            <w:pPr>
              <w:spacing w:after="0"/>
              <w:rPr>
                <w:sz w:val="1"/>
                <w:szCs w:val="1"/>
                <w:color w:val="auto"/>
              </w:rPr>
            </w:pPr>
          </w:p>
        </w:tc>
      </w:tr>
      <w:tr>
        <w:trPr>
          <w:trHeight w:val="216"/>
        </w:trPr>
        <w:tc>
          <w:tcPr>
            <w:tcW w:w="5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18"/>
                <w:szCs w:val="18"/>
                <w:color w:val="auto"/>
              </w:rPr>
            </w:pP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(56,749 )</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(25,584 )</w:t>
            </w: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(26,696 )</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9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Change in cash and cash equivalents (excluding effect of exchange rate</w:t>
            </w:r>
          </w:p>
        </w:tc>
        <w:tc>
          <w:tcPr>
            <w:tcW w:w="28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(24,962 )</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(16,176 )</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(240,020 )</w:t>
            </w:r>
          </w:p>
        </w:tc>
        <w:tc>
          <w:tcPr>
            <w:tcW w:w="0" w:type="dxa"/>
            <w:vAlign w:val="bottom"/>
          </w:tcPr>
          <w:p>
            <w:pPr>
              <w:spacing w:after="0"/>
              <w:rPr>
                <w:sz w:val="1"/>
                <w:szCs w:val="1"/>
                <w:color w:val="auto"/>
              </w:rPr>
            </w:pPr>
          </w:p>
        </w:tc>
      </w:tr>
      <w:tr>
        <w:trPr>
          <w:trHeight w:val="214"/>
        </w:trPr>
        <w:tc>
          <w:tcPr>
            <w:tcW w:w="594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changes)</w:t>
            </w:r>
          </w:p>
        </w:tc>
        <w:tc>
          <w:tcPr>
            <w:tcW w:w="280" w:type="dxa"/>
            <w:vAlign w:val="bottom"/>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-24765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-24765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$58.2 million during the year ended December 31, 2024, primarily as a result of non-cash charges of $675.6 million, partially offset by a net loss of $591.4 million and a $25.9 million net decrease in our operating assets and liabilities. The non-cash charges were primarily comprised of $688.9 million in goodwill impairment charges recorded during the year, a gain on remeasurement of the Tax Receivable Agreement of $76.9 million, amortization of intangible assets of $49.4 million, equity compensation costs of $38.1 million, a decrease in deferred taxes of $42.7 million, and amortization of deferred contract costs of $15.4 million. The net decrease in operating assets and liabilities for the year was primarily driven by cash outflows resulting from an increase in deferred contract costs of $12.8 million, an increase in prepaid expenses and other assets of $7.8 million, lower accounts payable, accrued expenses, and other liabilities, collectively, of $5.5 million, and a decrease in deferred revenue of $5.0 million due to the timing of billings and cash received in advance of revenue recognition for subscription services. These factors were partially offset by a decrease in accounts receivable of $5.7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2024 was $26.4 million, driven primarily by $304.3 million in purchases of short-term investments, $13.5 million in cash paid, net of cash acquired, for the acquisition of Carevoyance in the first quarter of 2024, and $12.3 million in purchases of property, equipment, and data assets, partially offset by $303.8 million in maturities of short-term investments.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w:t>
      </w:r>
    </w:p>
    <w:p>
      <w:pPr>
        <w:spacing w:after="0" w:line="11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during the year ended December 31, 2024 was $56.7 million, primarily driven by payments of $22.4 million for repurchases of our Class A Common Stock, repayments of the 2021 Term Loan (as defined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73" w:name="page74"/>
    <w:bookmarkEnd w:id="73"/>
    <w:p>
      <w:pPr>
        <w:ind w:right="800"/>
        <w:spacing w:after="0" w:line="282" w:lineRule="auto"/>
        <w:rPr>
          <w:sz w:val="20"/>
          <w:szCs w:val="20"/>
          <w:color w:val="auto"/>
        </w:rPr>
      </w:pPr>
      <w:r>
        <w:rPr>
          <w:rFonts w:ascii="Times New Roman" w:cs="Times New Roman" w:eastAsia="Times New Roman" w:hAnsi="Times New Roman"/>
          <w:sz w:val="18"/>
          <w:szCs w:val="18"/>
          <w:color w:val="auto"/>
        </w:rPr>
        <w:t>below) of $13.8 million, taxes paid related to the net share settlement of equity awards of $7.5 million, payments of $7.0 million under the TRA, distribution payments to members of $5.1 million, and payments of contingent consideration of $1.0 million.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xml:space="preserve"> for additional information related to our debt obligations.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2021 Credit Facilities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September 17, 2021, DH Holdings entered into the 2021 Credit Agreement, providing for (i) a $275.0 million term loan A facility (the “2021 Term Loan”) and (ii) a $75.0 million revolving credit facility (the “2021 Revolving Line of Credit” and together with the 2021 Term Loan, collectively, the “2021 Credit Facilities”). The 2021 Credit Facilities thereunder are guaranteed by all of DH Holdings’ wholly owned domestic restricted subsidiaries and AIDH Buyer, the direct parent company of DH Holdings, in each case, subject to customary exceptions, and are secured by a lien on substantially all of the assets of DH Holdings and such guarantors, including a pledge of the equity of DH Holdings, in each case, subject to customary exceptions.</w:t>
      </w:r>
    </w:p>
    <w:p>
      <w:pPr>
        <w:spacing w:after="0" w:line="7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2021 Term Loan is for $275.0 million and has a maturity date of September 17, 2026. The 2021 Term Loan was recorded net of $3.5 million in issuance costs. The issuance costs are amortized to interest expense over the term of the 2021 Term Loan using the effective interest method.</w:t>
      </w:r>
    </w:p>
    <w:p>
      <w:pPr>
        <w:spacing w:after="0" w:line="5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2021 Term Loan is subject to annual amortization of principal, payable in equal quarterly installments on the last day of each fiscal quarter, commencing on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$244.1 million outstanding on the 2021 Term Loan at December 31, 2024.</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2021 Revolving Line of Credit is committed for $75.0 million and has a maturity date of September 17, 2026. There was no outstanding balance on the 2021 Revolving Line of Credit as of December 31, 2024 and 2023. During the quarter ended December 31, 2023, the lessor of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corporate headquarters transitioned from one entity to another. As a result, in lieu of a security deposit, the Company provided a standby letter of credit of $0.6 million, which reduces the amount available under our revolving credit facility to $74.4 million.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31, 2022, the Company amended the 2021 Credit Agreement to replace the LIBO rate with Term SOFR plus an applicable rate.</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2021 Credit Agreement includes certain customary financial covenants, and the Company was compliant with its financial covenants under the 2021 Credit Agreement as of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to the 2021 Credit Facilities</w:t>
      </w:r>
    </w:p>
    <w:p>
      <w:pPr>
        <w:spacing w:after="0" w:line="11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On January 16, 2025 (the “Closing Date”), DH Holdings entered into an amendment to the credit agreement (the “DH Holdings Credit Agreement Amendment”), dated as of September 17, 2021 (as amended by that certain Amendment No. 1, dated as of October 31, 2022, and as further amended, supplemented or otherwise modified from time to time prior to the date hereof, the “Existing Credit Agreement”, and as further amended by the DH Holdings Credit Agreement Amendment, the “DH Holdings Credit Agreement”), with Bank of America, N.A., as administrative agent, the lenders party thereto and the other parties specified therein.</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DH Holdings Credit Agreement Amendment provides for (i) a $175 million term loan facility (the “Term Facility”) and (ii) a $50 million revolving credit facility (the “Revolving Credit Facility” and, together with the Term Facility, collectively, the “Facilities”), the proceeds of which were used to, among other things, repay the remaining portion of the indebtedness outstanding under the Existing Credit Agreement, and to pay related fees and expenses.</w:t>
      </w:r>
    </w:p>
    <w:p>
      <w:pPr>
        <w:spacing w:after="0" w:line="72"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The loans under the Term Facility and the Revolving Credit Facility mature on January 16, 2030. The Facilities are guaranteed, subject to customary exceptions, by all of DH Holdings’s wholly-owned domestic restricted subsidiaries and AIDH Buyer, LLC, a Delaware limited liability company and the direct parent company of DH Holdings (“Holdings”), and are secured by associated collateral agreements that pledge a lien on substantially all of DH Holding’s assets, including fixed assets and intangibles, and the assets of the guarantors, in each case, subject to customary exceptions.</w:t>
      </w:r>
    </w:p>
    <w:p>
      <w:pPr>
        <w:spacing w:after="0" w:line="5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Term Facility is subject to amortization of principal, payable in quarterly installments on the last day of each fiscal quarter, commencing on the last day of the first full fiscal quarter after the Closing Date (the “Initial Amortization Date”),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74" w:name="page75"/>
    <w:bookmarkEnd w:id="74"/>
    <w:p>
      <w:pPr>
        <w:ind w:right="700"/>
        <w:spacing w:after="0" w:line="282" w:lineRule="auto"/>
        <w:rPr>
          <w:sz w:val="20"/>
          <w:szCs w:val="20"/>
          <w:color w:val="auto"/>
        </w:rPr>
      </w:pPr>
      <w:r>
        <w:rPr>
          <w:rFonts w:ascii="Times New Roman" w:cs="Times New Roman" w:eastAsia="Times New Roman" w:hAnsi="Times New Roman"/>
          <w:sz w:val="18"/>
          <w:szCs w:val="18"/>
          <w:color w:val="auto"/>
        </w:rPr>
        <w:t>equal to 5.0% of the original principal amount of the term loans for each of the five years after the Initial Amortization Date. The remaining initial aggregate advances under the Term Facility are payable at the maturity of the Term Facility.</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Term Facility and the Revolving Credit Facility bear interest at a rate per annum equal to (a) ABR (as defined in the DH Holdings Credit Agreement) or (b) Term SOFR (as defined in the DH Holdings Credit Agreement) for the interest period in effect for the applicable borrowing, in each case, plus an applicable margin based on a grid ranging from 1.00% to 1.50% for ABR borrowings and 2.00% to 2.50% for Term SOFR borrowings. The interest rates are subject to two step-ups of 0.25% based on the total net leverage ratio of DH Holdings and its restricted subsidiaries on a consolidated basis (the “Total Net Leverage Ratio”). In addition, DH Holdings will pay an unused commitment fee of between 0.25% and 0.30% on the undrawn commitments under the Revolving Credit Facility, also depending on the Total Net Leverage Ratio.</w:t>
      </w:r>
    </w:p>
    <w:p>
      <w:pPr>
        <w:spacing w:after="0" w:line="7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Under the DH Holdings Credit Agreement, DH Holdings (and in certain circumstances, Holdings) and its restricted subsidiaries are subject to customary affirmative, negative and financial covenants, and events of default for facilities of this type (with customary grace periods, as applicable, and lender remedies).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Financing obligations generally include repayment of principal amounts of our term loan (as detailed above in “Debt Obligations”), lease payments, and purchase obligations. The leases relate to office facilities and expire at various times through 2029. The lease obligations include $2.8 million to be paid in 2025 and $8.1 million thereafter. Refer to Note 5.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within the accompanying consolidated financial statements for further information. Estimated purchase commitments, which currently run through 2028, are $24.8 million in 2025 and $19.9 million thereafter. Refer to Note 14.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within the accompanying consolidated financial statements for further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May 2024, our board of directors authorized a stock repurchase program of up to $20.0 million of our Class A Common Stock, which expired on December 31, 2024 (the “2024 Repurchase Program”). On November 1, 2024, our board of directors announced a new stock repurchase program (the “2025 Repurchase Program” and, together with the 2024 Repurchase Program, the “Repurchase Programs”) of our Class A Common Stock authorizing up to $100.0 million in share repurchases. The 2025 Repurchase Program expires on December 31, 2025 and became effective upon the expiration or completion of the 2024 Repurchase Program. Repurchases may be effected, from time to time, either on the open market (including pre-set trading plans), in privately negotiated transactions, and other transactions in accordance with applicable securities laws.</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 As of December 31, 2024, 4,780,799 shares of our Class A Common Stock have been repurchased under the Repurchase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TRA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Reorganization Transactions and the IPO, the Company entered into the TRA with certain of our pre- IPO holders of LLC Units and the former shareholders of certain Blocker Companies. The TRA provides for the payment by Definitive Healthcare Corp. of 85.0% of the amount of any tax benefits that it actually realizes, or in some cases is deemed to realize, as a result of (i) certain tax attributes that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certain tax basis adjustments resulting from the acquisition of LLC Units by Definitive Healthcare Corp and (iii) certain payments made under the TRA.</w:t>
      </w:r>
    </w:p>
    <w:p>
      <w:pPr>
        <w:spacing w:after="0" w:line="81"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5" w:name="page76"/>
    <w:bookmarkEnd w:id="75"/>
    <w:p>
      <w:pPr>
        <w:spacing w:after="0" w:line="253" w:lineRule="auto"/>
        <w:rPr>
          <w:sz w:val="20"/>
          <w:szCs w:val="20"/>
          <w:color w:val="auto"/>
        </w:rPr>
      </w:pPr>
      <w:r>
        <w:rPr>
          <w:rFonts w:ascii="Times New Roman" w:cs="Times New Roman" w:eastAsia="Times New Roman" w:hAnsi="Times New Roman"/>
          <w:sz w:val="18"/>
          <w:szCs w:val="18"/>
          <w:color w:val="auto"/>
        </w:rPr>
        <w:t>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spacing w:after="0" w:line="8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our consolidated financial statements included in Part II, Item 8 of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Capital expenditures increased by $9.4 million to $12.3 million for the year ended December 31, 2024 compared to $3.0 million for the same period in the prior year, primarily driven by the purchase of a large data asset in the fourth quarter of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a requirement of our lease agreement for our corporate headquarters, in lieu of a security deposit, we provided a standby letter of credit of $0.6 million, which is effective through March 2038.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and notes have been prepared in accordance with GAAP. Our critical accounting policies are those that are reflective of uncertainties resulting from significant, complex and subjective judgements, though the accounting treatment for the majority of our revenue, expenses, assets, and liabilities is specifically dictated by GAAP, with no need for the application of judgement.</w:t>
      </w:r>
    </w:p>
    <w:p>
      <w:pPr>
        <w:spacing w:after="0" w:line="68"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In certain circumstances, the preparation of consolidated financial statements in conformity with GAAP requires us to make certain estimates and assumptions that affect reported amounts. The estimates and assumptions are based on historical experience, current conditions, and various other factors that we believe to be reasonable under the circumstances. Our actual results may differ from those estimates, though we believe such differences are not likely to be material. We review these estimates on a periodic basis to ensure reasonableness and adequacy.</w:t>
      </w:r>
    </w:p>
    <w:p>
      <w:pPr>
        <w:spacing w:after="0" w:line="70"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While our significant accounting policies are discussed more fully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accompanying consolidated financial statements, the following topics pertain to accounting policies we believe are most critical to the preparation of our financial statements and that require our more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derive our revenue primarily from subscription license fees charged for access to our database platform, and professional services. The customer arrangements include a promise to allow customers to access a subscription license to the database platform which is hosted by us over the contract period, without allowing the customer to take possession of the subscription license or transfer hosting to a third party.</w:t>
      </w:r>
    </w:p>
    <w:p>
      <w:pPr>
        <w:spacing w:after="0" w:line="66" w:lineRule="exact"/>
        <w:rPr>
          <w:sz w:val="20"/>
          <w:szCs w:val="20"/>
          <w:color w:val="auto"/>
        </w:rPr>
      </w:pPr>
    </w:p>
    <w:p>
      <w:pPr>
        <w:jc w:val="both"/>
        <w:ind w:right="320" w:firstLine="509"/>
        <w:spacing w:after="0" w:line="267" w:lineRule="auto"/>
        <w:rPr>
          <w:sz w:val="20"/>
          <w:szCs w:val="20"/>
          <w:color w:val="auto"/>
        </w:rPr>
      </w:pPr>
      <w:r>
        <w:rPr>
          <w:rFonts w:ascii="Times New Roman" w:cs="Times New Roman" w:eastAsia="Times New Roman" w:hAnsi="Times New Roman"/>
          <w:sz w:val="18"/>
          <w:szCs w:val="18"/>
          <w:color w:val="auto"/>
        </w:rPr>
        <w:t>We recognize revenue in accordance with ASC 606–</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provides a five-step model for recognizing revenue from contracts with customers. Revenue is recognized upon transfer of control of promised services to customers in an amount that reflects the consideration we expect to receive in exchange for those services.</w:t>
      </w:r>
    </w:p>
    <w:p>
      <w:pPr>
        <w:spacing w:after="0" w:line="6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Revenue related to hosted subscription license arrangements, which often include non-distinct professional services, is recognized ratably over the contract term as the customer simultaneously receives and consumes the benefits provided by our performance. These subscription contracts typically have a term of one to three years and are non-cancellable.</w:t>
      </w:r>
    </w:p>
    <w:p>
      <w:pPr>
        <w:spacing w:after="0" w:line="6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For revenue related to non-hosted subscription license arrangements where customers can purchase a specified quantity of data based on their selection criteria and data layout, each data record is a distinct performance obligation, satisfied on delivery. If we promise to update the initial data set at specified intervals, each update is a performance obligation, which we satisfy when the updated data is delivered.</w:t>
      </w:r>
    </w:p>
    <w:p>
      <w:pPr>
        <w:spacing w:after="0" w:line="6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also enter into a limited number of contracts that can include various combinations of professional services, which are generally capable of being distinct and can be accounted for as separate performance obligations. Revenue related to these professional services is recognized at the time the services are performed.</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When a contract contains multiple performance obligations, the contract transaction price is allocated on a relative standalone selling price (“SSP”) basis to each performance obligation. We typically determine SSP based on observable selling prices of our products and services. In instances where SSP is not directly observable, SSP is determined using information that may include market conditions and other observable inputs, or by using the residual approach.</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account for an arrangement when it has approval and commitment from both parties, the rights are identified, the contract has commercial substance, and collectability of consideration is probable. We generally obtain written purchase contracts from our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we have determined that in such cases, a significant financing component generally does not exist. We have elected the practical expedient that permits an entity not to recognize a significant financing component if the time between the transfer of a good or service and payment is one year or less. Payment terms on invoiced amounts are typically 30 days. We do not offer rights of return for our products and services in the normal course of business, and contracts generally do not include customer acceptance clauses.</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We estimate the amount of variable consideration at the expected value based on our assessment of legal enforceability, anticipated performance, and a review of specific transactions, historical experience, and market and economic conditions. We historically have not experienced any significant incidents that affected the defined levels of reliability and performance as required by the contracts.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in accordance with ASC 805—Business Combinations. Each acquired company’s results of operations are included in our consolidated financial statements starting on the date of acquisition. We allocate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For any given acquisition, we may identify certain pre-acquisition contingencies. We estimate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record all derivatives on the balance sheet at fair value. The accounting for changes in the fair value of derivatives depends on the intended use of the derivative, whether we have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We may enter into derivative contracts that are intended to economically hedge certain of its risk, even though hedge accounting does not apply or we elect not to apply hedge accounting. We measure the credit risk of our derivative financial instruments that are subject to master netting agreements on a net basis by counterparty portfolio.</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 reporting unit is an operating segment or a component of an operating segment. We first assess qualitative and quantitative factors to evaluate whether it is more likely than not that the fair value of a reporting unit is less than the carrying amount, or we may elect to bypass such assessment. If it is determined that it is more likely than not that the fair value of the reporting unit is less than its carrying value, or if we elect to bypass the qualitative assessment, our management will perform a quantitative test by determining the fair value of the reporting unit. The estimated fair value of the reporting unit is based on a combination of an income and market approach. The income approach utilizes a projected discounted cash flow model that includes significant assumptions and estimates, including the discount rate, growth rate, and future financial performance. The market approach utilizes our market capitalization plus an appropriate control premium. Market capitalization is determined by multiplying the number of shares of Class A Common Stock outstanding by the market price of our Class A Common Stock. The control premium is determined by utilizing data from publicly available premium studies for similarly situated public company transactions. If the carrying value of the reporting unit exceeds the fair value, then a goodwill impairment loss is recognized for the difference. We perform our annual impairment assessment in the first month of the fourth quarter of each calendar year.</w:t>
      </w:r>
    </w:p>
    <w:p>
      <w:pPr>
        <w:spacing w:after="0" w:line="86"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Definite-lived intangible assets are amortized over their estimated useful lives, which represent the period over which we expect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185"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4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w w:val="99"/>
              </w:rPr>
              <w:t>14 – 20 years</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7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 years</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Tradenames / trademark</w:t>
            </w:r>
          </w:p>
        </w:tc>
        <w:tc>
          <w:tcPr>
            <w:tcW w:w="17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19 years</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Data</w:t>
            </w:r>
          </w:p>
        </w:tc>
        <w:tc>
          <w:tcPr>
            <w:tcW w:w="264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Recently, we have experienced declines in our market capitalization as a result of sustained decreases in our stock price, which represented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triggering events requiring our management to perform quantitative goodwill impairment tests. As a result of each impairment test, we determined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our single reporting unit was lower than its carrying value and, accordingly, recorded non-cash, pre-tax, goodwill impairment charges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$688.9 million and $287.4 million during the years ended December 31, 2024 and 2023, respectively. The goodwill impairment charges did not affect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or the financial covenants in our outstanding debt agreement.</w:t>
      </w:r>
    </w:p>
    <w:p>
      <w:pPr>
        <w:spacing w:after="0" w:line="97" w:lineRule="exact"/>
        <w:rPr>
          <w:sz w:val="20"/>
          <w:szCs w:val="20"/>
          <w:color w:val="auto"/>
        </w:rPr>
      </w:pPr>
    </w:p>
    <w:p>
      <w:pPr>
        <w:ind w:right="3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We will continue to monitor for potential impairment should impairment indicators arise. Refer to Note 9.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in the accompanying consolidated financial statements for further details.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review the carrying value of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Definitive OpCo is taxed as a partnership. For federal and state income tax purposes, income, losses, and other tax attributes not generated by AW and its wholly owned U.S. and foreign subsidiaries generally pass through to the Definitive OpCo members’ individual income tax returns. Additionally, Definitive OpCo may be subject to certain taxes on behalf of its members in certain states.</w:t>
      </w:r>
    </w:p>
    <w:p>
      <w:pPr>
        <w:spacing w:after="0" w:line="68"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AW and its wholly-owned U.S. and foreign subsidiaries are taxed as corporations. Accordingly, AW accounts for income taxes by recognizing tax assets and liabilities for the cumulative effect of all the temporary differences between financial statement carrying amounts and the tax basis of assets and liabilities. Deferred taxes for AW are determined using enacted federal, state, or foreign income tax rates in effect in the year in which the differences are expected to reverse.</w:t>
      </w:r>
    </w:p>
    <w:p>
      <w:pPr>
        <w:spacing w:after="0" w:line="7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Definitive Healthcare Corp. is subject to U.S. federal, state and local income taxes with respect to its allocable share of any taxable income of Definitive OpCo and will be taxed at the prevailing corporate tax rates. In addition to tax expenses, Definitive Healthcare Corp. will also make payments under the Tax Receivable Agreement, which we expect to be significant. We anticipate that we will account for the income tax effects and corresponding Tax Receivable Agreement’s effects resulting from future redemptions or exchanges of LLC Units by recognizing an increase in Definitive Healthcare Corp.’s deferred tax assets, based on enacted tax rates at the date of the purchase or exchange.</w:t>
      </w:r>
    </w:p>
    <w:p>
      <w:pPr>
        <w:spacing w:after="0" w:line="7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Further, we account for amounts payable under the Tax Receivable Agreement in accordance with ASC 450—</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amounts to be recorded for both the deferred tax assets and the liability for our obligations under the Tax Receivable Agreement will be estimated at the time of any purchase or exchange as a reduction to shareholders’ equity, and the effects of changes in any of our estimates after this date will be included in net income or loss. Similarly, the effect of subsequent changes in the enacted tax rates will be included in net income or loss.</w:t>
      </w:r>
    </w:p>
    <w:p>
      <w:pPr>
        <w:spacing w:after="0" w:line="7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assessing the realizability of deferred tax assets of the Company and its subsidiaries, management considers the weight of available evidence and whether it is more likely than not that some or all of the deferred tax assets will be realized; when necessary, a valuation allowance is established.</w:t>
      </w:r>
    </w:p>
    <w:p>
      <w:pPr>
        <w:spacing w:after="0" w:line="5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Under the provisions of ASC 740—</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2024, 2023, and 2022, we did not have any uncertain tax positions.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a summary of recent accounting pronouncements applicable to our consolidated financial statements, refer to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in the Notes to our consolidated financial statements included in Part II, Item 8 of this Form 10-K.</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Our cash, cash equivalents and short-term investments primarily consist of cash on hand and highly liquid investments in money market funds, U.S. government securities and commercial paper. As of December 31, 2024 we had cash and cash equivalents of $105.4 million and short-term investments of $184.8 million.</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operating results are subject to market risk from interest rate fluctuations on our 2021 Term Loan, which bears a variable interest rate based on the SOFR Rate or a Base Rate plus an applicable margin. In order to reduce the interest rate risk on our debt, we have entered into an interest rate swap agreement on a portion of our borrowings. As of December 31, 2024, the total principal balance outstanding was $244.1 million. Excluding the effect of the interest rate swap agreement, a hypothetical 1.0% increase or decrease in the interest rate associated with borrowings under the 2021 Credit Agreement would result in an approximately $2.4 million impact to interest expense on an annual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To date, the majority of our sales contracts have been denominated in U.S. dollars. We have one foreign entity established in Sweden and one in India. The functional currencies of these foreign subsidiaries are the Swedish Krona and the Indian Rupee, respectively. Assets and liabilities of the foreign subsidiaries are translated into U.S. dollars at the exchange rates in effect at the reporting date and revenue and expenses are translated at average exchange rates in effect during each reporting period. Realized and unrealized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together with the reports of our independent registered public accounting firm, appear beginning on page F-1 of this Annual Report for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2024, our management carried out an evaluation, under the supervision and participation of our Chief Executive Officer (principal executive officer) and our Chief Financial Officer (principal financial officer), of the effectiveness of the design of our disclosure controls and procedures (as defined in Rules 13a-15(e) and 15d-15(e) under the Securities Exchange Act of 1934, as amended (“Exchange Act”)). Based on such evaluation, our Chief Executive Officer and Chief Financial Officer have concluded that our disclosure controls and procedures were effective as of December 31, 2024 to provide reasonable assurance that information to be disclosed by us in the reports that we file or submit under the Exchange Act is</w:t>
      </w:r>
    </w:p>
    <w:p>
      <w:pPr>
        <w:spacing w:after="0" w:line="3" w:lineRule="exact"/>
        <w:rPr>
          <w:sz w:val="20"/>
          <w:szCs w:val="20"/>
          <w:color w:val="auto"/>
        </w:rPr>
      </w:pPr>
    </w:p>
    <w:p>
      <w:pPr>
        <w:ind w:right="80" w:firstLine="8"/>
        <w:spacing w:after="0" w:line="255" w:lineRule="auto"/>
        <w:tabs>
          <w:tab w:leader="none" w:pos="2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processed, summarized, and reported within the time periods specified in the rules and forms of the SEC, and (ii) accumulated and communicated to management, including our principal executive and principal financial officers or persons performing similar functions, as appropriate to allow timely decisions regarding disclosure.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 Annual Report on Internal Controls Over Financial Reporting</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financing reporting and the preparation of financial statements for external purposes in accordance with U.S. GAAP.</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our Chief Financial Officer and oversight of the board of directors, our management conducted an evaluation of the effectiveness of our internal control over financial reporting as of December 31, 2024, based on the criteria set forth in Internal Control-Integrated Framework issued by the Committee of Sponsoring Organizations of the Treadway Commission (2013 framework). Based on this evaluation, management concluded that our internal control over financial reporting was effective as of December 31, 2024.</w:t>
      </w:r>
    </w:p>
    <w:p>
      <w:pPr>
        <w:spacing w:after="0" w:line="72"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Deloitte &amp; Touche LLP, our independent registered public accounting firm, has audited our consolidated financial statements included in this Annual Report and issued its report, which is included herein, stating that the Company’s internal controls over financial reporting were effective as of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Previously Disclosed Material Weakness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During 2023, we identified a material weakness in the design of our controls over the collection and remittance of sales taxes, as well as the accurate recording of our sales tax obligations in the financial statements. Remediation of this material weakness was completed during the three months ended December 31, 2024 and included establishing new controls and procedures over the collection, control, and subsequent monitoring of applicable documentation of exempt status from customers in affected jurisdictions. As of December 31, 2024, these control activities have been appropriately designed and implemented, and have operated effectively for a sufficient period of time to conclude that the previously identified material weakness has been remediated.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Other than the changes described above under “Remediation of Previously Disclosed Material Weakness”, there were no changes in our internal control over financial reporting identified in connection with the evaluation required by Rule 13a-15(d) and 15d-15(d) of the Exchange Act that occurred during the most recently completed fiscal quarter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83" w:name="page84"/>
    <w:bookmarkEnd w:id="83"/>
    <w:p>
      <w:pPr>
        <w:spacing w:after="0" w:line="14" w:lineRule="exact"/>
        <w:rPr>
          <w:sz w:val="20"/>
          <w:szCs w:val="20"/>
          <w:color w:val="auto"/>
        </w:rPr>
      </w:pPr>
    </w:p>
    <w:p>
      <w:pPr>
        <w:ind w:right="50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Definitive Healthcare Corp.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Definitive Healthcare Corp.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7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27, 2025,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46" w:right="1440"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2024.</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employees of ours, with regard to their activities related to our business. Our code of business conduct and ethics is available in the Investor Relations section of our website at https://ir.definitivehc.com. We intend to post on this section of our website any amendment to our code of business conduct and ethics, as well as any waivers of our code of business conduct and ethics, that are required to be disclosed by the rules of the SEC or the Nasdaq Stock Market.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2024.</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1000" w:hanging="49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the Index to Consolidated Financial Statements in the Financial Statements Section beginning on page F-1 of this Annual Report on Form 10-K.</w:t>
      </w:r>
    </w:p>
    <w:p>
      <w:pPr>
        <w:spacing w:after="0" w:line="117" w:lineRule="exact"/>
        <w:rPr>
          <w:sz w:val="20"/>
          <w:szCs w:val="20"/>
          <w:color w:val="auto"/>
        </w:rPr>
      </w:pPr>
    </w:p>
    <w:p>
      <w:pPr>
        <w:ind w:left="1000" w:hanging="49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sz w:val="20"/>
          <w:szCs w:val="20"/>
          <w:color w:val="auto"/>
        </w:rPr>
      </w:pPr>
    </w:p>
    <w:p>
      <w:pPr>
        <w:ind w:left="500" w:right="16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as they are not required, not applicable, or the required information is included in the financial statements or notes to the financial statements.</w:t>
      </w:r>
    </w:p>
    <w:p>
      <w:pPr>
        <w:spacing w:after="0" w:line="54" w:lineRule="exact"/>
        <w:rPr>
          <w:sz w:val="20"/>
          <w:szCs w:val="20"/>
          <w:color w:val="auto"/>
        </w:rPr>
      </w:pPr>
    </w:p>
    <w:p>
      <w:pPr>
        <w:ind w:left="1000" w:hanging="49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140" w:type="dxa"/>
            <w:vAlign w:val="bottom"/>
            <w:gridSpan w:val="27"/>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60" w:type="dxa"/>
            <w:vAlign w:val="bottom"/>
            <w:gridSpan w:val="2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60" w:type="dxa"/>
            <w:vAlign w:val="bottom"/>
            <w:tcBorders>
              <w:bottom w:val="single" w:sz="8" w:color="auto"/>
            </w:tcBorders>
            <w:gridSpan w:val="2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942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Amended and Restated Certificate of Incorporation of Definitive Healthcare Corp. (incorporated by reference to Exhibit 3.1 to the</w:t>
              </w:r>
            </w:hyperlink>
          </w:p>
        </w:tc>
        <w:tc>
          <w:tcPr>
            <w:tcW w:w="44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1"/>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Company’s Quarterly Report on Form 10-Q (File No. 001-40815) filed with the SEC on November 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95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Amended and Restated Bylaws of Definitive Healthcare Corp. (incorporated by reference to Exhibit 3.2 to the Company’s Quarterly</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Report on Form 10-Q (File No. 001-40815) filed with the SEC on November 8, 2021).</w:t>
              </w:r>
            </w:hyperlink>
          </w:p>
        </w:tc>
        <w:tc>
          <w:tcPr>
            <w:tcW w:w="20" w:type="dxa"/>
            <w:vAlign w:val="bottom"/>
            <w:tcBorders>
              <w:bottom w:val="single" w:sz="8" w:color="0000EE"/>
            </w:tcBorders>
          </w:tcPr>
          <w:p>
            <w:pPr>
              <w:spacing w:after="0"/>
              <w:rPr>
                <w:sz w:val="17"/>
                <w:szCs w:val="17"/>
                <w:color w:val="auto"/>
              </w:rPr>
            </w:pPr>
          </w:p>
        </w:tc>
        <w:tc>
          <w:tcPr>
            <w:tcW w:w="36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7"/>
                <w:szCs w:val="17"/>
                <w:color w:val="auto"/>
              </w:rPr>
            </w:pPr>
          </w:p>
        </w:tc>
        <w:tc>
          <w:tcPr>
            <w:tcW w:w="98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Second Amended and Restated Limited Liability Company Agreement of AIDH TopCo, LLC (incorporated by reference to Exhibit 3.3</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to the Company’s Quarterly Report on Form 10-Q (File No. 001-40815) filed with the SEC on November 8, 2021).</w:t>
              </w:r>
            </w:hyperlink>
          </w:p>
        </w:tc>
        <w:tc>
          <w:tcPr>
            <w:tcW w:w="20" w:type="dxa"/>
            <w:vAlign w:val="bottom"/>
            <w:tcBorders>
              <w:bottom w:val="single" w:sz="8" w:color="0000EE"/>
            </w:tcBorders>
          </w:tcPr>
          <w:p>
            <w:pPr>
              <w:spacing w:after="0"/>
              <w:rPr>
                <w:sz w:val="17"/>
                <w:szCs w:val="17"/>
                <w:color w:val="auto"/>
              </w:rPr>
            </w:pPr>
          </w:p>
        </w:tc>
        <w:tc>
          <w:tcPr>
            <w:tcW w:w="15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96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Description of Registrant’s Securities (incorporated by reference to Exhibit 4.1 to the Company’s Annual Report on Form 10-K (File</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No. 001-40815) filed with the SEC on March 15, 2022).</w:t>
              </w:r>
            </w:hyperlink>
          </w:p>
        </w:tc>
        <w:tc>
          <w:tcPr>
            <w:tcW w:w="20" w:type="dxa"/>
            <w:vAlign w:val="bottom"/>
            <w:tcBorders>
              <w:bottom w:val="single" w:sz="8" w:color="0000EE"/>
            </w:tcBorders>
          </w:tcPr>
          <w:p>
            <w:pPr>
              <w:spacing w:after="0"/>
              <w:rPr>
                <w:sz w:val="17"/>
                <w:szCs w:val="17"/>
                <w:color w:val="auto"/>
              </w:rPr>
            </w:pPr>
          </w:p>
        </w:tc>
        <w:tc>
          <w:tcPr>
            <w:tcW w:w="58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97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Credit Agreement, dated September 17, 2021, by and among DH Holdings and Administrative Agent, the lenders party thereto and the</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issuing banks from time to time party thereto (incorporated by reference to Exhibit 10.1 to the Company’s current report on Form 8-K</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1"/>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(File No. 001-40815), filed with the SEC on September 20,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94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Amendment No. 1, dated October 31, 2022, to Credit Agreement, dated September 17, 2021, by and among Definitive Healthcare</w:t>
              </w:r>
            </w:hyperlink>
          </w:p>
        </w:tc>
        <w:tc>
          <w:tcPr>
            <w:tcW w:w="4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Holdings, LLC, AIDH Buyer, LLC, Bank of America, N.A. as Administrative Agent, the lenders party thereto and the issuing banks</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from time to time party thereto (incorporated by reference to Exhibit 10.5 to the Company’s Quarterly Report on Form 10-Q (File</w:t>
              </w:r>
            </w:hyperlink>
          </w:p>
        </w:tc>
        <w:tc>
          <w:tcPr>
            <w:tcW w:w="4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No.001-40815) filed with the SEC on November 3, 2022).</w:t>
              </w:r>
            </w:hyperlink>
          </w:p>
        </w:tc>
        <w:tc>
          <w:tcPr>
            <w:tcW w:w="56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98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Reorganization Agreement, dated September 14, 2021, between Definitive Healthcare Corp., AIDH TopCo, LLC and the parties named</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therein (incorporated by reference to Exhibit 10.8 to the Company’s Quarterly Report on Form 10-Q (File No. 001-40815) filed with the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1"/>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SEC on November 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7"/>
                <w:szCs w:val="17"/>
                <w:color w:val="auto"/>
              </w:rPr>
            </w:pPr>
          </w:p>
        </w:tc>
        <w:tc>
          <w:tcPr>
            <w:tcW w:w="98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Registration Rights Agreement, dated September 14, 2021, by and among Definitive Healthcare Corp. and the Continuing Pre-IPO LLC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Members (incorporated by reference to Exhibit 10.9 to the Company’s Quarterly Report on Form 10-Q (File No. 001-40815) filed with</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the SEC on November 8, 2021).</w:t>
              </w:r>
            </w:hyperlink>
          </w:p>
        </w:tc>
        <w:tc>
          <w:tcPr>
            <w:tcW w:w="75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7"/>
                <w:szCs w:val="17"/>
                <w:color w:val="auto"/>
              </w:rPr>
            </w:pPr>
          </w:p>
        </w:tc>
        <w:tc>
          <w:tcPr>
            <w:tcW w:w="94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Tax Receivable Agreement, dated September 14, 2021, between Definitive Healthcare Corp. and the TRA Parties (incorporated by</w:t>
              </w:r>
            </w:hyperlink>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reference to Exhibit 10.10 to the Company’s Quarterly Report on Form10-Q (File No. 001-40815) filed with the SEC on November 8,</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line="196" w:lineRule="exact"/>
              <w:rPr>
                <w:rFonts w:ascii="Times New Roman" w:cs="Times New Roman" w:eastAsia="Times New Roman" w:hAnsi="Times New Roman"/>
                <w:sz w:val="18"/>
                <w:szCs w:val="18"/>
                <w:color w:val="0000FF"/>
                <w:w w:val="94"/>
              </w:rPr>
            </w:pPr>
            <w:hyperlink r:id="rId170">
              <w:r>
                <w:rPr>
                  <w:rFonts w:ascii="Times New Roman" w:cs="Times New Roman" w:eastAsia="Times New Roman" w:hAnsi="Times New Roman"/>
                  <w:sz w:val="18"/>
                  <w:szCs w:val="18"/>
                  <w:color w:val="0000FF"/>
                  <w:w w:val="94"/>
                </w:rPr>
                <w:t>2021).</w:t>
              </w:r>
            </w:hyperlink>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7"/>
                <w:szCs w:val="17"/>
                <w:color w:val="auto"/>
              </w:rPr>
            </w:pPr>
          </w:p>
        </w:tc>
        <w:tc>
          <w:tcPr>
            <w:tcW w:w="964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Nominating Agreement, dated September 17, 2021, between the Company and Advent (incorporated by reference to Exhibit 10.11 to</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1"/>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the Company’s Quarterly Report on Form 10-Q (File No. 001-40815) filed with the SEC on November 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0" w:type="dxa"/>
            <w:vAlign w:val="bottom"/>
            <w:tcBorders>
              <w:right w:val="single" w:sz="8" w:color="0000EE"/>
            </w:tcBorders>
            <w:gridSpan w:val="8"/>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7"/>
                <w:szCs w:val="17"/>
                <w:color w:val="auto"/>
              </w:rPr>
            </w:pPr>
          </w:p>
        </w:tc>
        <w:tc>
          <w:tcPr>
            <w:tcW w:w="954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Nominating Agreement, dated September 17, 2021 between the Company and SE VII DHC AIV, L.P. (incorporated by reference to</w:t>
              </w:r>
            </w:hyperlink>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1"/>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Exhibit 10.12 to the Company’s Quarterly Report on Form10-Q (File No. 001-40815) filed with the SEC on November 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560" w:type="dxa"/>
            <w:vAlign w:val="bottom"/>
            <w:tcBorders>
              <w:right w:val="single" w:sz="8" w:color="0000EE"/>
            </w:tcBorders>
            <w:gridSpan w:val="11"/>
            <w:shd w:val="clear" w:color="auto" w:fill="0000FF"/>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7"/>
                <w:szCs w:val="17"/>
                <w:color w:val="auto"/>
              </w:rPr>
            </w:pPr>
          </w:p>
        </w:tc>
        <w:tc>
          <w:tcPr>
            <w:tcW w:w="98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Nominating Agreement, dated September 17, 2021, between the Company and Jason Krantz (incorporated by reference to Exhibit 10.13</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to the Company’s Quarterly Report on Form 10-Q (File No. 001-40815) filed with the SEC on November 8, 2021).</w:t>
              </w:r>
            </w:hyperlink>
          </w:p>
        </w:tc>
        <w:tc>
          <w:tcPr>
            <w:tcW w:w="15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7"/>
                <w:szCs w:val="17"/>
                <w:color w:val="auto"/>
              </w:rPr>
            </w:pPr>
          </w:p>
        </w:tc>
        <w:tc>
          <w:tcPr>
            <w:tcW w:w="92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Reimbursement Agreement, dated September 17, 2021, between Definitive Healthcare Corp. and Jason Krantz and certain other</w:t>
              </w:r>
            </w:hyperlink>
          </w:p>
        </w:tc>
        <w:tc>
          <w:tcPr>
            <w:tcW w:w="5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stockholders (incorporated by reference to Exhibit 10.14 to the Company’s Quarterly Report on Form10-Q (File No. 001-40815) filed</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with the SEC on November 8, 2021).</w:t>
              </w:r>
            </w:hyperlink>
          </w:p>
        </w:tc>
        <w:tc>
          <w:tcPr>
            <w:tcW w:w="71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240" w:type="dxa"/>
            <w:vAlign w:val="bottom"/>
          </w:tcPr>
          <w:p>
            <w:pPr>
              <w:spacing w:after="0"/>
              <w:rPr>
                <w:sz w:val="24"/>
                <w:szCs w:val="24"/>
                <w:color w:val="auto"/>
              </w:rPr>
            </w:pPr>
          </w:p>
        </w:tc>
        <w:tc>
          <w:tcPr>
            <w:tcW w:w="4900" w:type="dxa"/>
            <w:vAlign w:val="bottom"/>
            <w:gridSpan w:val="9"/>
          </w:tcPr>
          <w:p>
            <w:pPr>
              <w:jc w:val="right"/>
              <w:ind w:right="348"/>
              <w:spacing w:after="0"/>
              <w:rPr>
                <w:sz w:val="20"/>
                <w:szCs w:val="20"/>
                <w:color w:val="auto"/>
              </w:rPr>
            </w:pPr>
            <w:r>
              <w:rPr>
                <w:rFonts w:ascii="Times New Roman" w:cs="Times New Roman" w:eastAsia="Times New Roman" w:hAnsi="Times New Roman"/>
                <w:sz w:val="18"/>
                <w:szCs w:val="18"/>
                <w:color w:val="auto"/>
              </w:rPr>
              <w:t>82</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840" w:type="dxa"/>
            <w:vAlign w:val="bottom"/>
            <w:gridSpan w:val="30"/>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Stock and Unit Purchase Agreement, dated September 7, 2021, by and among Definitive Health Care Corp. and the parties named</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therein (incorporated by reference to Exhibit 10.19 to Amendment No. 2 to the Company’s Registration Statement on Form S-1 (File</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No. 333-258990) filed with the SEC on September 7, 2021).</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Stock and Unit Purchase Agreement, dated November 10, 2021, by and among Definitive Healthcare Corp. and the parties named</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therein (incorporated by reference to Exhibit 10.21 to the Company’s Registration Statement on Form S-1 (File No. 333-261083) filed</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with the SEC on November 15, 2021).</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2019 Equity Incentive Plan (incorporated by reference to Exhibit 10.1 to the Company’s Registration Statement on Form S-1 (File No.</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333-258990) filed with the SEC on August 20, 2021).</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2021 Equity Incentive Plan (incorporated by reference to Exhibit 10.12 to the Company's Annual Report on Form 10-K (File No. 001-</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40815) filed with the SEC on March 15, 2022.</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Form of Equity Award Agreements under 2019 Equity Incentive Plan (incorporated by reference to Exhibit 10.3 to the Company’s</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Registration Statement on Form S-1 (File No. 333-258990) filed with the SEC on August 20, 2021).</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of Executive Equity Award Agreements under 2021 Equity Incentive Plan (incorporated by reference to Exhibit 10.4 to the</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Company’s Registration Statement on Form S-1 (File No. 333-258990) filed with the SEC on August 20, 2021).</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9840" w:type="dxa"/>
            <w:vAlign w:val="bottom"/>
            <w:gridSpan w:val="30"/>
          </w:tcPr>
          <w:p>
            <w:pPr>
              <w:spacing w:after="0" w:line="19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Form of Executive Restricted Stock Unit Award Agreement under Definitive Healthcare Corp. 2021 Equity Incentive Plan (incorporated</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by reference to Exhibit 10.2 to the Company’s Current Report on Form 8-K (File No. 001-40815) filed with the SEC on November 3,</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183">
              <w:r>
                <w:rPr>
                  <w:rFonts w:ascii="Times New Roman" w:cs="Times New Roman" w:eastAsia="Times New Roman" w:hAnsi="Times New Roman"/>
                  <w:sz w:val="18"/>
                  <w:szCs w:val="18"/>
                  <w:color w:val="0000FF"/>
                  <w:w w:val="90"/>
                </w:rPr>
                <w:t>2022).</w:t>
              </w:r>
            </w:hyperlink>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of Executive Performance-Based Restricted Stock Unit Award Agreement under Definitive Healthcare Corp. 2021 Equity</w:t>
              </w:r>
            </w:hyperlink>
          </w:p>
        </w:tc>
      </w:tr>
      <w:tr>
        <w:trPr>
          <w:trHeight w:val="20"/>
        </w:trPr>
        <w:tc>
          <w:tcPr>
            <w:tcW w:w="140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Incentive Plan (incorporated by reference to Exhibit 10.17 to the Company’s Annual Report on Form 10-K (File No. 001-40815) filed</w:t>
              </w:r>
            </w:hyperlink>
          </w:p>
        </w:tc>
      </w:tr>
      <w:tr>
        <w:trPr>
          <w:trHeight w:val="20"/>
        </w:trPr>
        <w:tc>
          <w:tcPr>
            <w:tcW w:w="140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with the SEC on February 27, 2023).</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Form of Director Restricted Stock Unit Award Agreement under Definitive Healthcare Corp. 2021 Equity Incentive Plan (incorporated</w:t>
              </w:r>
            </w:hyperlink>
          </w:p>
        </w:tc>
      </w:tr>
      <w:tr>
        <w:trPr>
          <w:trHeight w:val="20"/>
        </w:trPr>
        <w:tc>
          <w:tcPr>
            <w:tcW w:w="140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by reference to Exhibit 10.1 to the Company’s Current Report on Form 8-K (File No. 001-40815) filed with the SEC on October 3,</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185">
              <w:r>
                <w:rPr>
                  <w:rFonts w:ascii="Times New Roman" w:cs="Times New Roman" w:eastAsia="Times New Roman" w:hAnsi="Times New Roman"/>
                  <w:sz w:val="18"/>
                  <w:szCs w:val="18"/>
                  <w:color w:val="0000FF"/>
                  <w:w w:val="90"/>
                </w:rPr>
                <w:t>2022).</w:t>
              </w:r>
            </w:hyperlink>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Definitive Healthcare Corp. Cash Incentive Plan (incorporated by reference to Exhibit 10.2 to the Company’s Current Report on Form</w:t>
              </w:r>
            </w:hyperlink>
          </w:p>
        </w:tc>
      </w:tr>
      <w:tr>
        <w:trPr>
          <w:trHeight w:val="20"/>
        </w:trPr>
        <w:tc>
          <w:tcPr>
            <w:tcW w:w="140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8-K (File No. 001-40815) filed with the SEC on February 23, 2023).</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Form of Executive Officer and Director Indemnification Agreement for Definitive Healthcare Corp. (incorporated by reference to</w:t>
              </w:r>
            </w:hyperlink>
          </w:p>
        </w:tc>
      </w:tr>
      <w:tr>
        <w:trPr>
          <w:trHeight w:val="20"/>
        </w:trPr>
        <w:tc>
          <w:tcPr>
            <w:tcW w:w="140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Exhibit 10.6 to the Company’s Registration Statement on Form S-1 (File No. 333-258990) filed with the SEC on August 20, 2021).</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2021 Employee Stock Purchase Plan (incorporated by reference to Exhibit 10.7 to the Company’s Registration Statement on Form S-1</w:t>
              </w:r>
            </w:hyperlink>
          </w:p>
        </w:tc>
      </w:tr>
      <w:tr>
        <w:trPr>
          <w:trHeight w:val="20"/>
        </w:trPr>
        <w:tc>
          <w:tcPr>
            <w:tcW w:w="140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(File No. 333-258990) filed with the SEC on August 20, 2021).</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Employment Agreement, dated January 29, 2021, by and between Definitive Healthcare, LLC and Richard Booth (incorporated by</w:t>
              </w:r>
            </w:hyperlink>
          </w:p>
        </w:tc>
      </w:tr>
      <w:tr>
        <w:trPr>
          <w:trHeight w:val="20"/>
        </w:trPr>
        <w:tc>
          <w:tcPr>
            <w:tcW w:w="140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reference to Exhibit 10.9 to the Company’s Registration Statement on Form S-1 (File No. 333-258990) filed with the SEC on August</w:t>
              </w:r>
            </w:hyperlink>
          </w:p>
        </w:tc>
      </w:tr>
      <w:tr>
        <w:trPr>
          <w:trHeight w:val="20"/>
        </w:trPr>
        <w:tc>
          <w:tcPr>
            <w:tcW w:w="140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1400" w:type="dxa"/>
            <w:vAlign w:val="bottom"/>
            <w:gridSpan w:val="3"/>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20, 2021).</w:t>
              </w:r>
            </w:hyperlink>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Executive Chairman Agreement, dated as of May 4, 2022, by and among Definitive Healthcare, LLC, Definitive Healthcare Corp. and</w:t>
              </w:r>
            </w:hyperlink>
          </w:p>
        </w:tc>
      </w:tr>
      <w:tr>
        <w:trPr>
          <w:trHeight w:val="20"/>
        </w:trPr>
        <w:tc>
          <w:tcPr>
            <w:tcW w:w="140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Jason Krantz (incorporated by reference to Exhibit 10.2 to the Company’s Current Report on Form 8-K (File No. 001-40815) filed with</w:t>
              </w:r>
            </w:hyperlink>
          </w:p>
        </w:tc>
      </w:tr>
      <w:tr>
        <w:trPr>
          <w:trHeight w:val="20"/>
        </w:trPr>
        <w:tc>
          <w:tcPr>
            <w:tcW w:w="140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the SEC on May 5, 2022).</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Amendment to Executive Chairman Agreement and Employment Agreement of Jason Krantz, dated as of February 16, 2023</w:t>
              </w:r>
            </w:hyperlink>
          </w:p>
        </w:tc>
      </w:tr>
      <w:tr>
        <w:trPr>
          <w:trHeight w:val="20"/>
        </w:trPr>
        <w:tc>
          <w:tcPr>
            <w:tcW w:w="140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6"/>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(incorporated by reference to Exhibit 10.1 to the Company’s Current Report on Form 8-K (File No. 001-40815) filed with the SEC on</w:t>
              </w:r>
            </w:hyperlink>
          </w:p>
        </w:tc>
      </w:tr>
      <w:tr>
        <w:trPr>
          <w:trHeight w:val="20"/>
        </w:trPr>
        <w:tc>
          <w:tcPr>
            <w:tcW w:w="140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6"/>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February 23, 2023).</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Offer Letter to Kate Shamsuddin Jensen, dated February 3, 2015 (incorporated by reference to Exhibit 10.30 to the Company’s Annual</w:t>
              </w:r>
            </w:hyperlink>
          </w:p>
        </w:tc>
      </w:tr>
      <w:tr>
        <w:trPr>
          <w:trHeight w:val="20"/>
        </w:trPr>
        <w:tc>
          <w:tcPr>
            <w:tcW w:w="1400" w:type="dxa"/>
            <w:vAlign w:val="bottom"/>
          </w:tcPr>
          <w:p>
            <w:pPr>
              <w:spacing w:after="0" w:line="20" w:lineRule="exact"/>
              <w:rPr>
                <w:sz w:val="1"/>
                <w:szCs w:val="1"/>
                <w:color w:val="auto"/>
              </w:rPr>
            </w:pPr>
          </w:p>
        </w:tc>
        <w:tc>
          <w:tcPr>
            <w:tcW w:w="1440" w:type="dxa"/>
            <w:vAlign w:val="bottom"/>
            <w:tcBorders>
              <w:right w:val="single" w:sz="8" w:color="0000FF"/>
            </w:tcBorders>
            <w:gridSpan w:val="4"/>
            <w:shd w:val="clear" w:color="auto" w:fill="0000FF"/>
          </w:tcPr>
          <w:p>
            <w:pPr>
              <w:spacing w:after="0" w:line="20" w:lineRule="exact"/>
              <w:rPr>
                <w:sz w:val="1"/>
                <w:szCs w:val="1"/>
                <w:color w:val="auto"/>
              </w:rPr>
            </w:pPr>
          </w:p>
        </w:tc>
        <w:tc>
          <w:tcPr>
            <w:tcW w:w="2560" w:type="dxa"/>
            <w:vAlign w:val="bottom"/>
            <w:gridSpan w:val="6"/>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Report on Form 10-K (File No. 001-40815) filed with the SEC on February 27, 2023).</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FF"/>
            </w:tcBorders>
            <w:gridSpan w:val="4"/>
            <w:shd w:val="clear" w:color="auto" w:fill="0000FF"/>
          </w:tcPr>
          <w:p>
            <w:pPr>
              <w:spacing w:after="0" w:line="20" w:lineRule="exact"/>
              <w:rPr>
                <w:sz w:val="1"/>
                <w:szCs w:val="1"/>
                <w:color w:val="auto"/>
              </w:rPr>
            </w:pPr>
          </w:p>
        </w:tc>
        <w:tc>
          <w:tcPr>
            <w:tcW w:w="2560" w:type="dxa"/>
            <w:vAlign w:val="bottom"/>
            <w:gridSpan w:val="6"/>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Employment Agreement, dated as of September 22, 2022, by and between Definitive Healthcare, LLC and Jonathan Maack</w:t>
              </w:r>
            </w:hyperlink>
          </w:p>
        </w:tc>
      </w:tr>
      <w:tr>
        <w:trPr>
          <w:trHeight w:val="20"/>
        </w:trPr>
        <w:tc>
          <w:tcPr>
            <w:tcW w:w="1400" w:type="dxa"/>
            <w:vAlign w:val="bottom"/>
          </w:tcPr>
          <w:p>
            <w:pPr>
              <w:spacing w:after="0" w:line="20" w:lineRule="exact"/>
              <w:rPr>
                <w:sz w:val="1"/>
                <w:szCs w:val="1"/>
                <w:color w:val="auto"/>
              </w:rPr>
            </w:pPr>
          </w:p>
        </w:tc>
        <w:tc>
          <w:tcPr>
            <w:tcW w:w="1440" w:type="dxa"/>
            <w:vAlign w:val="bottom"/>
            <w:tcBorders>
              <w:right w:val="single" w:sz="8" w:color="0000FF"/>
            </w:tcBorders>
            <w:gridSpan w:val="4"/>
            <w:shd w:val="clear" w:color="auto" w:fill="0000FF"/>
          </w:tcPr>
          <w:p>
            <w:pPr>
              <w:spacing w:after="0" w:line="20" w:lineRule="exact"/>
              <w:rPr>
                <w:sz w:val="1"/>
                <w:szCs w:val="1"/>
                <w:color w:val="auto"/>
              </w:rPr>
            </w:pPr>
          </w:p>
        </w:tc>
        <w:tc>
          <w:tcPr>
            <w:tcW w:w="2560" w:type="dxa"/>
            <w:vAlign w:val="bottom"/>
            <w:gridSpan w:val="6"/>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(incorporated by reference to Exhibit 10.1 to the Company’s Current Report on Form 8-K (File No. 001-40815) filed with the SEC on</w:t>
              </w:r>
            </w:hyperlink>
          </w:p>
        </w:tc>
      </w:tr>
      <w:tr>
        <w:trPr>
          <w:trHeight w:val="20"/>
        </w:trPr>
        <w:tc>
          <w:tcPr>
            <w:tcW w:w="1400" w:type="dxa"/>
            <w:vAlign w:val="bottom"/>
          </w:tcPr>
          <w:p>
            <w:pPr>
              <w:spacing w:after="0" w:line="20" w:lineRule="exact"/>
              <w:rPr>
                <w:sz w:val="1"/>
                <w:szCs w:val="1"/>
                <w:color w:val="auto"/>
              </w:rPr>
            </w:pPr>
          </w:p>
        </w:tc>
        <w:tc>
          <w:tcPr>
            <w:tcW w:w="1440" w:type="dxa"/>
            <w:vAlign w:val="bottom"/>
            <w:tcBorders>
              <w:right w:val="single" w:sz="8" w:color="0000FF"/>
            </w:tcBorders>
            <w:gridSpan w:val="4"/>
            <w:shd w:val="clear" w:color="auto" w:fill="0000FF"/>
          </w:tcPr>
          <w:p>
            <w:pPr>
              <w:spacing w:after="0" w:line="20" w:lineRule="exact"/>
              <w:rPr>
                <w:sz w:val="1"/>
                <w:szCs w:val="1"/>
                <w:color w:val="auto"/>
              </w:rPr>
            </w:pPr>
          </w:p>
        </w:tc>
        <w:tc>
          <w:tcPr>
            <w:tcW w:w="2560" w:type="dxa"/>
            <w:vAlign w:val="bottom"/>
            <w:gridSpan w:val="6"/>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November 3, 2022).</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EE"/>
            </w:tcBorders>
            <w:gridSpan w:val="4"/>
            <w:shd w:val="clear" w:color="auto" w:fill="0000FF"/>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Definitive Healthcare Corp. Severance Plan for Executives (incorporated by reference to Exhibit 10.1 to the Company’s Current Report</w:t>
              </w:r>
            </w:hyperlink>
          </w:p>
        </w:tc>
      </w:tr>
      <w:tr>
        <w:trPr>
          <w:trHeight w:val="20"/>
        </w:trPr>
        <w:tc>
          <w:tcPr>
            <w:tcW w:w="1400" w:type="dxa"/>
            <w:vAlign w:val="bottom"/>
          </w:tcPr>
          <w:p>
            <w:pPr>
              <w:spacing w:after="0" w:line="20" w:lineRule="exact"/>
              <w:rPr>
                <w:sz w:val="1"/>
                <w:szCs w:val="1"/>
                <w:color w:val="auto"/>
              </w:rPr>
            </w:pPr>
          </w:p>
        </w:tc>
        <w:tc>
          <w:tcPr>
            <w:tcW w:w="4000" w:type="dxa"/>
            <w:vAlign w:val="bottom"/>
            <w:gridSpan w:val="10"/>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on Form 8-K (File No. 001-40815) filed with the SEC on November 21, 2023).</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0" w:type="dxa"/>
            <w:vAlign w:val="bottom"/>
            <w:gridSpan w:val="10"/>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Definitive Healthcare Corp. Change in Control Severance Plan for Executives (incorporated by reference to Exhibit 10.36 to the</w:t>
              </w:r>
            </w:hyperlink>
          </w:p>
        </w:tc>
      </w:tr>
      <w:tr>
        <w:trPr>
          <w:trHeight w:val="20"/>
        </w:trPr>
        <w:tc>
          <w:tcPr>
            <w:tcW w:w="1400" w:type="dxa"/>
            <w:vAlign w:val="bottom"/>
          </w:tcPr>
          <w:p>
            <w:pPr>
              <w:spacing w:after="0" w:line="20" w:lineRule="exact"/>
              <w:rPr>
                <w:sz w:val="1"/>
                <w:szCs w:val="1"/>
                <w:color w:val="auto"/>
              </w:rPr>
            </w:pPr>
          </w:p>
        </w:tc>
        <w:tc>
          <w:tcPr>
            <w:tcW w:w="4000" w:type="dxa"/>
            <w:vAlign w:val="bottom"/>
            <w:gridSpan w:val="10"/>
            <w:shd w:val="clear" w:color="auto" w:fill="0000FF"/>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Company’s Annual Report on Form 10-K (File No. 001-40815) filed with the SEC on February 27, 2023).</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0" w:type="dxa"/>
            <w:vAlign w:val="bottom"/>
            <w:gridSpan w:val="10"/>
            <w:shd w:val="clear" w:color="auto" w:fill="0000FF"/>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98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The Amended and Restated Definitive Healthcare Corp. 2023 Inducement Plan.</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0" w:type="dxa"/>
            <w:vAlign w:val="bottom"/>
            <w:gridSpan w:val="10"/>
            <w:shd w:val="clear" w:color="auto" w:fill="0000FF"/>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3860" w:type="dxa"/>
            <w:vAlign w:val="bottom"/>
            <w:gridSpan w:val="11"/>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Form of RSU Award Agreement under 2023 Inducement Plan (incorporated by reference to Exhibit 99.2 to the Company’s S-8 (File</w:t>
              </w:r>
            </w:hyperlink>
          </w:p>
        </w:tc>
      </w:tr>
      <w:tr>
        <w:trPr>
          <w:trHeight w:val="20"/>
        </w:trPr>
        <w:tc>
          <w:tcPr>
            <w:tcW w:w="1400" w:type="dxa"/>
            <w:vAlign w:val="bottom"/>
          </w:tcPr>
          <w:p>
            <w:pPr>
              <w:spacing w:after="0" w:line="20" w:lineRule="exact"/>
              <w:rPr>
                <w:sz w:val="1"/>
                <w:szCs w:val="1"/>
                <w:color w:val="auto"/>
              </w:rPr>
            </w:pPr>
          </w:p>
        </w:tc>
        <w:tc>
          <w:tcPr>
            <w:tcW w:w="4000" w:type="dxa"/>
            <w:vAlign w:val="bottom"/>
            <w:gridSpan w:val="10"/>
            <w:shd w:val="clear" w:color="auto" w:fill="0000FF"/>
          </w:tcPr>
          <w:p>
            <w:pPr>
              <w:spacing w:after="0" w:line="20" w:lineRule="exact"/>
              <w:rPr>
                <w:sz w:val="1"/>
                <w:szCs w:val="1"/>
                <w:color w:val="auto"/>
              </w:rPr>
            </w:pPr>
          </w:p>
        </w:tc>
        <w:tc>
          <w:tcPr>
            <w:tcW w:w="5580" w:type="dxa"/>
            <w:vAlign w:val="bottom"/>
            <w:gridSpan w:val="16"/>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No. 333-274370) filed with the SEC on September 6, 2023).</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000" w:type="dxa"/>
            <w:vAlign w:val="bottom"/>
            <w:gridSpan w:val="10"/>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5500" w:type="dxa"/>
            <w:vAlign w:val="bottom"/>
            <w:gridSpan w:val="19"/>
          </w:tcPr>
          <w:p>
            <w:pPr>
              <w:spacing w:after="0" w:line="20" w:lineRule="exact"/>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9840" w:type="dxa"/>
            <w:vAlign w:val="bottom"/>
            <w:gridSpan w:val="30"/>
          </w:tcPr>
          <w:p>
            <w:pPr>
              <w:spacing w:after="0" w:line="196"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Form of PSU Award Agreement under 2023 Inducement Plan (incorporated by reference to Exhibit 99.3 to the Company’s S-8 (File No.</w:t>
              </w:r>
            </w:hyperlink>
          </w:p>
        </w:tc>
      </w:tr>
      <w:tr>
        <w:trPr>
          <w:trHeight w:val="20"/>
        </w:trPr>
        <w:tc>
          <w:tcPr>
            <w:tcW w:w="1400" w:type="dxa"/>
            <w:vAlign w:val="bottom"/>
          </w:tcPr>
          <w:p>
            <w:pPr>
              <w:spacing w:after="0" w:line="20" w:lineRule="exact"/>
              <w:rPr>
                <w:sz w:val="1"/>
                <w:szCs w:val="1"/>
                <w:color w:val="auto"/>
              </w:rPr>
            </w:pPr>
          </w:p>
        </w:tc>
        <w:tc>
          <w:tcPr>
            <w:tcW w:w="4000" w:type="dxa"/>
            <w:vAlign w:val="bottom"/>
            <w:gridSpan w:val="10"/>
            <w:shd w:val="clear" w:color="auto" w:fill="0000FF"/>
          </w:tcPr>
          <w:p>
            <w:pPr>
              <w:spacing w:after="0" w:line="20" w:lineRule="exact"/>
              <w:rPr>
                <w:sz w:val="1"/>
                <w:szCs w:val="1"/>
                <w:color w:val="auto"/>
              </w:rPr>
            </w:pPr>
          </w:p>
        </w:tc>
        <w:tc>
          <w:tcPr>
            <w:tcW w:w="5780" w:type="dxa"/>
            <w:vAlign w:val="bottom"/>
            <w:gridSpan w:val="19"/>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0"/>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333-274370) filed with the SEC on September 6, 2023).</w:t>
              </w:r>
            </w:hyperlink>
          </w:p>
        </w:tc>
      </w:tr>
      <w:tr>
        <w:trPr>
          <w:trHeight w:val="345"/>
        </w:trPr>
        <w:tc>
          <w:tcPr>
            <w:tcW w:w="1400" w:type="dxa"/>
            <w:vAlign w:val="bottom"/>
          </w:tcPr>
          <w:p>
            <w:pPr>
              <w:spacing w:after="0"/>
              <w:rPr>
                <w:sz w:val="24"/>
                <w:szCs w:val="24"/>
                <w:color w:val="auto"/>
              </w:rPr>
            </w:pPr>
          </w:p>
        </w:tc>
        <w:tc>
          <w:tcPr>
            <w:tcW w:w="4000" w:type="dxa"/>
            <w:vAlign w:val="bottom"/>
            <w:tcBorders>
              <w:top w:val="single" w:sz="8" w:color="0000FF"/>
            </w:tcBorders>
            <w:gridSpan w:val="10"/>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1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88" w:name="page89"/>
    <w:bookmarkEnd w:id="88"/>
    <w:tbl>
      <w:tblPr>
        <w:tblLayout w:type="fixed"/>
        <w:tblInd w:w="2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820" w:type="dxa"/>
            <w:vAlign w:val="bottom"/>
            <w:gridSpan w:val="19"/>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Separation Agreement and Release of Claims, dated as of January 12, 2024, by and between Definitive Healthcare Corp. and Robert</w:t>
              </w:r>
            </w:hyperlink>
          </w:p>
        </w:tc>
      </w:tr>
      <w:tr>
        <w:trPr>
          <w:trHeight w:val="20"/>
        </w:trPr>
        <w:tc>
          <w:tcPr>
            <w:tcW w:w="13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9"/>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Musslewhite (incorporated by reference to Exhibit 10.1 to the Company’s Current Report on Form 8-K (File No. 001-40815) filed with</w:t>
              </w:r>
            </w:hyperlink>
          </w:p>
        </w:tc>
      </w:tr>
      <w:tr>
        <w:trPr>
          <w:trHeight w:val="20"/>
        </w:trPr>
        <w:tc>
          <w:tcPr>
            <w:tcW w:w="13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9"/>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the SEC on January 16, 2024).</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9820" w:type="dxa"/>
            <w:vAlign w:val="bottom"/>
            <w:gridSpan w:val="19"/>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The Definitive Healthcare Corp. Director Compensation Plan (incorporated by reference to Exhibit 10.1 to the Company’s Quarterly</w:t>
              </w:r>
            </w:hyperlink>
          </w:p>
        </w:tc>
      </w:tr>
      <w:tr>
        <w:trPr>
          <w:trHeight w:val="20"/>
        </w:trPr>
        <w:tc>
          <w:tcPr>
            <w:tcW w:w="13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9"/>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Report on Form 10-Q (File No. 001-40815) filed with the SEC on August 14, 2023).</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9820" w:type="dxa"/>
            <w:vAlign w:val="bottom"/>
            <w:gridSpan w:val="19"/>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Employment Agreement, dated as of May 20, 2024, by and among Definitive Healthcare, LLC, Definitive Healthcare Corp. and Kevin</w:t>
              </w:r>
            </w:hyperlink>
          </w:p>
        </w:tc>
      </w:tr>
      <w:tr>
        <w:trPr>
          <w:trHeight w:val="20"/>
        </w:trPr>
        <w:tc>
          <w:tcPr>
            <w:tcW w:w="13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9"/>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Coop (incorporated by reference to Exhibit 10.1 to the Company’s Current Report on Form 8-K (File No. 001-40815) filed with the</w:t>
              </w:r>
            </w:hyperlink>
          </w:p>
        </w:tc>
      </w:tr>
      <w:tr>
        <w:trPr>
          <w:trHeight w:val="20"/>
        </w:trPr>
        <w:tc>
          <w:tcPr>
            <w:tcW w:w="13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9"/>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SEC on May 24, 2024).</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9820" w:type="dxa"/>
            <w:vAlign w:val="bottom"/>
            <w:gridSpan w:val="19"/>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Form of Executive Value Creation PSU Award Agreement under the Definitive Healthcare Corp. 2023 Inducement Plan (incorporated</w:t>
              </w:r>
            </w:hyperlink>
          </w:p>
        </w:tc>
      </w:tr>
      <w:tr>
        <w:trPr>
          <w:trHeight w:val="20"/>
        </w:trPr>
        <w:tc>
          <w:tcPr>
            <w:tcW w:w="13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9"/>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by reference to Exhibit 10.2 to the Company’s Current Report on Form 8-K (File No. 001-40815) filed with the SEC on May 24, 2024).</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9820" w:type="dxa"/>
            <w:vAlign w:val="bottom"/>
            <w:gridSpan w:val="19"/>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Voting Agreement, dated November 7, 2024 (incorporated by reference to Exhibit 10.1 to the Company’s Current Report on Form 8-K</w:t>
              </w:r>
            </w:hyperlink>
          </w:p>
        </w:tc>
      </w:tr>
      <w:tr>
        <w:trPr>
          <w:trHeight w:val="20"/>
        </w:trPr>
        <w:tc>
          <w:tcPr>
            <w:tcW w:w="13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9"/>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(File No. 001-40815) filed with the SEC on November 7, 2024).</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9820" w:type="dxa"/>
            <w:vAlign w:val="bottom"/>
            <w:gridSpan w:val="19"/>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Amendment No. 2, dated as of January 16, 2025, to Credit Agreement, dated September 17, 2021, by and among Definitive Healthcare</w:t>
              </w:r>
            </w:hyperlink>
          </w:p>
        </w:tc>
      </w:tr>
      <w:tr>
        <w:trPr>
          <w:trHeight w:val="20"/>
        </w:trPr>
        <w:tc>
          <w:tcPr>
            <w:tcW w:w="13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9"/>
          </w:tcPr>
          <w:p>
            <w:pPr>
              <w:spacing w:after="0" w:line="196"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Holdings, LLC, AIDH Buyer, LLC, the other loan guarantors from time to time party thereto, Bank of America, N.A., as Administrative</w:t>
              </w:r>
            </w:hyperlink>
          </w:p>
        </w:tc>
      </w:tr>
      <w:tr>
        <w:trPr>
          <w:trHeight w:val="20"/>
        </w:trPr>
        <w:tc>
          <w:tcPr>
            <w:tcW w:w="13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9"/>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Agent, the lenders party thereto and the issuing banks from time to time party thereto (incorporated by reference to Exhibit 10.1 to the</w:t>
              </w:r>
            </w:hyperlink>
          </w:p>
        </w:tc>
      </w:tr>
      <w:tr>
        <w:trPr>
          <w:trHeight w:val="20"/>
        </w:trPr>
        <w:tc>
          <w:tcPr>
            <w:tcW w:w="13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9"/>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Company’s Current Report on Form 8-K (File No. 001-40815) filed with the SEC on January 16, 2025).</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10.38†*^</w:t>
            </w:r>
          </w:p>
        </w:tc>
        <w:tc>
          <w:tcPr>
            <w:tcW w:w="98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Employment Agreement, dated as of July 17, 2023, by and between Definitive Healthcare, LLC and William Moschella.</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10.39*^</w:t>
            </w:r>
          </w:p>
        </w:tc>
        <w:tc>
          <w:tcPr>
            <w:tcW w:w="98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Holdback Agreement, dated as of July 17, 2023, by and between Analytical Wizards, Inc. and Masheen, LLC.</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98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Definitive Healthcare Corp. Insider Trading Policy.</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98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List of subsidiaries.</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98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Consent of Deloitte &amp; Touche LLP, Independent Registered Public Accounting Firm</w:t>
            </w:r>
            <w:r>
              <w:rPr>
                <w:rFonts w:ascii="Times New Roman" w:cs="Times New Roman" w:eastAsia="Times New Roman" w:hAnsi="Times New Roman"/>
                <w:sz w:val="18"/>
                <w:szCs w:val="18"/>
                <w:color w:val="000000"/>
              </w:rPr>
              <w:t>.</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FF"/>
            </w:tcBorders>
            <w:gridSpan w:val="4"/>
            <w:shd w:val="clear" w:color="auto" w:fill="0000FF"/>
          </w:tcPr>
          <w:p>
            <w:pPr>
              <w:spacing w:after="0" w:line="20" w:lineRule="exact"/>
              <w:rPr>
                <w:sz w:val="1"/>
                <w:szCs w:val="1"/>
                <w:color w:val="auto"/>
              </w:rPr>
            </w:pPr>
          </w:p>
        </w:tc>
        <w:tc>
          <w:tcPr>
            <w:tcW w:w="1520" w:type="dxa"/>
            <w:vAlign w:val="bottom"/>
            <w:tcBorders>
              <w:left w:val="single" w:sz="8" w:color="0000FF"/>
            </w:tcBorders>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98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 (included on signature page).</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FF"/>
            </w:tcBorders>
            <w:gridSpan w:val="4"/>
            <w:shd w:val="clear" w:color="auto" w:fill="0000FF"/>
          </w:tcPr>
          <w:p>
            <w:pPr>
              <w:spacing w:after="0" w:line="20" w:lineRule="exact"/>
              <w:rPr>
                <w:sz w:val="1"/>
                <w:szCs w:val="1"/>
                <w:color w:val="auto"/>
              </w:rPr>
            </w:pPr>
          </w:p>
        </w:tc>
        <w:tc>
          <w:tcPr>
            <w:tcW w:w="1520" w:type="dxa"/>
            <w:vAlign w:val="bottom"/>
            <w:tcBorders>
              <w:left w:val="single" w:sz="8" w:color="0000EE"/>
            </w:tcBorders>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8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1380" w:type="dxa"/>
            <w:vAlign w:val="bottom"/>
          </w:tcPr>
          <w:p>
            <w:pPr>
              <w:spacing w:after="0" w:line="20" w:lineRule="exact"/>
              <w:rPr>
                <w:sz w:val="1"/>
                <w:szCs w:val="1"/>
                <w:color w:val="auto"/>
              </w:rPr>
            </w:pPr>
          </w:p>
        </w:tc>
        <w:tc>
          <w:tcPr>
            <w:tcW w:w="3440" w:type="dxa"/>
            <w:vAlign w:val="bottom"/>
            <w:tcBorders>
              <w:right w:val="single" w:sz="8" w:color="0000FF"/>
            </w:tcBorders>
            <w:gridSpan w:val="4"/>
            <w:shd w:val="clear" w:color="auto" w:fill="0000FF"/>
          </w:tcPr>
          <w:p>
            <w:pPr>
              <w:spacing w:after="0" w:line="20" w:lineRule="exact"/>
              <w:rPr>
                <w:sz w:val="1"/>
                <w:szCs w:val="1"/>
                <w:color w:val="auto"/>
              </w:rPr>
            </w:pPr>
          </w:p>
        </w:tc>
        <w:tc>
          <w:tcPr>
            <w:tcW w:w="1520" w:type="dxa"/>
            <w:vAlign w:val="bottom"/>
            <w:tcBorders>
              <w:left w:val="single" w:sz="8" w:color="0000FF"/>
            </w:tcBorders>
            <w:gridSpan w:val="3"/>
            <w:shd w:val="clear" w:color="auto" w:fill="0000FF"/>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FF"/>
            </w:tcBorders>
            <w:gridSpan w:val="4"/>
            <w:shd w:val="clear" w:color="auto" w:fill="0000FF"/>
          </w:tcPr>
          <w:p>
            <w:pPr>
              <w:spacing w:after="0" w:line="20" w:lineRule="exact"/>
              <w:rPr>
                <w:sz w:val="1"/>
                <w:szCs w:val="1"/>
                <w:color w:val="auto"/>
              </w:rPr>
            </w:pPr>
          </w:p>
        </w:tc>
        <w:tc>
          <w:tcPr>
            <w:tcW w:w="1520" w:type="dxa"/>
            <w:vAlign w:val="bottom"/>
            <w:tcBorders>
              <w:left w:val="single" w:sz="8" w:color="0000FF"/>
            </w:tcBorders>
            <w:gridSpan w:val="3"/>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8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1380" w:type="dxa"/>
            <w:vAlign w:val="bottom"/>
          </w:tcPr>
          <w:p>
            <w:pPr>
              <w:spacing w:after="0" w:line="20" w:lineRule="exact"/>
              <w:rPr>
                <w:sz w:val="1"/>
                <w:szCs w:val="1"/>
                <w:color w:val="auto"/>
              </w:rPr>
            </w:pPr>
          </w:p>
        </w:tc>
        <w:tc>
          <w:tcPr>
            <w:tcW w:w="3440" w:type="dxa"/>
            <w:vAlign w:val="bottom"/>
            <w:tcBorders>
              <w:right w:val="single" w:sz="8" w:color="0000FF"/>
            </w:tcBorders>
            <w:gridSpan w:val="4"/>
            <w:shd w:val="clear" w:color="auto" w:fill="0000FF"/>
          </w:tcPr>
          <w:p>
            <w:pPr>
              <w:spacing w:after="0" w:line="20" w:lineRule="exact"/>
              <w:rPr>
                <w:sz w:val="1"/>
                <w:szCs w:val="1"/>
                <w:color w:val="auto"/>
              </w:rPr>
            </w:pPr>
          </w:p>
        </w:tc>
        <w:tc>
          <w:tcPr>
            <w:tcW w:w="33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FF"/>
            </w:tcBorders>
            <w:gridSpan w:val="4"/>
            <w:shd w:val="clear" w:color="auto" w:fill="0000FF"/>
          </w:tcPr>
          <w:p>
            <w:pPr>
              <w:spacing w:after="0" w:line="20" w:lineRule="exact"/>
              <w:rPr>
                <w:sz w:val="1"/>
                <w:szCs w:val="1"/>
                <w:color w:val="auto"/>
              </w:rPr>
            </w:pPr>
          </w:p>
        </w:tc>
        <w:tc>
          <w:tcPr>
            <w:tcW w:w="1520" w:type="dxa"/>
            <w:vAlign w:val="bottom"/>
            <w:tcBorders>
              <w:left w:val="single" w:sz="8" w:color="0000FF"/>
            </w:tcBorders>
            <w:gridSpan w:val="3"/>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8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20"/>
        </w:trPr>
        <w:tc>
          <w:tcPr>
            <w:tcW w:w="1380" w:type="dxa"/>
            <w:vAlign w:val="bottom"/>
          </w:tcPr>
          <w:p>
            <w:pPr>
              <w:spacing w:after="0" w:line="20" w:lineRule="exact"/>
              <w:rPr>
                <w:sz w:val="1"/>
                <w:szCs w:val="1"/>
                <w:color w:val="auto"/>
              </w:rPr>
            </w:pPr>
          </w:p>
        </w:tc>
        <w:tc>
          <w:tcPr>
            <w:tcW w:w="3440" w:type="dxa"/>
            <w:vAlign w:val="bottom"/>
            <w:tcBorders>
              <w:right w:val="single" w:sz="8" w:color="0000FF"/>
            </w:tcBorders>
            <w:gridSpan w:val="4"/>
            <w:shd w:val="clear" w:color="auto" w:fill="0000FF"/>
          </w:tcPr>
          <w:p>
            <w:pPr>
              <w:spacing w:after="0" w:line="20" w:lineRule="exact"/>
              <w:rPr>
                <w:sz w:val="1"/>
                <w:szCs w:val="1"/>
                <w:color w:val="auto"/>
              </w:rPr>
            </w:pPr>
          </w:p>
        </w:tc>
        <w:tc>
          <w:tcPr>
            <w:tcW w:w="33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290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EE"/>
            </w:tcBorders>
            <w:gridSpan w:val="4"/>
            <w:shd w:val="clear" w:color="auto" w:fill="0000FF"/>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9820" w:type="dxa"/>
            <w:vAlign w:val="bottom"/>
            <w:gridSpan w:val="19"/>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Definitive Healthcare Corp. Incentive Compensation Recoupment Policy (incorporated by reference to Exhibit 97.1 to the Company’s</w:t>
              </w:r>
            </w:hyperlink>
          </w:p>
        </w:tc>
      </w:tr>
      <w:tr>
        <w:trPr>
          <w:trHeight w:val="20"/>
        </w:trPr>
        <w:tc>
          <w:tcPr>
            <w:tcW w:w="1380" w:type="dxa"/>
            <w:vAlign w:val="bottom"/>
          </w:tcPr>
          <w:p>
            <w:pPr>
              <w:spacing w:after="0" w:line="20" w:lineRule="exact"/>
              <w:rPr>
                <w:sz w:val="1"/>
                <w:szCs w:val="1"/>
                <w:color w:val="auto"/>
              </w:rPr>
            </w:pPr>
          </w:p>
        </w:tc>
        <w:tc>
          <w:tcPr>
            <w:tcW w:w="6780" w:type="dxa"/>
            <w:vAlign w:val="bottom"/>
            <w:tcBorders>
              <w:right w:val="single" w:sz="8" w:color="0000FF"/>
            </w:tcBorders>
            <w:gridSpan w:val="10"/>
            <w:shd w:val="clear" w:color="auto" w:fill="0000FF"/>
          </w:tcPr>
          <w:p>
            <w:pPr>
              <w:spacing w:after="0" w:line="20" w:lineRule="exact"/>
              <w:rPr>
                <w:sz w:val="1"/>
                <w:szCs w:val="1"/>
                <w:color w:val="auto"/>
              </w:rPr>
            </w:pPr>
          </w:p>
        </w:tc>
        <w:tc>
          <w:tcPr>
            <w:tcW w:w="2900" w:type="dxa"/>
            <w:vAlign w:val="bottom"/>
            <w:gridSpan w:val="7"/>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19"/>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Annual Report on Form 10-K (File No. 001-40815) filed with the SEC on February 28, 2024).</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6780" w:type="dxa"/>
            <w:vAlign w:val="bottom"/>
            <w:tcBorders>
              <w:right w:val="single" w:sz="8" w:color="0000EE"/>
            </w:tcBorders>
            <w:gridSpan w:val="10"/>
            <w:shd w:val="clear" w:color="auto" w:fill="0000FF"/>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r>
      <w:tr>
        <w:trPr>
          <w:trHeight w:val="21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16"/>
        </w:trPr>
        <w:tc>
          <w:tcPr>
            <w:tcW w:w="1380" w:type="dxa"/>
            <w:vAlign w:val="bottom"/>
          </w:tcPr>
          <w:p>
            <w:pPr>
              <w:spacing w:after="0"/>
              <w:rPr>
                <w:sz w:val="18"/>
                <w:szCs w:val="18"/>
                <w:color w:val="auto"/>
              </w:rPr>
            </w:pP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1380" w:right="380" w:hanging="1359"/>
        <w:spacing w:after="0" w:line="260" w:lineRule="auto"/>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3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4230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Portions of this exhibit have been omitted in accordance with Item 601(b)(10)(iv) of Regulation S-K.</w:t>
      </w:r>
    </w:p>
    <w:p>
      <w:pPr>
        <w:spacing w:after="0" w:line="117" w:lineRule="exact"/>
        <w:rPr>
          <w:sz w:val="20"/>
          <w:szCs w:val="20"/>
          <w:color w:val="auto"/>
        </w:rPr>
      </w:pPr>
    </w:p>
    <w:p>
      <w:pPr>
        <w:ind w:right="140" w:firstLine="8"/>
        <w:spacing w:after="0" w:line="261" w:lineRule="auto"/>
        <w:tabs>
          <w:tab w:leader="none" w:pos="146"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certification attached as Exhibit 32.1 that accompanies this Annual Report on Form 10-K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Management contract or compensatory plan or arrangement.</w:t>
      </w:r>
    </w:p>
    <w:p>
      <w:pPr>
        <w:spacing w:after="0" w:line="225"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231F20"/>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3"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46" w:right="144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25" w:lineRule="exact"/>
        <w:rPr>
          <w:sz w:val="20"/>
          <w:szCs w:val="20"/>
          <w:color w:val="auto"/>
        </w:rPr>
      </w:pPr>
    </w:p>
    <w:p>
      <w:pPr>
        <w:ind w:left="20"/>
        <w:spacing w:after="0"/>
        <w:tabs>
          <w:tab w:leader="none" w:pos="5420" w:val="left"/>
          <w:tab w:leader="none" w:pos="808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Coop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Kevin Coop</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Kevin Coop and Richard Booth,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8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2" w:lineRule="exact"/>
        <w:rPr>
          <w:sz w:val="20"/>
          <w:szCs w:val="20"/>
          <w:color w:val="auto"/>
        </w:rPr>
      </w:pPr>
    </w:p>
    <w:p>
      <w:pPr>
        <w:ind w:left="1680"/>
        <w:spacing w:after="0"/>
        <w:tabs>
          <w:tab w:leader="none" w:pos="610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Coop</w:t>
            </w:r>
          </w:p>
        </w:tc>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(Principal Executive Officer) and Director</w:t>
            </w: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Kevin Coop</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37"/>
        </w:trPr>
        <w:tc>
          <w:tcPr>
            <w:tcW w:w="3720" w:type="dxa"/>
            <w:vAlign w:val="bottom"/>
          </w:tcPr>
          <w:p>
            <w:pPr>
              <w:spacing w:after="0"/>
              <w:rPr>
                <w:sz w:val="20"/>
                <w:szCs w:val="20"/>
                <w:color w:val="auto"/>
              </w:rPr>
            </w:pPr>
          </w:p>
        </w:tc>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tc>
        <w:tc>
          <w:tcPr>
            <w:tcW w:w="2500" w:type="dxa"/>
            <w:vAlign w:val="bottom"/>
          </w:tcPr>
          <w:p>
            <w:pPr>
              <w:spacing w:after="0"/>
              <w:rPr>
                <w:sz w:val="20"/>
                <w:szCs w:val="20"/>
                <w:color w:val="auto"/>
              </w:rPr>
            </w:pPr>
          </w:p>
        </w:tc>
      </w:t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Richard Booth</w:t>
            </w:r>
          </w:p>
        </w:tc>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Officer)</w:t>
            </w: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Richard Booth</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Jason Krantz</w:t>
            </w:r>
          </w:p>
        </w:tc>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Chairman</w:t>
            </w: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Jason Krantz</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Sastry Chilukuri</w:t>
            </w:r>
          </w:p>
        </w:tc>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Sastry Chilukuri</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 Egan</w:t>
            </w:r>
          </w:p>
        </w:tc>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 Egan</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Samuel A. Hamood</w:t>
            </w:r>
          </w:p>
        </w:tc>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Samuel A. Hamood</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 Haywood</w:t>
            </w:r>
          </w:p>
        </w:tc>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Jeff Haywood</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Jill Larsen</w:t>
            </w:r>
          </w:p>
        </w:tc>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Jill Larsen</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Stephenson</w:t>
            </w:r>
          </w:p>
        </w:tc>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Scott Stephenson</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471"/>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Kathleen A. Winters</w:t>
            </w:r>
          </w:p>
        </w:tc>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Kathleen A. Winters</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Lauren Young</w:t>
            </w:r>
          </w:p>
        </w:tc>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Lauren Young</w:t>
            </w:r>
          </w:p>
        </w:tc>
        <w:tc>
          <w:tcPr>
            <w:tcW w:w="50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498"/>
        </w:trPr>
        <w:tc>
          <w:tcPr>
            <w:tcW w:w="3720" w:type="dxa"/>
            <w:vAlign w:val="bottom"/>
          </w:tcPr>
          <w:p>
            <w:pPr>
              <w:spacing w:after="0"/>
              <w:rPr>
                <w:sz w:val="24"/>
                <w:szCs w:val="24"/>
                <w:color w:val="auto"/>
              </w:rPr>
            </w:pPr>
          </w:p>
        </w:tc>
        <w:tc>
          <w:tcPr>
            <w:tcW w:w="5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86</w:t>
            </w:r>
          </w:p>
        </w:tc>
        <w:tc>
          <w:tcPr>
            <w:tcW w:w="2500" w:type="dxa"/>
            <w:vAlign w:val="bottom"/>
          </w:tcPr>
          <w:p>
            <w:pPr>
              <w:spacing w:after="0"/>
              <w:rPr>
                <w:sz w:val="24"/>
                <w:szCs w:val="24"/>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1" w:name="page92"/>
    <w:bookmarkEnd w:id="91"/>
    <w:tbl>
      <w:tblPr>
        <w:tblLayout w:type="fixed"/>
        <w:tblInd w:w="1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80" w:type="dxa"/>
            <w:vAlign w:val="bottom"/>
            <w:gridSpan w:val="5"/>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800" w:type="dxa"/>
            <w:vAlign w:val="bottom"/>
          </w:tcPr>
          <w:p>
            <w:pPr>
              <w:spacing w:after="0"/>
              <w:rPr>
                <w:sz w:val="20"/>
                <w:szCs w:val="20"/>
                <w:color w:val="auto"/>
              </w:rPr>
            </w:pPr>
          </w:p>
        </w:tc>
      </w:tr>
      <w:tr>
        <w:trPr>
          <w:trHeight w:val="432"/>
        </w:trPr>
        <w:tc>
          <w:tcPr>
            <w:tcW w:w="424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2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196"/>
        </w:trPr>
        <w:tc>
          <w:tcPr>
            <w:tcW w:w="9440" w:type="dxa"/>
            <w:vAlign w:val="bottom"/>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284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20" w:type="dxa"/>
            <w:vAlign w:val="bottom"/>
            <w:tcBorders>
              <w:bottom w:val="single" w:sz="8" w:color="0000EE"/>
            </w:tcBorders>
          </w:tcPr>
          <w:p>
            <w:pPr>
              <w:spacing w:after="0"/>
              <w:rPr>
                <w:sz w:val="17"/>
                <w:szCs w:val="17"/>
                <w:color w:val="auto"/>
              </w:rPr>
            </w:pPr>
          </w:p>
        </w:tc>
        <w:tc>
          <w:tcPr>
            <w:tcW w:w="6580" w:type="dxa"/>
            <w:vAlign w:val="bottom"/>
            <w:gridSpan w:val="8"/>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3560" w:type="dxa"/>
            <w:vAlign w:val="bottom"/>
            <w:tcBorders>
              <w:bottom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Loss</w:t>
            </w:r>
          </w:p>
        </w:tc>
        <w:tc>
          <w:tcPr>
            <w:tcW w:w="20" w:type="dxa"/>
            <w:vAlign w:val="bottom"/>
            <w:tcBorders>
              <w:bottom w:val="single" w:sz="8" w:color="0000EE"/>
            </w:tcBorders>
          </w:tcPr>
          <w:p>
            <w:pPr>
              <w:spacing w:after="0"/>
              <w:rPr>
                <w:sz w:val="17"/>
                <w:szCs w:val="17"/>
                <w:color w:val="auto"/>
              </w:rPr>
            </w:pPr>
          </w:p>
        </w:tc>
        <w:tc>
          <w:tcPr>
            <w:tcW w:w="586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3800" w:type="dxa"/>
            <w:vAlign w:val="bottom"/>
            <w:tcBorders>
              <w:bottom w:val="single" w:sz="8" w:color="0000FF"/>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Changes in Total Equity</w:t>
            </w:r>
          </w:p>
        </w:tc>
        <w:tc>
          <w:tcPr>
            <w:tcW w:w="564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2900" w:type="dxa"/>
            <w:vAlign w:val="bottom"/>
            <w:tcBorders>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40" w:type="dxa"/>
            <w:vAlign w:val="bottom"/>
            <w:tcBorders>
              <w:bottom w:val="single" w:sz="8" w:color="0000EE"/>
            </w:tcBorders>
          </w:tcPr>
          <w:p>
            <w:pPr>
              <w:spacing w:after="0"/>
              <w:rPr>
                <w:sz w:val="17"/>
                <w:szCs w:val="17"/>
                <w:color w:val="auto"/>
              </w:rPr>
            </w:pPr>
          </w:p>
        </w:tc>
        <w:tc>
          <w:tcPr>
            <w:tcW w:w="6500" w:type="dxa"/>
            <w:vAlign w:val="bottom"/>
            <w:gridSpan w:val="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196"/>
        </w:trPr>
        <w:tc>
          <w:tcPr>
            <w:tcW w:w="9440" w:type="dxa"/>
            <w:vAlign w:val="bottom"/>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w:t>
            </w:r>
          </w:p>
        </w:tc>
      </w:tr>
      <w:tr>
        <w:trPr>
          <w:trHeight w:val="493"/>
        </w:trPr>
        <w:tc>
          <w:tcPr>
            <w:tcW w:w="21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0" w:type="dxa"/>
            <w:vAlign w:val="bottom"/>
          </w:tcPr>
          <w:p>
            <w:pPr>
              <w:jc w:val="center"/>
              <w:ind w:right="2350"/>
              <w:spacing w:after="0"/>
              <w:rPr>
                <w:sz w:val="20"/>
                <w:szCs w:val="20"/>
                <w:color w:val="auto"/>
              </w:rPr>
            </w:pPr>
            <w:r>
              <w:rPr>
                <w:rFonts w:ascii="Times New Roman" w:cs="Times New Roman" w:eastAsia="Times New Roman" w:hAnsi="Times New Roman"/>
                <w:sz w:val="18"/>
                <w:szCs w:val="18"/>
                <w:color w:val="auto"/>
                <w:w w:val="95"/>
              </w:rPr>
              <w:t>F-1</w:t>
            </w:r>
          </w:p>
        </w:tc>
        <w:tc>
          <w:tcPr>
            <w:tcW w:w="1800" w:type="dxa"/>
            <w:vAlign w:val="bottom"/>
          </w:tcPr>
          <w:p>
            <w:pPr>
              <w:spacing w:after="0"/>
              <w:rPr>
                <w:sz w:val="24"/>
                <w:szCs w:val="24"/>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2" w:name="page93"/>
    <w:bookmarkEnd w:id="92"/>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Definitive Healthcare Corp.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Definitive Healthcare Corp. and subsidiaries (the “Company”) as of December 31, 2024 and 2023, the related consolidated statements of operations, comprehensive loss, changes in total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27, 2025, expressed an unqualified opinion on the Company’s internal control over financial reporting.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87" w:lineRule="exact"/>
        <w:rPr>
          <w:sz w:val="20"/>
          <w:szCs w:val="20"/>
          <w:color w:val="auto"/>
        </w:rPr>
      </w:pPr>
    </w:p>
    <w:p>
      <w:pPr>
        <w:ind w:right="5520"/>
        <w:spacing w:after="0" w:line="378" w:lineRule="auto"/>
        <w:rPr>
          <w:sz w:val="20"/>
          <w:szCs w:val="20"/>
          <w:color w:val="auto"/>
        </w:rPr>
      </w:pPr>
      <w:r>
        <w:rPr>
          <w:rFonts w:ascii="Times New Roman" w:cs="Times New Roman" w:eastAsia="Times New Roman" w:hAnsi="Times New Roman"/>
          <w:sz w:val="18"/>
          <w:szCs w:val="18"/>
          <w:b w:val="1"/>
          <w:bCs w:val="1"/>
          <w:color w:val="auto"/>
        </w:rPr>
        <w:t>Goodwill Impairment — Refer to Notes 2 and 9 to the financial statements Critical Audit Matter Description</w:t>
      </w:r>
    </w:p>
    <w:p>
      <w:pPr>
        <w:spacing w:after="0" w:line="258"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the comparison of the fair value of its one reporting unit to its carrying value. The Company determines the fair value of its reporting unit using income and market approaches. The determination of the fair value using the market approach required management to make a significant judgment to determine the estimated control premium. As of and during the year ended December 31, 2024, the Company recorded goodwill impairment charges of $688.9 million as it was determined that the fair value of its one reporting unit was less than its carrying value as of June 30, 2024, September 30, 2024 and December 31, 2024. As of December 31, 2024, the goodwill balance was $393.3 million.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3" w:name="page94"/>
    <w:bookmarkEnd w:id="93"/>
    <w:p>
      <w:pPr>
        <w:ind w:right="60"/>
        <w:spacing w:after="0" w:line="261" w:lineRule="auto"/>
        <w:rPr>
          <w:sz w:val="20"/>
          <w:szCs w:val="20"/>
          <w:color w:val="auto"/>
        </w:rPr>
      </w:pPr>
      <w:r>
        <w:rPr>
          <w:rFonts w:ascii="Times New Roman" w:cs="Times New Roman" w:eastAsia="Times New Roman" w:hAnsi="Times New Roman"/>
          <w:sz w:val="18"/>
          <w:szCs w:val="18"/>
          <w:color w:val="auto"/>
        </w:rPr>
        <w:t>We identified the valuation of goodwill for the Company’s reporting unit as a critical audit matter because of the significant judgments made by management to estimate the fair value of the reporting unit. This required a high degree of auditor judgment and an increased extent of effort, including the need to involve our fair value specialists, when performing audit procedures to evaluate the reasonableness of management’s judgments and estimates related to the estimated control premium.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the Critical Audit Matter Was Addressed in the Audit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judgments and estimates used in its application of the market approach model included the following, among others:</w:t>
      </w:r>
    </w:p>
    <w:p>
      <w:pPr>
        <w:spacing w:after="0" w:line="54" w:lineRule="exact"/>
        <w:rPr>
          <w:sz w:val="20"/>
          <w:szCs w:val="20"/>
          <w:color w:val="auto"/>
        </w:rPr>
      </w:pPr>
    </w:p>
    <w:p>
      <w:pPr>
        <w:ind w:left="1020" w:right="10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goodwill impairment evaluation, including those controls related to management’s selection of the estimated control premium.</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Company’s control premium by comparing it to data from publicly available premium studies for public company transactions.</w:t>
      </w:r>
    </w:p>
    <w:p>
      <w:pPr>
        <w:spacing w:after="0" w:line="266" w:lineRule="exact"/>
        <w:rPr>
          <w:sz w:val="20"/>
          <w:szCs w:val="20"/>
          <w:color w:val="auto"/>
        </w:rPr>
      </w:pPr>
    </w:p>
    <w:p>
      <w:pPr>
        <w:ind w:right="5420"/>
        <w:spacing w:after="0" w:line="378" w:lineRule="auto"/>
        <w:rPr>
          <w:sz w:val="20"/>
          <w:szCs w:val="20"/>
          <w:color w:val="auto"/>
        </w:rPr>
      </w:pPr>
      <w:r>
        <w:rPr>
          <w:rFonts w:ascii="Times New Roman" w:cs="Times New Roman" w:eastAsia="Times New Roman" w:hAnsi="Times New Roman"/>
          <w:sz w:val="18"/>
          <w:szCs w:val="18"/>
          <w:b w:val="1"/>
          <w:bCs w:val="1"/>
          <w:color w:val="auto"/>
        </w:rPr>
        <w:t>Income Tax Structure — Refer to Notes 2 and 19 to the financial statements Critical Audit Matter Description</w:t>
      </w:r>
    </w:p>
    <w:p>
      <w:pPr>
        <w:ind w:right="40"/>
        <w:spacing w:after="0" w:line="254" w:lineRule="auto"/>
        <w:rPr>
          <w:sz w:val="20"/>
          <w:szCs w:val="20"/>
          <w:color w:val="auto"/>
        </w:rPr>
      </w:pPr>
      <w:r>
        <w:rPr>
          <w:rFonts w:ascii="Times New Roman" w:cs="Times New Roman" w:eastAsia="Times New Roman" w:hAnsi="Times New Roman"/>
          <w:sz w:val="18"/>
          <w:szCs w:val="18"/>
          <w:color w:val="auto"/>
        </w:rPr>
        <w:t>On September 17, 2021, the Company completed its initial public offering in a series of transaction steps, which resulted in Definitive Healthcare Corp owning a majority of AIDH TopCo, LLC. Definitive Healthcare Corp is a C-corporation holding company owning a partnership interest in AIDH TopCo, LLC, commonly referred to as an Up-C structure. In connection with the initial public offering, the Company entered into a Tax Receivable Agreement (“TRA”) and recorded a liability under the TRA. The balance of the TRA liability on December 31, 2024 was $63.2 million. Under the TRA, the Company generally will be required to pay certain pre-IPO owners 85% of the amount of cash savings, if any, related to any U.S. federal, state, or local taxes that the Company actually realizes. The payments related to the initial and subsequent exchanges are treated as additional consideration paid, which in turn increases the tax basis of the Company’s investment in the Partnership. Most of this additional tax basis is amortizable under requisite sections of the Internal Revenue Code and therefore subject to the TRA.</w:t>
      </w:r>
    </w:p>
    <w:p>
      <w:pPr>
        <w:spacing w:after="0" w:line="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amounts payable, as well as the timing of such payments, under the TRA are dependent upon significant future events and assumptions, including among others: (i) the amount and timing of exchanges, (ii) the characterization of the tax basis step-up, (iii) the depreciation and amortization periods that apply to the increase in tax basis, (iv) the amount and timing of taxable income the Company generates in the future, (v) the Company’s state tax footprint in the years in which any benefits are generated and/or realized, and (vi) the U.S. federal and state income tax rates then applicable.</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Given the complexity of the calculation and high volume of inputs used to estimate the TRA liability, performing audit procedures to evaluate the accuracy of the calculation and appropriateness of the inputs required a high degree of auditor judgment and an increased extent of effort, including the need to involve our income tax specialists who possess significant tax regulation and TRA calculation expertise.</w:t>
      </w: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How the Critical Audit Matter Was Addressed in the Audit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TRA liability included the following, among others:</w:t>
      </w:r>
    </w:p>
    <w:p>
      <w:pPr>
        <w:spacing w:after="0" w:line="117" w:lineRule="exact"/>
        <w:rPr>
          <w:sz w:val="20"/>
          <w:szCs w:val="20"/>
          <w:color w:val="auto"/>
        </w:rPr>
      </w:pPr>
    </w:p>
    <w:p>
      <w:pPr>
        <w:ind w:left="1020" w:right="5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determination of the TRA liability, including controls over significant tax judgments and estimates.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our audit procedures related to the TRA liability included evaluating and assessing the following, among others:</w:t>
      </w:r>
    </w:p>
    <w:p>
      <w:pPr>
        <w:spacing w:after="0" w:line="53"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evaluated the appropriateness of management’s application of the accounting for the TRA liability, and the reasonableness of the methods, inputs, and assumptions used by management to determine the TRA liability.</w:t>
      </w:r>
    </w:p>
    <w:p>
      <w:pPr>
        <w:spacing w:after="0" w:line="53" w:lineRule="exact"/>
        <w:rPr>
          <w:rFonts w:ascii="Times New Roman" w:cs="Times New Roman" w:eastAsia="Times New Roman" w:hAnsi="Times New Roman"/>
          <w:sz w:val="18"/>
          <w:szCs w:val="18"/>
          <w:color w:val="auto"/>
        </w:rPr>
      </w:pPr>
    </w:p>
    <w:p>
      <w:pPr>
        <w:ind w:left="1540" w:right="2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evaluated the impact of partnership exchange transactions on the computation of the TRA liability by performing testing, on a sample basis, of exchanges, tax basis amounts and calculations related to the step-up in basis.</w:t>
      </w:r>
    </w:p>
    <w:p>
      <w:pPr>
        <w:spacing w:after="0" w:line="53" w:lineRule="exact"/>
        <w:rPr>
          <w:rFonts w:ascii="Times New Roman" w:cs="Times New Roman" w:eastAsia="Times New Roman" w:hAnsi="Times New Roman"/>
          <w:sz w:val="18"/>
          <w:szCs w:val="18"/>
          <w:color w:val="auto"/>
        </w:rPr>
      </w:pPr>
    </w:p>
    <w:p>
      <w:pPr>
        <w:ind w:left="1540" w:right="1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tested the appropriateness of the tax rates and tax amortization utilized in the determination of the TRA liability, by agreeing to the terms in the TRA and applicable federal and state tax laws.</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tested the mathematical accuracy of the TRA liability calculation by recomputing the liability.</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46" w:right="459" w:bottom="1440" w:gutter="0" w:footer="0" w:header="0"/>
        </w:sectPr>
      </w:pPr>
    </w:p>
    <w:bookmarkStart w:id="95" w:name="page96"/>
    <w:bookmarkEnd w:id="9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number of shares and par value)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105,378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130,976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184,786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177,092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53,232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contract costs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13,736</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393,927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297,933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323,121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393,283</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1,089,389</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1,825,901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10,763</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51,529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97,377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loan</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161,161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170,682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229,368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242,567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receivable agreements liability</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67,163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482,195</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$0.001, 600,000,000 shares authorized, 113,953,554 and</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116,562,252 shares issued and outstanding at December 31, 2024 and 2023, respectively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r>
      <w:tr>
        <w:trPr>
          <w:trHeight w:val="198"/>
        </w:trPr>
        <w:tc>
          <w:tcPr>
            <w:tcW w:w="77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Class B Common Stock, par value $0.00001, 65,000,000 shares authorized, 39,439,198 and</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39,375,806 shares issued and outstanding, respectively, at December 31, 2024, and 39,762,700 and</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39,168,047 shares issued and outstanding, respectively, at December 31, 2023</w:t>
            </w:r>
          </w:p>
        </w:tc>
        <w:tc>
          <w:tcPr>
            <w:tcW w:w="14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1,085,445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1,086,581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(deficit) income</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(610 )</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(640,574 )</w:t>
            </w: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(227,450 )</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162,819</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607,194</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1,199,174</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1,089,389</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1,825,901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5"/>
        </w:trPr>
        <w:tc>
          <w:tcPr>
            <w:tcW w:w="772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2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F-5</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63"/>
        </w:trPr>
        <w:tc>
          <w:tcPr>
            <w:tcW w:w="7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-5982970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-5982970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-4868545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-4851400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-4868545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-4851400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-2630805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-1113790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-822325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-805180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6" w:name="page97"/>
    <w:bookmarkEnd w:id="9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(amounts in thousands, except share amounts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252,202</w:t>
            </w:r>
          </w:p>
        </w:tc>
        <w:tc>
          <w:tcPr>
            <w:tcW w:w="1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251,415</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222,653</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 exclusive of amortization</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25,866</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12,742</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100" w:type="dxa"/>
            <w:vAlign w:val="bottom"/>
          </w:tcPr>
          <w:p>
            <w:pPr>
              <w:spacing w:after="0"/>
              <w:rPr>
                <w:sz w:val="18"/>
                <w:szCs w:val="18"/>
                <w:color w:val="auto"/>
              </w:rPr>
            </w:pPr>
          </w:p>
        </w:tc>
      </w:tr>
      <w:tr>
        <w:trPr>
          <w:trHeight w:val="209"/>
        </w:trPr>
        <w:tc>
          <w:tcPr>
            <w:tcW w:w="6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197,469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203,933</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83,807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94,534</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89,585</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34,890</w:t>
            </w: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49,267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58,861</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51,561</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40,145</w:t>
            </w: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integration, and restructuring expenses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11,489</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688,854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908,289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533,733</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(710,820 )</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(329,800 )</w:t>
            </w: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(44,043 )</w:t>
            </w:r>
          </w:p>
        </w:tc>
      </w:tr>
      <w:tr>
        <w:trPr>
          <w:trHeight w:val="216"/>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(14,837 )</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(15,203 )</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(11,200 )</w:t>
            </w:r>
          </w:p>
        </w:tc>
      </w:tr>
      <w:tr>
        <w:trPr>
          <w:trHeight w:val="216"/>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remeasurement of tax receivable agreement liability</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9,717</w:t>
            </w: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(291 )</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CFF0FC"/>
          </w:tcPr>
          <w:p>
            <w:pPr>
              <w:spacing w:after="0"/>
              <w:rPr>
                <w:sz w:val="18"/>
                <w:szCs w:val="18"/>
                <w:color w:val="auto"/>
              </w:rPr>
            </w:pPr>
          </w:p>
        </w:tc>
      </w:tr>
      <w:tr>
        <w:trPr>
          <w:trHeight w:val="210"/>
        </w:trPr>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21,620</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Pr>
          <w:p>
            <w:pPr>
              <w:spacing w:after="0"/>
              <w:rPr>
                <w:sz w:val="18"/>
                <w:szCs w:val="18"/>
                <w:color w:val="auto"/>
              </w:rPr>
            </w:pPr>
          </w:p>
        </w:tc>
      </w:tr>
      <w:tr>
        <w:trPr>
          <w:trHeight w:val="210"/>
        </w:trPr>
        <w:tc>
          <w:tcPr>
            <w:tcW w:w="62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(633,745 )</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(308,180 )</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(41,877 )</w:t>
            </w:r>
          </w:p>
        </w:tc>
      </w:tr>
      <w:tr>
        <w:trPr>
          <w:trHeight w:val="216"/>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18,553</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100" w:type="dxa"/>
            <w:vAlign w:val="bottom"/>
          </w:tcPr>
          <w:p>
            <w:pPr>
              <w:spacing w:after="0"/>
              <w:rPr>
                <w:sz w:val="18"/>
                <w:szCs w:val="18"/>
                <w:color w:val="auto"/>
              </w:rPr>
            </w:pPr>
          </w:p>
        </w:tc>
      </w:tr>
      <w:tr>
        <w:trPr>
          <w:trHeight w:val="210"/>
        </w:trPr>
        <w:tc>
          <w:tcPr>
            <w:tcW w:w="62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(591,446 )</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(289,627 )</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(24,179 )</w:t>
            </w:r>
          </w:p>
        </w:tc>
      </w:tr>
      <w:tr>
        <w:trPr>
          <w:trHeight w:val="210"/>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(178,322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(87,239</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9"/>
        </w:trPr>
        <w:tc>
          <w:tcPr>
            <w:tcW w:w="62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(413,124 )</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(202,388 )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(7,222 )</w:t>
            </w:r>
          </w:p>
        </w:tc>
      </w:tr>
      <w:tr>
        <w:trPr>
          <w:trHeight w:val="197"/>
        </w:trPr>
        <w:tc>
          <w:tcPr>
            <w:tcW w:w="62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of Class A Common Stock:</w:t>
            </w: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(1.79 )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(0.07 )</w:t>
            </w:r>
          </w:p>
        </w:tc>
      </w:tr>
      <w:tr>
        <w:trPr>
          <w:trHeight w:val="197"/>
        </w:trPr>
        <w:tc>
          <w:tcPr>
            <w:tcW w:w="62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Stock outstanding:</w:t>
            </w: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6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116,640,183</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112,764,537</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101,114,105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-3436620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-3436620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-2322195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-2322195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4861560</wp:posOffset>
            </wp:positionH>
            <wp:positionV relativeFrom="paragraph">
              <wp:posOffset>-1503680</wp:posOffset>
            </wp:positionV>
            <wp:extent cx="93980" cy="1797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-1503680</wp:posOffset>
            </wp:positionV>
            <wp:extent cx="93980"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-1503680</wp:posOffset>
            </wp:positionV>
            <wp:extent cx="93980"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4861560</wp:posOffset>
            </wp:positionH>
            <wp:positionV relativeFrom="paragraph">
              <wp:posOffset>-929005</wp:posOffset>
            </wp:positionV>
            <wp:extent cx="93980"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-929005</wp:posOffset>
            </wp:positionV>
            <wp:extent cx="9398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-929005</wp:posOffset>
            </wp:positionV>
            <wp:extent cx="93980"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-624840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-607695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-624840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-607695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-325120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-307975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-325120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-307975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7" w:name="page98"/>
    <w:bookmarkEnd w:id="9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(591,446 )</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(289,627 )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(24,179 )</w:t>
            </w: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(408 )</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(832 )</w:t>
            </w:r>
          </w:p>
        </w:tc>
        <w:tc>
          <w:tcPr>
            <w:tcW w:w="0" w:type="dxa"/>
            <w:vAlign w:val="bottom"/>
          </w:tcPr>
          <w:p>
            <w:pPr>
              <w:spacing w:after="0"/>
              <w:rPr>
                <w:sz w:val="1"/>
                <w:szCs w:val="1"/>
                <w:color w:val="auto"/>
              </w:rPr>
            </w:pPr>
          </w:p>
        </w:tc>
      </w:tr>
      <w:tr>
        <w:trPr>
          <w:trHeight w:val="216"/>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interest rate hedging instruments</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(3,217 )</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(2,617 )</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loss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(595,069 )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(291,782 )</w:t>
            </w: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(18,685 )</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(179,226 )</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(87,835 )</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(15,069 )</w:t>
            </w: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loss attributable to Definitive Healthcare Corp.</w:t>
            </w:r>
          </w:p>
        </w:tc>
        <w:tc>
          <w:tcPr>
            <w:tcW w:w="10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(415,843 )</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(203,947 )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(3,616 )</w:t>
            </w:r>
          </w:p>
        </w:tc>
        <w:tc>
          <w:tcPr>
            <w:tcW w:w="0" w:type="dxa"/>
            <w:vAlign w:val="bottom"/>
          </w:tcPr>
          <w:p>
            <w:pPr>
              <w:spacing w:after="0"/>
              <w:rPr>
                <w:sz w:val="1"/>
                <w:szCs w:val="1"/>
                <w:color w:val="auto"/>
              </w:rPr>
            </w:pPr>
          </w:p>
        </w:tc>
      </w:tr>
      <w:tr>
        <w:trPr>
          <w:trHeight w:val="20"/>
        </w:trPr>
        <w:tc>
          <w:tcPr>
            <w:tcW w:w="6280" w:type="dxa"/>
            <w:vAlign w:val="bottom"/>
            <w:gridSpan w:val="2"/>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720" w:type="dxa"/>
            <w:vAlign w:val="bottom"/>
            <w:gridSpan w:val="4"/>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20" w:type="dxa"/>
            <w:vAlign w:val="bottom"/>
          </w:tcPr>
          <w:p>
            <w:pPr>
              <w:spacing w:after="0"/>
              <w:rPr>
                <w:sz w:val="20"/>
                <w:szCs w:val="20"/>
                <w:color w:val="auto"/>
              </w:rPr>
            </w:pPr>
          </w:p>
        </w:tc>
        <w:tc>
          <w:tcPr>
            <w:tcW w:w="14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F-7</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3"/>
        </w:trPr>
        <w:tc>
          <w:tcPr>
            <w:tcW w:w="5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-1250950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-1250950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-968375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-968375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-968375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8" w:name="page99"/>
    <w:bookmarkEnd w:id="9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DEFINITIVE HEALTHCARE CORP. CONSOLIDATED STATEMENTS OF CHANGES IN TOTAL EQUITY </w:t>
      </w:r>
      <w:r>
        <w:rPr>
          <w:rFonts w:ascii="Times New Roman" w:cs="Times New Roman" w:eastAsia="Times New Roman" w:hAnsi="Times New Roman"/>
          <w:sz w:val="18"/>
          <w:szCs w:val="18"/>
          <w:i w:val="1"/>
          <w:iCs w:val="1"/>
          <w:color w:val="auto"/>
        </w:rPr>
        <w:t>(amounts 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Accumulate   Comprehensi</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2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4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2"/>
                <w:szCs w:val="12"/>
                <w:color w:val="auto"/>
              </w:rPr>
            </w:pPr>
          </w:p>
        </w:tc>
        <w:tc>
          <w:tcPr>
            <w:tcW w:w="900" w:type="dxa"/>
            <w:vAlign w:val="bottom"/>
            <w:gridSpan w:val="3"/>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d</w:t>
            </w: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80" w:type="dxa"/>
            <w:vAlign w:val="bottom"/>
          </w:tcPr>
          <w:p>
            <w:pPr>
              <w:spacing w:after="0"/>
              <w:rPr>
                <w:sz w:val="12"/>
                <w:szCs w:val="12"/>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2460" w:type="dxa"/>
            <w:vAlign w:val="bottom"/>
          </w:tcPr>
          <w:p>
            <w:pPr>
              <w:spacing w:after="0"/>
              <w:rPr>
                <w:sz w:val="14"/>
                <w:szCs w:val="14"/>
                <w:color w:val="auto"/>
              </w:rPr>
            </w:pPr>
          </w:p>
        </w:tc>
        <w:tc>
          <w:tcPr>
            <w:tcW w:w="9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2021</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97,030,095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58,244,627</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ind w:left="5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888,992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(17,840 ) $</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628,525</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1,499,836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(7,222 )</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(16,957 )</w:t>
            </w: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(24,179 )</w:t>
            </w: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19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3,606</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1,888</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5,494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 incentive units</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(7,955 )</w:t>
            </w:r>
          </w:p>
        </w:tc>
        <w:tc>
          <w:tcPr>
            <w:tcW w:w="140" w:type="dxa"/>
            <w:vAlign w:val="bottom"/>
          </w:tcPr>
          <w:p>
            <w:pPr>
              <w:spacing w:after="0"/>
              <w:rPr>
                <w:sz w:val="12"/>
                <w:szCs w:val="12"/>
                <w:color w:val="auto"/>
              </w:rPr>
            </w:pPr>
          </w:p>
        </w:tc>
        <w:tc>
          <w:tcPr>
            <w:tcW w:w="900" w:type="dxa"/>
            <w:vAlign w:val="bottom"/>
            <w:gridSpan w:val="3"/>
          </w:tcPr>
          <w:p>
            <w:pPr>
              <w:jc w:val="right"/>
              <w:ind w:right="19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7,955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Class A Common Stock upon</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716,776</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ind w:left="5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gridSpan w:val="3"/>
            <w:vMerge w:val="restart"/>
            <w:shd w:val="clear" w:color="auto" w:fill="CFF0FC"/>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(1,717 )</w:t>
            </w:r>
          </w:p>
        </w:tc>
        <w:tc>
          <w:tcPr>
            <w:tcW w:w="18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RSUs</w:t>
            </w:r>
          </w:p>
        </w:tc>
        <w:tc>
          <w:tcPr>
            <w:tcW w:w="9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withheld related to net share</w:t>
            </w: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(233,252 )</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(4,116 )</w:t>
            </w:r>
          </w:p>
        </w:tc>
        <w:tc>
          <w:tcPr>
            <w:tcW w:w="140" w:type="dxa"/>
            <w:vAlign w:val="bottom"/>
          </w:tcPr>
          <w:p>
            <w:pPr>
              <w:spacing w:after="0"/>
              <w:rPr>
                <w:sz w:val="10"/>
                <w:szCs w:val="10"/>
                <w:color w:val="auto"/>
              </w:rPr>
            </w:pPr>
          </w:p>
        </w:tc>
        <w:tc>
          <w:tcPr>
            <w:tcW w:w="900" w:type="dxa"/>
            <w:vAlign w:val="bottom"/>
            <w:gridSpan w:val="3"/>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(4,116 )</w:t>
            </w:r>
          </w:p>
        </w:tc>
        <w:tc>
          <w:tcPr>
            <w:tcW w:w="0" w:type="dxa"/>
            <w:vAlign w:val="bottom"/>
          </w:tcPr>
          <w:p>
            <w:pPr>
              <w:spacing w:after="0"/>
              <w:rPr>
                <w:sz w:val="1"/>
                <w:szCs w:val="1"/>
                <w:color w:val="auto"/>
              </w:rPr>
            </w:pPr>
          </w:p>
        </w:tc>
      </w:tr>
      <w:tr>
        <w:trPr>
          <w:trHeight w:val="171"/>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w:t>
            </w: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Effect of changes in LLC ownership,</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7,624,654</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(7,624,654 )</w:t>
            </w:r>
          </w:p>
        </w:tc>
        <w:tc>
          <w:tcPr>
            <w:tcW w:w="14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ind w:left="5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63,343</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gridSpan w:val="3"/>
            <w:vMerge w:val="restart"/>
            <w:shd w:val="clear" w:color="auto" w:fill="CFF0FC"/>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(82,004 )</w:t>
            </w:r>
          </w:p>
        </w:tc>
        <w:tc>
          <w:tcPr>
            <w:tcW w:w="18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(18,653 )</w:t>
            </w:r>
          </w:p>
        </w:tc>
        <w:tc>
          <w:tcPr>
            <w:tcW w:w="0" w:type="dxa"/>
            <w:vAlign w:val="bottom"/>
          </w:tcPr>
          <w:p>
            <w:pPr>
              <w:spacing w:after="0"/>
              <w:rPr>
                <w:sz w:val="1"/>
                <w:szCs w:val="1"/>
                <w:color w:val="auto"/>
              </w:rPr>
            </w:pPr>
          </w:p>
        </w:tc>
      </w:tr>
      <w:tr>
        <w:trPr>
          <w:trHeight w:val="171"/>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including LLC unit exchanges</w:t>
            </w:r>
          </w:p>
        </w:tc>
        <w:tc>
          <w:tcPr>
            <w:tcW w:w="9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Forfeited unvested incentive units</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(186,872 )</w:t>
            </w:r>
          </w:p>
        </w:tc>
        <w:tc>
          <w:tcPr>
            <w:tcW w:w="14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3"/>
          </w:tcPr>
          <w:p>
            <w:pPr>
              <w:jc w:val="right"/>
              <w:ind w:right="19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Equity-based compensation</w:t>
            </w: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24,172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19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12,262</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36,434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(16,925 )</w:t>
            </w: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(12,871 )</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2022</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105,138,273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50,433,101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ind w:left="5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970,207</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(25,062 ) $</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3,668</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533,027</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1,481,945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(202,388 )</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(87,239 )</w:t>
            </w: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(289,627 )</w:t>
            </w: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19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(1,559 )</w:t>
            </w: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(596 )</w:t>
            </w: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(2,155 )</w:t>
            </w:r>
          </w:p>
        </w:tc>
        <w:tc>
          <w:tcPr>
            <w:tcW w:w="0" w:type="dxa"/>
            <w:vAlign w:val="bottom"/>
          </w:tcPr>
          <w:p>
            <w:pPr>
              <w:spacing w:after="0"/>
              <w:rPr>
                <w:sz w:val="1"/>
                <w:szCs w:val="1"/>
                <w:color w:val="auto"/>
              </w:rPr>
            </w:pPr>
          </w:p>
        </w:tc>
      </w:tr>
      <w:tr>
        <w:trPr>
          <w:trHeight w:val="148"/>
        </w:trPr>
        <w:tc>
          <w:tcPr>
            <w:tcW w:w="2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 incentive units</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(6,327 )</w:t>
            </w:r>
          </w:p>
        </w:tc>
        <w:tc>
          <w:tcPr>
            <w:tcW w:w="140" w:type="dxa"/>
            <w:vAlign w:val="bottom"/>
          </w:tcPr>
          <w:p>
            <w:pPr>
              <w:spacing w:after="0"/>
              <w:rPr>
                <w:sz w:val="12"/>
                <w:szCs w:val="12"/>
                <w:color w:val="auto"/>
              </w:rPr>
            </w:pPr>
          </w:p>
        </w:tc>
        <w:tc>
          <w:tcPr>
            <w:tcW w:w="900" w:type="dxa"/>
            <w:vAlign w:val="bottom"/>
            <w:gridSpan w:val="3"/>
          </w:tcPr>
          <w:p>
            <w:pPr>
              <w:jc w:val="right"/>
              <w:ind w:right="19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6,327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Class A Common Stock upon</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1,300,786</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ind w:left="5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gridSpan w:val="3"/>
            <w:vMerge w:val="restart"/>
            <w:shd w:val="clear" w:color="auto" w:fill="CFF0FC"/>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(2,419 )</w:t>
            </w:r>
          </w:p>
        </w:tc>
        <w:tc>
          <w:tcPr>
            <w:tcW w:w="18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RSUs</w:t>
            </w:r>
          </w:p>
        </w:tc>
        <w:tc>
          <w:tcPr>
            <w:tcW w:w="9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withheld related to net share</w:t>
            </w: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(438,840 )</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(4,432 )</w:t>
            </w:r>
          </w:p>
        </w:tc>
        <w:tc>
          <w:tcPr>
            <w:tcW w:w="140" w:type="dxa"/>
            <w:vAlign w:val="bottom"/>
          </w:tcPr>
          <w:p>
            <w:pPr>
              <w:spacing w:after="0"/>
              <w:rPr>
                <w:sz w:val="10"/>
                <w:szCs w:val="10"/>
                <w:color w:val="auto"/>
              </w:rPr>
            </w:pPr>
          </w:p>
        </w:tc>
        <w:tc>
          <w:tcPr>
            <w:tcW w:w="900" w:type="dxa"/>
            <w:vAlign w:val="bottom"/>
            <w:gridSpan w:val="3"/>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(4,432 )</w:t>
            </w:r>
          </w:p>
        </w:tc>
        <w:tc>
          <w:tcPr>
            <w:tcW w:w="0" w:type="dxa"/>
            <w:vAlign w:val="bottom"/>
          </w:tcPr>
          <w:p>
            <w:pPr>
              <w:spacing w:after="0"/>
              <w:rPr>
                <w:sz w:val="1"/>
                <w:szCs w:val="1"/>
                <w:color w:val="auto"/>
              </w:rPr>
            </w:pPr>
          </w:p>
        </w:tc>
      </w:tr>
      <w:tr>
        <w:trPr>
          <w:trHeight w:val="171"/>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w:t>
            </w: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Effect of changes in LLC ownership,</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10,562,033</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(10,562,033 )</w:t>
            </w:r>
          </w:p>
        </w:tc>
        <w:tc>
          <w:tcPr>
            <w:tcW w:w="14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ind w:left="5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89,177</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gridSpan w:val="3"/>
            <w:vMerge w:val="restart"/>
            <w:shd w:val="clear" w:color="auto" w:fill="CFF0FC"/>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(112,203 )</w:t>
            </w:r>
          </w:p>
        </w:tc>
        <w:tc>
          <w:tcPr>
            <w:tcW w:w="18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(23,014 )</w:t>
            </w:r>
          </w:p>
        </w:tc>
        <w:tc>
          <w:tcPr>
            <w:tcW w:w="0" w:type="dxa"/>
            <w:vAlign w:val="bottom"/>
          </w:tcPr>
          <w:p>
            <w:pPr>
              <w:spacing w:after="0"/>
              <w:rPr>
                <w:sz w:val="1"/>
                <w:szCs w:val="1"/>
                <w:color w:val="auto"/>
              </w:rPr>
            </w:pPr>
          </w:p>
        </w:tc>
      </w:tr>
      <w:tr>
        <w:trPr>
          <w:trHeight w:val="171"/>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including LLC unit exchanges</w:t>
            </w:r>
          </w:p>
        </w:tc>
        <w:tc>
          <w:tcPr>
            <w:tcW w:w="9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Forfeited unvested incentive units</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(108,368 )</w:t>
            </w:r>
          </w:p>
        </w:tc>
        <w:tc>
          <w:tcPr>
            <w:tcW w:w="14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3"/>
          </w:tcPr>
          <w:p>
            <w:pPr>
              <w:jc w:val="right"/>
              <w:ind w:right="19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Equity-based compensation</w:t>
            </w: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35,537</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19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13,202</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48,739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(12,282 )</w:t>
            </w: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(12,282 )</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116,562,252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39,762,700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ind w:left="5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1,086,581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(227,450 ) $</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2,109</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337,817</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1,199,174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(413,124 )</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(178,322 )</w:t>
            </w: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(591,446 )</w:t>
            </w: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19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(2,719 )</w:t>
            </w: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(904 )</w:t>
            </w: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(3,623 )</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 incentive units</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(2,468 )</w:t>
            </w:r>
          </w:p>
        </w:tc>
        <w:tc>
          <w:tcPr>
            <w:tcW w:w="140" w:type="dxa"/>
            <w:vAlign w:val="bottom"/>
          </w:tcPr>
          <w:p>
            <w:pPr>
              <w:spacing w:after="0"/>
              <w:rPr>
                <w:sz w:val="12"/>
                <w:szCs w:val="12"/>
                <w:color w:val="auto"/>
              </w:rPr>
            </w:pPr>
          </w:p>
        </w:tc>
        <w:tc>
          <w:tcPr>
            <w:tcW w:w="900" w:type="dxa"/>
            <w:vAlign w:val="bottom"/>
            <w:gridSpan w:val="3"/>
          </w:tcPr>
          <w:p>
            <w:pPr>
              <w:jc w:val="right"/>
              <w:ind w:right="19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Class A Common Stock upon</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2,883,145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ind w:left="5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3,817</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gridSpan w:val="3"/>
            <w:vMerge w:val="restart"/>
            <w:shd w:val="clear" w:color="auto" w:fill="CFF0FC"/>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(3,819 )</w:t>
            </w:r>
          </w:p>
        </w:tc>
        <w:tc>
          <w:tcPr>
            <w:tcW w:w="18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RSUs</w:t>
            </w:r>
          </w:p>
        </w:tc>
        <w:tc>
          <w:tcPr>
            <w:tcW w:w="9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withheld related to net share</w:t>
            </w: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(981,295 )</w:t>
            </w:r>
          </w:p>
        </w:tc>
        <w:tc>
          <w:tcPr>
            <w:tcW w:w="1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(1 )</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(7,547 )</w:t>
            </w:r>
          </w:p>
        </w:tc>
        <w:tc>
          <w:tcPr>
            <w:tcW w:w="140" w:type="dxa"/>
            <w:vAlign w:val="bottom"/>
          </w:tcPr>
          <w:p>
            <w:pPr>
              <w:spacing w:after="0"/>
              <w:rPr>
                <w:sz w:val="10"/>
                <w:szCs w:val="10"/>
                <w:color w:val="auto"/>
              </w:rPr>
            </w:pPr>
          </w:p>
        </w:tc>
        <w:tc>
          <w:tcPr>
            <w:tcW w:w="900" w:type="dxa"/>
            <w:vAlign w:val="bottom"/>
            <w:gridSpan w:val="3"/>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(7,548 )</w:t>
            </w:r>
          </w:p>
        </w:tc>
        <w:tc>
          <w:tcPr>
            <w:tcW w:w="0" w:type="dxa"/>
            <w:vAlign w:val="bottom"/>
          </w:tcPr>
          <w:p>
            <w:pPr>
              <w:spacing w:after="0"/>
              <w:rPr>
                <w:sz w:val="1"/>
                <w:szCs w:val="1"/>
                <w:color w:val="auto"/>
              </w:rPr>
            </w:pPr>
          </w:p>
        </w:tc>
      </w:tr>
      <w:tr>
        <w:trPr>
          <w:trHeight w:val="171"/>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w:t>
            </w: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Repurchases of Class A Common Stock</w:t>
            </w:r>
          </w:p>
        </w:tc>
        <w:tc>
          <w:tcPr>
            <w:tcW w:w="10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(4,780,799 )</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(4 )</w:t>
            </w: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(29,999 )</w:t>
            </w:r>
          </w:p>
        </w:tc>
        <w:tc>
          <w:tcPr>
            <w:tcW w:w="14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19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7,637</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(22,366 )</w:t>
            </w:r>
          </w:p>
        </w:tc>
        <w:tc>
          <w:tcPr>
            <w:tcW w:w="0" w:type="dxa"/>
            <w:vAlign w:val="bottom"/>
          </w:tcPr>
          <w:p>
            <w:pPr>
              <w:spacing w:after="0"/>
              <w:rPr>
                <w:sz w:val="1"/>
                <w:szCs w:val="1"/>
                <w:color w:val="auto"/>
              </w:rPr>
            </w:pPr>
          </w:p>
        </w:tc>
      </w:tr>
      <w:tr>
        <w:trPr>
          <w:trHeight w:val="126"/>
        </w:trPr>
        <w:tc>
          <w:tcPr>
            <w:tcW w:w="2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Effect of changes in LLC ownership,</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270,251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(270,251 )</w:t>
            </w:r>
          </w:p>
        </w:tc>
        <w:tc>
          <w:tcPr>
            <w:tcW w:w="140" w:type="dxa"/>
            <w:vAlign w:val="bottom"/>
          </w:tcPr>
          <w:p>
            <w:pPr>
              <w:spacing w:after="0"/>
              <w:rPr>
                <w:sz w:val="10"/>
                <w:szCs w:val="10"/>
                <w:color w:val="auto"/>
              </w:rPr>
            </w:pPr>
          </w:p>
        </w:tc>
        <w:tc>
          <w:tcPr>
            <w:tcW w:w="7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6,544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(6,491 )</w:t>
            </w: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LLC unit exchanges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Forfeited unvested incentive units</w:t>
            </w: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(53,251 )</w:t>
            </w: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19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Equity-based compensation</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19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9,568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38,085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(5,135 )</w:t>
            </w:r>
          </w:p>
        </w:tc>
        <w:tc>
          <w:tcPr>
            <w:tcW w:w="1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(5,135 )</w:t>
            </w:r>
          </w:p>
        </w:tc>
        <w:tc>
          <w:tcPr>
            <w:tcW w:w="0" w:type="dxa"/>
            <w:vAlign w:val="bottom"/>
          </w:tcPr>
          <w:p>
            <w:pPr>
              <w:spacing w:after="0"/>
              <w:rPr>
                <w:sz w:val="1"/>
                <w:szCs w:val="1"/>
                <w:color w:val="auto"/>
              </w:rPr>
            </w:pPr>
          </w:p>
        </w:tc>
      </w:tr>
      <w:tr>
        <w:trPr>
          <w:trHeight w:val="20"/>
        </w:trPr>
        <w:tc>
          <w:tcPr>
            <w:tcW w:w="24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113,953,554</w:t>
            </w:r>
          </w:p>
        </w:tc>
        <w:tc>
          <w:tcPr>
            <w:tcW w:w="10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39,439,198</w:t>
            </w:r>
          </w:p>
        </w:tc>
        <w:tc>
          <w:tcPr>
            <w:tcW w:w="10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1,085,445</w:t>
            </w:r>
          </w:p>
        </w:tc>
        <w:tc>
          <w:tcPr>
            <w:tcW w:w="10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(640,574 ) $</w:t>
            </w:r>
          </w:p>
        </w:tc>
        <w:tc>
          <w:tcPr>
            <w:tcW w:w="960" w:type="dxa"/>
            <w:vAlign w:val="bottom"/>
            <w:gridSpan w:val="3"/>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(610 ) $</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162,819</w:t>
            </w:r>
          </w:p>
        </w:tc>
        <w:tc>
          <w:tcPr>
            <w:tcW w:w="10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607,194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-2605405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-2605405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-2605405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-2605405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-2605405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-2605405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-2605405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-2605405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-2605405</wp:posOffset>
            </wp:positionV>
            <wp:extent cx="774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-1362075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-1362075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-1362075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-1362075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-1362075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-1362075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-1362075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-1362075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-1362075</wp:posOffset>
            </wp:positionV>
            <wp:extent cx="774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-127635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-127635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-127635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-127635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-127635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-127635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-127635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-127635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-127635</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9" w:name="page100"/>
    <w:bookmarkEnd w:id="9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9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provided by operating activities: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(591,446 )</w:t>
            </w:r>
          </w:p>
        </w:tc>
        <w:tc>
          <w:tcPr>
            <w:tcW w:w="4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(289,627 )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(24,179 )</w:t>
            </w:r>
          </w:p>
        </w:tc>
      </w:tr>
      <w:tr>
        <w:trPr>
          <w:trHeight w:val="203"/>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100" w:type="dxa"/>
            <w:vAlign w:val="bottom"/>
          </w:tcPr>
          <w:p>
            <w:pPr>
              <w:spacing w:after="0"/>
              <w:rPr>
                <w:sz w:val="17"/>
                <w:szCs w:val="17"/>
                <w:color w:val="auto"/>
              </w:rPr>
            </w:pPr>
          </w:p>
        </w:tc>
      </w:tr>
      <w:tr>
        <w:trPr>
          <w:trHeight w:val="202"/>
        </w:trPr>
        <w:tc>
          <w:tcPr>
            <w:tcW w:w="690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49,422</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49,797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54,711</w:t>
            </w:r>
          </w:p>
        </w:tc>
        <w:tc>
          <w:tcPr>
            <w:tcW w:w="100" w:type="dxa"/>
            <w:vAlign w:val="bottom"/>
            <w:shd w:val="clear" w:color="auto" w:fill="CFF0FC"/>
          </w:tcPr>
          <w:p>
            <w:pPr>
              <w:spacing w:after="0"/>
              <w:rPr>
                <w:sz w:val="17"/>
                <w:szCs w:val="17"/>
                <w:color w:val="auto"/>
              </w:rPr>
            </w:pPr>
          </w:p>
        </w:tc>
      </w:tr>
      <w:tr>
        <w:trPr>
          <w:trHeight w:val="203"/>
        </w:trPr>
        <w:tc>
          <w:tcPr>
            <w:tcW w:w="69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Amortization of deferred contract costs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8,816</w:t>
            </w:r>
          </w:p>
        </w:tc>
        <w:tc>
          <w:tcPr>
            <w:tcW w:w="100" w:type="dxa"/>
            <w:vAlign w:val="bottom"/>
          </w:tcPr>
          <w:p>
            <w:pPr>
              <w:spacing w:after="0"/>
              <w:rPr>
                <w:sz w:val="17"/>
                <w:szCs w:val="17"/>
                <w:color w:val="auto"/>
              </w:rPr>
            </w:pPr>
          </w:p>
        </w:tc>
      </w:tr>
      <w:tr>
        <w:trPr>
          <w:trHeight w:val="203"/>
        </w:trPr>
        <w:tc>
          <w:tcPr>
            <w:tcW w:w="690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Equity-based compensation</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38,085</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48,739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36,434</w:t>
            </w:r>
          </w:p>
        </w:tc>
        <w:tc>
          <w:tcPr>
            <w:tcW w:w="100" w:type="dxa"/>
            <w:vAlign w:val="bottom"/>
            <w:shd w:val="clear" w:color="auto" w:fill="CFF0FC"/>
          </w:tcPr>
          <w:p>
            <w:pPr>
              <w:spacing w:after="0"/>
              <w:rPr>
                <w:sz w:val="17"/>
                <w:szCs w:val="17"/>
                <w:color w:val="auto"/>
              </w:rPr>
            </w:pPr>
          </w:p>
        </w:tc>
      </w:tr>
      <w:tr>
        <w:trPr>
          <w:trHeight w:val="203"/>
        </w:trPr>
        <w:tc>
          <w:tcPr>
            <w:tcW w:w="69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tcPr>
          <w:p>
            <w:pPr>
              <w:spacing w:after="0"/>
              <w:rPr>
                <w:sz w:val="17"/>
                <w:szCs w:val="17"/>
                <w:color w:val="auto"/>
              </w:rPr>
            </w:pPr>
          </w:p>
        </w:tc>
      </w:tr>
      <w:tr>
        <w:trPr>
          <w:trHeight w:val="203"/>
        </w:trPr>
        <w:tc>
          <w:tcPr>
            <w:tcW w:w="690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Provision for bad debt expense</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shd w:val="clear" w:color="auto" w:fill="CFF0FC"/>
          </w:tcPr>
          <w:p>
            <w:pPr>
              <w:spacing w:after="0"/>
              <w:rPr>
                <w:sz w:val="17"/>
                <w:szCs w:val="17"/>
                <w:color w:val="auto"/>
              </w:rPr>
            </w:pPr>
          </w:p>
        </w:tc>
      </w:tr>
      <w:tr>
        <w:trPr>
          <w:trHeight w:val="203"/>
        </w:trPr>
        <w:tc>
          <w:tcPr>
            <w:tcW w:w="69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Non-cash restructuring charges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00" w:type="dxa"/>
            <w:vAlign w:val="bottom"/>
          </w:tcPr>
          <w:p>
            <w:pPr>
              <w:spacing w:after="0"/>
              <w:rPr>
                <w:sz w:val="17"/>
                <w:szCs w:val="17"/>
                <w:color w:val="auto"/>
              </w:rPr>
            </w:pPr>
          </w:p>
        </w:tc>
      </w:tr>
      <w:tr>
        <w:trPr>
          <w:trHeight w:val="203"/>
        </w:trPr>
        <w:tc>
          <w:tcPr>
            <w:tcW w:w="690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Goodwill impairment charges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688,854</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287,400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Tax receivable agreement remeasurement</w:t>
            </w: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(76,909 )</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(23,470 )</w:t>
            </w:r>
          </w:p>
        </w:tc>
        <w:tc>
          <w:tcPr>
            <w:tcW w:w="3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(9,717 )</w:t>
            </w:r>
          </w:p>
        </w:tc>
      </w:tr>
      <w:tr>
        <w:trPr>
          <w:trHeight w:val="203"/>
        </w:trPr>
        <w:tc>
          <w:tcPr>
            <w:tcW w:w="690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Changes in fair value of contingent consideration</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(1,780 )</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shd w:val="clear" w:color="auto" w:fill="CFF0FC"/>
          </w:tcPr>
          <w:p>
            <w:pPr>
              <w:spacing w:after="0"/>
              <w:rPr>
                <w:sz w:val="17"/>
                <w:szCs w:val="17"/>
                <w:color w:val="auto"/>
              </w:rPr>
            </w:pPr>
          </w:p>
        </w:tc>
      </w:tr>
      <w:tr>
        <w:trPr>
          <w:trHeight w:val="203"/>
        </w:trPr>
        <w:tc>
          <w:tcPr>
            <w:tcW w:w="69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(42,670 )</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(18,713 )</w:t>
            </w:r>
          </w:p>
        </w:tc>
        <w:tc>
          <w:tcPr>
            <w:tcW w:w="3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(17,806 )</w:t>
            </w:r>
          </w:p>
        </w:tc>
      </w:tr>
      <w:tr>
        <w:trPr>
          <w:trHeight w:val="203"/>
        </w:trPr>
        <w:tc>
          <w:tcPr>
            <w:tcW w:w="6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(13,222 )</w:t>
            </w:r>
          </w:p>
        </w:tc>
      </w:tr>
      <w:tr>
        <w:trPr>
          <w:trHeight w:val="203"/>
        </w:trPr>
        <w:tc>
          <w:tcPr>
            <w:tcW w:w="690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(7,832 )</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(7,156 )</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(127 )</w:t>
            </w:r>
          </w:p>
        </w:tc>
      </w:tr>
      <w:tr>
        <w:trPr>
          <w:trHeight w:val="203"/>
        </w:trPr>
        <w:tc>
          <w:tcPr>
            <w:tcW w:w="69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Deferred contract costs</w:t>
            </w: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(12,756 )</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(18,790 )</w:t>
            </w:r>
          </w:p>
        </w:tc>
        <w:tc>
          <w:tcPr>
            <w:tcW w:w="3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(15,252 )</w:t>
            </w:r>
          </w:p>
        </w:tc>
      </w:tr>
      <w:tr>
        <w:trPr>
          <w:trHeight w:val="203"/>
        </w:trPr>
        <w:tc>
          <w:tcPr>
            <w:tcW w:w="690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Contingent consideration</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(602 )</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(6,400 )</w:t>
            </w:r>
          </w:p>
        </w:tc>
      </w:tr>
      <w:tr>
        <w:trPr>
          <w:trHeight w:val="203"/>
        </w:trPr>
        <w:tc>
          <w:tcPr>
            <w:tcW w:w="69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(5,458 )</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w:t>
            </w:r>
          </w:p>
        </w:tc>
        <w:tc>
          <w:tcPr>
            <w:tcW w:w="100" w:type="dxa"/>
            <w:vAlign w:val="bottom"/>
          </w:tcPr>
          <w:p>
            <w:pPr>
              <w:spacing w:after="0"/>
              <w:rPr>
                <w:sz w:val="17"/>
                <w:szCs w:val="17"/>
                <w:color w:val="auto"/>
              </w:rPr>
            </w:pPr>
          </w:p>
        </w:tc>
      </w:tr>
      <w:tr>
        <w:trPr>
          <w:trHeight w:val="203"/>
        </w:trPr>
        <w:tc>
          <w:tcPr>
            <w:tcW w:w="690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(4,979 )</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(6,580 )</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12,690</w:t>
            </w:r>
          </w:p>
        </w:tc>
        <w:tc>
          <w:tcPr>
            <w:tcW w:w="100" w:type="dxa"/>
            <w:vAlign w:val="bottom"/>
            <w:shd w:val="clear" w:color="auto" w:fill="CFF0FC"/>
          </w:tcPr>
          <w:p>
            <w:pPr>
              <w:spacing w:after="0"/>
              <w:rPr>
                <w:sz w:val="17"/>
                <w:szCs w:val="17"/>
                <w:color w:val="auto"/>
              </w:rPr>
            </w:pPr>
          </w:p>
        </w:tc>
      </w:tr>
      <w:tr>
        <w:trPr>
          <w:trHeight w:val="196"/>
        </w:trPr>
        <w:tc>
          <w:tcPr>
            <w:tcW w:w="6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58,196</w:t>
            </w:r>
          </w:p>
        </w:tc>
        <w:tc>
          <w:tcPr>
            <w:tcW w:w="6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41,190</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35,579</w:t>
            </w:r>
          </w:p>
        </w:tc>
        <w:tc>
          <w:tcPr>
            <w:tcW w:w="100" w:type="dxa"/>
            <w:vAlign w:val="bottom"/>
            <w:tcBorders>
              <w:top w:val="single" w:sz="8" w:color="CFF0FC"/>
            </w:tcBorders>
          </w:tcPr>
          <w:p>
            <w:pPr>
              <w:spacing w:after="0"/>
              <w:rPr>
                <w:sz w:val="17"/>
                <w:szCs w:val="17"/>
                <w:color w:val="auto"/>
              </w:rPr>
            </w:pPr>
          </w:p>
        </w:tc>
      </w:tr>
      <w:tr>
        <w:trPr>
          <w:trHeight w:val="19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provided by investing activities: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Purchases of property, equipment, and other assets</w:t>
            </w: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(12,344 )</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(2,977 )</w:t>
            </w:r>
          </w:p>
        </w:tc>
        <w:tc>
          <w:tcPr>
            <w:tcW w:w="3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(8,326 )</w:t>
            </w:r>
          </w:p>
        </w:tc>
      </w:tr>
      <w:tr>
        <w:trPr>
          <w:trHeight w:val="203"/>
        </w:trPr>
        <w:tc>
          <w:tcPr>
            <w:tcW w:w="6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(304,304 )</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(259,208 )</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(337,961 )</w:t>
            </w:r>
          </w:p>
        </w:tc>
      </w:tr>
      <w:tr>
        <w:trPr>
          <w:trHeight w:val="203"/>
        </w:trPr>
        <w:tc>
          <w:tcPr>
            <w:tcW w:w="6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303,769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275,426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153,680</w:t>
            </w:r>
          </w:p>
        </w:tc>
        <w:tc>
          <w:tcPr>
            <w:tcW w:w="100" w:type="dxa"/>
            <w:vAlign w:val="bottom"/>
          </w:tcPr>
          <w:p>
            <w:pPr>
              <w:spacing w:after="0"/>
              <w:rPr>
                <w:sz w:val="17"/>
                <w:szCs w:val="17"/>
                <w:color w:val="auto"/>
              </w:rPr>
            </w:pPr>
          </w:p>
        </w:tc>
      </w:tr>
      <w:tr>
        <w:trPr>
          <w:trHeight w:val="203"/>
        </w:trPr>
        <w:tc>
          <w:tcPr>
            <w:tcW w:w="6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Cash paid for acquisitions and investments, net of cash acquired</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(13,530 )</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(45,023 )</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(56,296 )</w:t>
            </w:r>
          </w:p>
        </w:tc>
      </w:tr>
      <w:tr>
        <w:trPr>
          <w:trHeight w:val="196"/>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(26,409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(31,782</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(248,903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provided by financing activities: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Repayments of term loans</w:t>
            </w: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(13,750 )</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(8,594 )</w:t>
            </w:r>
          </w:p>
        </w:tc>
        <w:tc>
          <w:tcPr>
            <w:tcW w:w="3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(6,875 )</w:t>
            </w:r>
          </w:p>
        </w:tc>
      </w:tr>
      <w:tr>
        <w:trPr>
          <w:trHeight w:val="203"/>
        </w:trPr>
        <w:tc>
          <w:tcPr>
            <w:tcW w:w="6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(7,548 )</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(4,432 )</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(4,116 )</w:t>
            </w:r>
          </w:p>
        </w:tc>
      </w:tr>
      <w:tr>
        <w:trPr>
          <w:trHeight w:val="203"/>
        </w:trPr>
        <w:tc>
          <w:tcPr>
            <w:tcW w:w="6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Repurchases of Class A Common Stock</w:t>
            </w: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(22,366 )</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Payments of contingent consideration</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(1,100 )</w:t>
            </w:r>
          </w:p>
        </w:tc>
      </w:tr>
      <w:tr>
        <w:trPr>
          <w:trHeight w:val="202"/>
        </w:trPr>
        <w:tc>
          <w:tcPr>
            <w:tcW w:w="6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under tax receivable agreement</w:t>
            </w: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(6,950 )</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(246 )</w:t>
            </w:r>
          </w:p>
        </w:tc>
        <w:tc>
          <w:tcPr>
            <w:tcW w:w="300" w:type="dxa"/>
            <w:vAlign w:val="bottom"/>
          </w:tcPr>
          <w:p>
            <w:pPr>
              <w:spacing w:after="0"/>
              <w:rPr>
                <w:sz w:val="17"/>
                <w:szCs w:val="17"/>
                <w:color w:val="auto"/>
              </w:rPr>
            </w:pP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Payments of equity offering issuance costs</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(30 )</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(1,734 )</w:t>
            </w:r>
          </w:p>
        </w:tc>
      </w:tr>
      <w:tr>
        <w:trPr>
          <w:trHeight w:val="203"/>
        </w:trPr>
        <w:tc>
          <w:tcPr>
            <w:tcW w:w="6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Member distributions</w:t>
            </w: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(5,135 )</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(12,282 )</w:t>
            </w:r>
          </w:p>
        </w:tc>
        <w:tc>
          <w:tcPr>
            <w:tcW w:w="3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(12,871 )</w:t>
            </w:r>
          </w:p>
        </w:tc>
      </w:tr>
      <w:tr>
        <w:trPr>
          <w:trHeight w:val="20"/>
        </w:trPr>
        <w:tc>
          <w:tcPr>
            <w:tcW w:w="6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(56,749 )</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(25,584 )</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(26,696 )</w:t>
            </w:r>
          </w:p>
        </w:tc>
      </w:tr>
      <w:tr>
        <w:trPr>
          <w:trHeight w:val="20"/>
        </w:trPr>
        <w:tc>
          <w:tcPr>
            <w:tcW w:w="69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(24,962 )</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(16,176 )</w:t>
            </w:r>
          </w:p>
        </w:tc>
        <w:tc>
          <w:tcPr>
            <w:tcW w:w="3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(240,020 )</w:t>
            </w:r>
          </w:p>
        </w:tc>
      </w:tr>
      <w:tr>
        <w:trPr>
          <w:trHeight w:val="203"/>
        </w:trPr>
        <w:tc>
          <w:tcPr>
            <w:tcW w:w="6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(636 )</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(544 )</w:t>
            </w:r>
          </w:p>
        </w:tc>
      </w:tr>
      <w:tr>
        <w:trPr>
          <w:trHeight w:val="203"/>
        </w:trPr>
        <w:tc>
          <w:tcPr>
            <w:tcW w:w="6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130,976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146,934</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387,498</w:t>
            </w:r>
          </w:p>
        </w:tc>
        <w:tc>
          <w:tcPr>
            <w:tcW w:w="100" w:type="dxa"/>
            <w:vAlign w:val="bottom"/>
          </w:tcPr>
          <w:p>
            <w:pPr>
              <w:spacing w:after="0"/>
              <w:rPr>
                <w:sz w:val="17"/>
                <w:szCs w:val="17"/>
                <w:color w:val="auto"/>
              </w:rPr>
            </w:pPr>
          </w:p>
        </w:tc>
      </w:tr>
      <w:tr>
        <w:trPr>
          <w:trHeight w:val="236"/>
        </w:trPr>
        <w:tc>
          <w:tcPr>
            <w:tcW w:w="69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105,378</w:t>
            </w:r>
          </w:p>
        </w:tc>
        <w:tc>
          <w:tcPr>
            <w:tcW w:w="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130,976</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146,934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-2656840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-2656840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5153025</wp:posOffset>
            </wp:positionH>
            <wp:positionV relativeFrom="paragraph">
              <wp:posOffset>-1880870</wp:posOffset>
            </wp:positionV>
            <wp:extent cx="93980"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-1880870</wp:posOffset>
            </wp:positionV>
            <wp:extent cx="93980"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-1880870</wp:posOffset>
            </wp:positionV>
            <wp:extent cx="93980"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-556895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-556895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0" w:name="page101"/>
    <w:bookmarkEnd w:id="10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8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r>
      <w:tr>
        <w:trPr>
          <w:trHeight w:val="194"/>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6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8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14,196</w:t>
            </w:r>
          </w:p>
        </w:tc>
        <w:tc>
          <w:tcPr>
            <w:tcW w:w="5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10,443</w:t>
            </w:r>
          </w:p>
        </w:tc>
        <w:tc>
          <w:tcPr>
            <w:tcW w:w="100" w:type="dxa"/>
            <w:vAlign w:val="bottom"/>
          </w:tcPr>
          <w:p>
            <w:pPr>
              <w:spacing w:after="0"/>
              <w:rPr>
                <w:sz w:val="17"/>
                <w:szCs w:val="17"/>
                <w:color w:val="auto"/>
              </w:rPr>
            </w:pPr>
          </w:p>
        </w:tc>
      </w:tr>
      <w:tr>
        <w:trPr>
          <w:trHeight w:val="203"/>
        </w:trPr>
        <w:tc>
          <w:tcPr>
            <w:tcW w:w="6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Income taxes</w:t>
            </w:r>
          </w:p>
        </w:tc>
        <w:tc>
          <w:tcPr>
            <w:tcW w:w="8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Acquisitions:</w:t>
            </w: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assets acquired, net of cash acquired</w:t>
            </w: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13,675</w:t>
            </w:r>
          </w:p>
        </w:tc>
        <w:tc>
          <w:tcPr>
            <w:tcW w:w="5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52,678</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97,296</w:t>
            </w:r>
          </w:p>
        </w:tc>
        <w:tc>
          <w:tcPr>
            <w:tcW w:w="100" w:type="dxa"/>
            <w:vAlign w:val="bottom"/>
            <w:shd w:val="clear" w:color="auto" w:fill="CFF0FC"/>
          </w:tcPr>
          <w:p>
            <w:pPr>
              <w:spacing w:after="0"/>
              <w:rPr>
                <w:sz w:val="17"/>
                <w:szCs w:val="17"/>
                <w:color w:val="auto"/>
              </w:rPr>
            </w:pPr>
          </w:p>
        </w:tc>
      </w:tr>
      <w:tr>
        <w:trPr>
          <w:trHeight w:val="203"/>
        </w:trPr>
        <w:tc>
          <w:tcPr>
            <w:tcW w:w="68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Working capital adjustment receivable</w:t>
            </w:r>
          </w:p>
        </w:tc>
        <w:tc>
          <w:tcPr>
            <w:tcW w:w="800" w:type="dxa"/>
            <w:vAlign w:val="bottom"/>
          </w:tcPr>
          <w:p>
            <w:pPr>
              <w:spacing w:after="0"/>
              <w:rPr>
                <w:sz w:val="17"/>
                <w:szCs w:val="17"/>
                <w:color w:val="auto"/>
              </w:rPr>
            </w:pPr>
          </w:p>
        </w:tc>
        <w:tc>
          <w:tcPr>
            <w:tcW w:w="7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(145 )</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Initial cash investment in prior year</w:t>
            </w:r>
          </w:p>
        </w:tc>
        <w:tc>
          <w:tcPr>
            <w:tcW w:w="8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(40,000 )</w:t>
            </w:r>
          </w:p>
        </w:tc>
      </w:tr>
      <w:tr>
        <w:trPr>
          <w:trHeight w:val="203"/>
        </w:trPr>
        <w:tc>
          <w:tcPr>
            <w:tcW w:w="68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Contingent consideration</w:t>
            </w:r>
          </w:p>
        </w:tc>
        <w:tc>
          <w:tcPr>
            <w:tcW w:w="8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(7,800 )</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(1,000 )</w:t>
            </w:r>
          </w:p>
        </w:tc>
      </w:tr>
      <w:tr>
        <w:trPr>
          <w:trHeight w:val="196"/>
        </w:trPr>
        <w:tc>
          <w:tcPr>
            <w:tcW w:w="680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cash paid for acquisitions</w:t>
            </w:r>
          </w:p>
        </w:tc>
        <w:tc>
          <w:tcPr>
            <w:tcW w:w="80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13,530</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45,023</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56,296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395"/>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activities:</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2"/>
        </w:trPr>
        <w:tc>
          <w:tcPr>
            <w:tcW w:w="6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Capital expenditures included in accounts payable and accrued expenses and other</w:t>
            </w:r>
          </w:p>
        </w:tc>
        <w:tc>
          <w:tcPr>
            <w:tcW w:w="8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6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liabilities</w:t>
            </w: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6,870</w:t>
            </w:r>
          </w:p>
        </w:tc>
        <w:tc>
          <w:tcPr>
            <w:tcW w:w="5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5109845</wp:posOffset>
            </wp:positionH>
            <wp:positionV relativeFrom="paragraph">
              <wp:posOffset>-671830</wp:posOffset>
            </wp:positionV>
            <wp:extent cx="93980" cy="1708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8">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-671830</wp:posOffset>
            </wp:positionV>
            <wp:extent cx="93980" cy="1708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9">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-671830</wp:posOffset>
            </wp:positionV>
            <wp:extent cx="93980" cy="1708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0">
                      <a:extLst>
                        <a:ext uri="{28A0092B-C50C-407E-A947-70E740481C1C}"/>
                      </a:extLst>
                    </a:blip>
                    <a:srcRect/>
                    <a:stretch>
                      <a:fillRect/>
                    </a:stretch>
                  </pic:blipFill>
                  <pic:spPr bwMode="auto">
                    <a:xfrm>
                      <a:off x="0" y="0"/>
                      <a:ext cx="93980" cy="17081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1" w:name="page102"/>
    <w:bookmarkEnd w:id="10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1"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Definitive Healthcare Corp. (together with its subsidiaries, “Definitive Healthcare” or the “Company”), through its operating subsidiary, Definitive OpCo, provides comprehensive and up-to-date hospital and healthcare-related information and insight across the entire healthcare continuum via a multi-tenant database platform which combines proprietary and public sources to deliver insights. Unless otherwise stated or the context otherwise indicates, references to “we”, “us”, “our”, “Definitive Healthcare”, and the “Company” refer (1) prior to the consummation of the Reorganization Transactions, to Definitive OpCo and its consolidated subsidiaries, and (2) after consummation of the Reorganization Transactions, to Definitive Healthcare Corp. and its consolidated subsidiaries.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Definitive Healthcare LLC, a subsidiary of Definitive Healthcare Holdings, LLC (“Definitive Holdco”), was founded in 2011 for the purpose of providing healthcare commercial intelligence that enables all companies that compete within or sell into the healthcare ecosystem to be more successful. AIDH TopCo, LLC (“Definitive OpCo”) is a Delaware limited liability company that was formed by investment funds affiliated with Advent International for the purposes of acquiring Definitive HoldCo. In July 2019, Definitive OpCo acquired a majority of the issued and outstanding units of Definitive HoldCo.</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May 2021, Definitive Healthcare Corp. was formed as a Delaware corporation for the purposes of facilitating an IPO and other related transactions in order to carry on the business of Definitive OpCo. Following consummation of the Reorganization Transactions, Definitive OpCo became a subsidiary of Definitive Healthcare Corp.</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headquartered in Framingham, Massachusetts.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Transactions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its initial public offering (“IPO”) in September 2021, the Company completed the following transactions (the “Reorganization Transactions”). Definitive OpCo entered into an amended and restated limited liability company agreement (the “Amended LLC Agreement”) pursuant to which members of Definitive OpCo prior to the IPO who continued to hold LLC Units following the consummation of the Reorganization Transactions acquired the right to require Definitive OpCo to redeem all or a portion of their LLC Units for newly issued shares of Class A Common Stock on a one-for-one basis. Until redeemed or exchanged, each LLC Unit is paired with one share of Definitive Healthcare Corp. Class B Common Stock. The total shares of Class B Common Stock outstanding is equal to the number of vested LLC Units outstanding, excluding LLC Units held by the Company. Unvested LLC Units are paired with Class B Common Stock, which are issued but do not have voting rights and are deemed not outstanding until the corresponding LLC Units have vested. Certain entities treated as corporations for U.S. federal income tax purposes that held LLC Units (individually, a “Blocker Company” and collectively, the “Blocker Companies”) each merged with a merger subsidiary of Definitive Healthcare Corp., and subsequently merged into Definitive Healthcare Corp. (the “Mergers”). The former shareholders of the Blocker Companies collectively received a number of shares of Class A Common Stock in the Mergers equal to the number of LLC Units held by the Blocker Companies prior to the Mergers.</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Following the Reorganization Transactions, Definitive Healthcare Corp. became a holding company, with its sole material asset being a controlling equity interest in Definitive OpCo. 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unexchanged LLC Unit holders on its consolidated financial statements.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Reorganization Transactions and the IPO, Definitive Healthcare Corp entered into a tax receivable agreement. See Note 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102" w:name="page103"/>
    <w:bookmarkEnd w:id="102"/>
    <w:p>
      <w:pPr>
        <w:ind w:left="520" w:hanging="512"/>
        <w:spacing w:after="0"/>
        <w:tabs>
          <w:tab w:leader="none" w:pos="5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(“GAAP”).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consolidated subsidiaries. All significant intercompany accounts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right="220" w:firstLine="509"/>
        <w:spacing w:after="0" w:line="277"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judgements,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reporting unit valuations used in impairment testing, and income taxes. Actual results could differ from those estimates.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derives revenue primarily from subscription license fees charged for access to the Company’s database platform, and professional services. The customer arrangements include a promise to allow customers to access a subscription license to the database platform which is hosted by the Company over the contract period, without allowing the customer to take possession of the subscription license or transfer hosting to a third party.</w:t>
      </w:r>
    </w:p>
    <w:p>
      <w:pPr>
        <w:spacing w:after="0" w:line="66" w:lineRule="exact"/>
        <w:rPr>
          <w:sz w:val="20"/>
          <w:szCs w:val="20"/>
          <w:color w:val="auto"/>
        </w:rPr>
      </w:pPr>
    </w:p>
    <w:p>
      <w:pPr>
        <w:ind w:right="240" w:firstLine="509"/>
        <w:spacing w:after="0" w:line="267" w:lineRule="auto"/>
        <w:rPr>
          <w:sz w:val="20"/>
          <w:szCs w:val="20"/>
          <w:color w:val="auto"/>
        </w:rPr>
      </w:pPr>
      <w:r>
        <w:rPr>
          <w:rFonts w:ascii="Times New Roman" w:cs="Times New Roman" w:eastAsia="Times New Roman" w:hAnsi="Times New Roman"/>
          <w:sz w:val="18"/>
          <w:szCs w:val="18"/>
          <w:color w:val="auto"/>
        </w:rPr>
        <w:t>The Company recognizes revenue in accordance with ASC 606–</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6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For revenue related to non-hosted subscription license arrangements where customers can purchase a specified quantity of data based on their selection criteria and data layout, each data record is considered a distinct performance obligation, satisfied on delivery. If the Company promises to update the initial data set at specified intervals, each update is a performance obligation, which the Company satisfies when the updated data is delivered.</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recognized at the time the services are performed.</w:t>
      </w:r>
    </w:p>
    <w:p>
      <w:pPr>
        <w:spacing w:after="0" w:line="68"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6" w:right="379" w:bottom="1440" w:gutter="0" w:footer="0" w:header="0"/>
        </w:sectPr>
      </w:pPr>
    </w:p>
    <w:bookmarkStart w:id="103" w:name="page104"/>
    <w:bookmarkEnd w:id="103"/>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Company’s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64" w:lineRule="exact"/>
        <w:rPr>
          <w:sz w:val="20"/>
          <w:szCs w:val="20"/>
          <w:color w:val="auto"/>
        </w:rPr>
      </w:pPr>
    </w:p>
    <w:p>
      <w:pPr>
        <w:ind w:left="520" w:right="2480"/>
        <w:spacing w:after="0" w:line="261" w:lineRule="auto"/>
        <w:rPr>
          <w:sz w:val="20"/>
          <w:szCs w:val="20"/>
          <w:color w:val="auto"/>
        </w:rPr>
      </w:pPr>
      <w:r>
        <w:rPr>
          <w:rFonts w:ascii="Times New Roman" w:cs="Times New Roman" w:eastAsia="Times New Roman" w:hAnsi="Times New Roman"/>
          <w:sz w:val="18"/>
          <w:szCs w:val="18"/>
          <w:color w:val="auto"/>
        </w:rPr>
        <w:t>Level 1 - Observable inputs that reflect unadjusted quoted prices in active markets for identical assets or liabilities Level 2 - Other inputs that are directly or indirectly observable in the marketplace</w:t>
      </w:r>
    </w:p>
    <w:p>
      <w:pPr>
        <w:ind w:left="52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considers all short-term, highly liquid investments with an original maturity of three months or less to be cash and cash equivalents.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80" w:firstLine="554"/>
        <w:spacing w:after="0" w:line="261" w:lineRule="auto"/>
        <w:rPr>
          <w:sz w:val="20"/>
          <w:szCs w:val="20"/>
          <w:color w:val="auto"/>
        </w:rPr>
      </w:pPr>
      <w:r>
        <w:rPr>
          <w:rFonts w:ascii="Times New Roman" w:cs="Times New Roman" w:eastAsia="Times New Roman" w:hAnsi="Times New Roman"/>
          <w:sz w:val="18"/>
          <w:szCs w:val="18"/>
          <w:color w:val="auto"/>
        </w:rPr>
        <w:t>All investments in marketable securities are classified as available-for-sale and are reported at fair value with unrealized gains and losses excluded from earnings and reported net of tax in accumulated other comprehensive income, which is a component of stockholders’ equity. Unrealized losses that are determined to be other-than-temporary, based on current and expected market conditions, are recognized in earnings. Declines in fair value determined to be credit related are charged to earnings. The cost of marketable securities sold is determined by the specific identification method.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p>
    <w:p>
      <w:pPr>
        <w:spacing w:after="0" w:line="121" w:lineRule="exact"/>
        <w:rPr>
          <w:sz w:val="20"/>
          <w:szCs w:val="20"/>
          <w:color w:val="auto"/>
        </w:rPr>
      </w:pPr>
    </w:p>
    <w:p>
      <w:pPr>
        <w:ind w:right="60" w:firstLine="509"/>
        <w:spacing w:after="0" w:line="273"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principally of cash and cash equivalents, short-term investments,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off-balance-sheet credit exposure related to its customers.</w:t>
      </w:r>
    </w:p>
    <w:p>
      <w:pPr>
        <w:spacing w:after="0" w:line="17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Concentrations of credit risk with respect to trade account receivables are limited due to the large number of customers comprising the Company’s customer base. No single customer accounted for more than 10% of total net sales or receivables in 2024, 2023 or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and Contract Assets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Accounts receivable are stated at the amount management expects to collect from outstanding balances. Allowances for estimated credit losses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December 31, 2024 and 2023, the allowance for doubtful accounts was $2.1 million and $2.3 million, respectively.</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straight-line basis over two years, which reflects the average renewal period. Renewal contracts with a term of one year or less are expensed.</w:t>
      </w:r>
    </w:p>
    <w:p>
      <w:pPr>
        <w:spacing w:after="0" w:line="18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operations. There were no impairments of these costs in the years ended December 31, 2024, 2023 or 2022.</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The assets are depreciated on a straight-line basis over the estimated useful lives as follows:</w:t>
      </w:r>
    </w:p>
    <w:p>
      <w:pPr>
        <w:sectPr>
          <w:pgSz w:w="11900" w:h="16838" w:orient="portrait"/>
          <w:cols w:equalWidth="0" w:num="1">
            <w:col w:w="11160"/>
          </w:cols>
          <w:pgMar w:left="320" w:top="1346" w:right="419" w:bottom="1440" w:gutter="0" w:footer="0" w:header="0"/>
        </w:sectPr>
      </w:pPr>
    </w:p>
    <w:p>
      <w:pPr>
        <w:spacing w:after="0" w:line="18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Furniture and equipment</w:t>
      </w:r>
    </w:p>
    <w:p>
      <w:pPr>
        <w:spacing w:after="0" w:line="2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Computers and software</w:t>
      </w:r>
    </w:p>
    <w:p>
      <w:pPr>
        <w:spacing w:after="0" w:line="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Lesser of the asset life or lease term</w:t>
      </w:r>
    </w:p>
    <w:p>
      <w:pPr>
        <w:spacing w:after="0" w:line="200" w:lineRule="exact"/>
        <w:rPr>
          <w:sz w:val="20"/>
          <w:szCs w:val="20"/>
          <w:color w:val="auto"/>
        </w:rPr>
      </w:pPr>
    </w:p>
    <w:p>
      <w:pPr>
        <w:sectPr>
          <w:pgSz w:w="11900" w:h="16838" w:orient="portrait"/>
          <w:cols w:equalWidth="0" w:num="2">
            <w:col w:w="4760" w:space="720"/>
            <w:col w:w="5680"/>
          </w:cols>
          <w:pgMar w:left="320" w:top="1346" w:right="419" w:bottom="1440" w:gutter="0" w:footer="0" w:header="0"/>
          <w:type w:val="continuous"/>
        </w:sectPr>
      </w:pPr>
    </w:p>
    <w:p>
      <w:pPr>
        <w:spacing w:after="0" w:line="1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Upon retirement or sale, the cost of assets disposed and the related accumulated depreciation are removed from the accounts and any resulting gain or loss is recognized as gain or loss on disposal of assets in the consolidated statements of operations. Major replacements and improvements are capitalized, while general repairs and maintenance are charged to expense as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at the inception of the contract, determines whether a contract is or contains a lease. For leases with terms greater than 12 months, the Company records the related operating or finance right of use asset and lease liability at the present value of lease payments over the lease term. The Company is generally not able to readily determine the implicit rate in the lease and therefore uses the determined incremental borrowing rate at lease commencement to determine the present value of lease payments. The incremental borrowing rate represents an estimate of the market interest rate the Company would incur at lease commencement to borrow an amount equal to the lease payments on a collateralized basis over the term of a lease. Renewal options are not included in the measurement of the right of use assets and lease liabilities unless the Company is reasonably certain to exercise the optional renewal periods. Some leases also include early termination options, which can be exercised under specific conditions. Additionally, certain leases contain incentives, such as construction allowances from landlords. These incentives reduce the right-of-use asset related to the lease.</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Some of the Company’s leases contain rent escalations over the lease term. The Company recognizes expense for operating leases on a straight-line basis over the lease term. The Company’s lease agreements contain variable lease payments for common area maintenance, utility, and taxes. The Company has elected the practical expedient to combine lease and non-lease components for all asset categories. Therefore, the lease payments used to measure the lease liability for these leases include fixed minimum rentals along with fixed non-lease component charges. The Company does not have significant residual value guarantees or restrictive covenants in the lease portfolio.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The Company measures the credit risk of its derivative financial instruments that are subject to master netting agreements on a net basis by counterparty portfolio.</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Promotional Expenses</w:t>
      </w:r>
    </w:p>
    <w:p>
      <w:pPr>
        <w:spacing w:after="0" w:line="119" w:lineRule="exact"/>
        <w:rPr>
          <w:sz w:val="20"/>
          <w:szCs w:val="20"/>
          <w:color w:val="auto"/>
        </w:rPr>
      </w:pPr>
    </w:p>
    <w:p>
      <w:pPr>
        <w:ind w:right="200" w:firstLine="509"/>
        <w:spacing w:after="0" w:line="267" w:lineRule="auto"/>
        <w:rPr>
          <w:sz w:val="20"/>
          <w:szCs w:val="20"/>
          <w:color w:val="auto"/>
        </w:rPr>
      </w:pPr>
      <w:r>
        <w:rPr>
          <w:rFonts w:ascii="Times New Roman" w:cs="Times New Roman" w:eastAsia="Times New Roman" w:hAnsi="Times New Roman"/>
          <w:sz w:val="18"/>
          <w:szCs w:val="18"/>
          <w:color w:val="auto"/>
        </w:rPr>
        <w:t>The Company expenses advertising costs as incurred in accordance with ASC 720—</w:t>
      </w:r>
      <w:r>
        <w:rPr>
          <w:rFonts w:ascii="Times New Roman" w:cs="Times New Roman" w:eastAsia="Times New Roman" w:hAnsi="Times New Roman"/>
          <w:sz w:val="18"/>
          <w:szCs w:val="18"/>
          <w:i w:val="1"/>
          <w:iCs w:val="1"/>
          <w:color w:val="auto"/>
        </w:rPr>
        <w:t>Other Expenses – Advertising Cost</w:t>
      </w:r>
      <w:r>
        <w:rPr>
          <w:rFonts w:ascii="Times New Roman" w:cs="Times New Roman" w:eastAsia="Times New Roman" w:hAnsi="Times New Roman"/>
          <w:sz w:val="18"/>
          <w:szCs w:val="18"/>
          <w:color w:val="auto"/>
        </w:rPr>
        <w:t>. Advertising expenses of $1.9 million, $1.6 million, and $1.6 million for the years ended December 31, 2024, 2023 and 2022, respectively, are included in sales and marketing expenses on the consolidated statements of operations.</w:t>
      </w:r>
    </w:p>
    <w:p>
      <w:pPr>
        <w:spacing w:after="0" w:line="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46" w:right="41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1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its software development costs in accordance with the guidance set forth in ASC 350-40—</w:t>
      </w:r>
      <w:r>
        <w:rPr>
          <w:rFonts w:ascii="Times New Roman" w:cs="Times New Roman" w:eastAsia="Times New Roman" w:hAnsi="Times New Roman"/>
          <w:sz w:val="18"/>
          <w:szCs w:val="18"/>
          <w:i w:val="1"/>
          <w:iCs w:val="1"/>
          <w:color w:val="auto"/>
        </w:rPr>
        <w:t>Intangibles – 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 Internal Use Software. </w:t>
      </w:r>
      <w:r>
        <w:rPr>
          <w:rFonts w:ascii="Times New Roman" w:cs="Times New Roman" w:eastAsia="Times New Roman" w:hAnsi="Times New Roman"/>
          <w:sz w:val="18"/>
          <w:szCs w:val="18"/>
          <w:color w:val="auto"/>
        </w:rPr>
        <w:t>The Company capitalizes costs to develop software for internal use incurred during the application development stage.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related to preliminary project activities and post implementation activities are expensed as incurred. Capitalized costs of $2.3 million and $1.6 million as of December 31, 2024 and 2023, respectively, are included in property and equipment, net.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using the acquisition method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8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combination of an income and market approach. The income approach utilizes a projected discounted cash flow model that includes significant assumptions and estimates, including the discount rate, growth rate, and future financial performance. The market approach utilizes the Company’s market capitalization plus an appropriate control premium. Market capitalization is determined by multiplying the number of shares of Class A Common Stock outstanding by the market price of the Company’s Class A Common Stock. The control premium is determined by utilizing data from publicly available premium studies for similarly situated public company transactions. If the carrying value of the reporting unit exceeds the fair value, then a goodwill impairment loss is recognized for the difference. The Company performs its annual impairment assessment in the first month of the fourth quarter of each calendar year.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07" w:name="page108"/>
    <w:bookmarkEnd w:id="107"/>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07"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4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w w:val="99"/>
              </w:rPr>
              <w:t>14 – 20 years</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7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 years</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Tradenames / trademark</w:t>
            </w:r>
          </w:p>
        </w:tc>
        <w:tc>
          <w:tcPr>
            <w:tcW w:w="17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19 years</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Data</w:t>
            </w:r>
          </w:p>
        </w:tc>
        <w:tc>
          <w:tcPr>
            <w:tcW w:w="264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9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Recently, the Company has experienced declines in its market capitalization as a result of sustained decreases in its stock price, which represented triggering events requiring the Company’s management to perform quantitative goodwill impairment tests. As a result of each impairment test, the Company determined that the fair value of its single reporting unit was lower than its carrying value and, accordingly, recorded non-cash, pre-tax, goodwill impairment charges of $688.9 million and $287.4 million during the years ended December 31, 2024 and 2023, respectively. The goodwill impairment charges did not affect the Company’s liquidity or the financial covenants in our outstanding debt agreement.</w:t>
      </w:r>
    </w:p>
    <w:p>
      <w:pPr>
        <w:spacing w:after="0" w:line="181" w:lineRule="exact"/>
        <w:rPr>
          <w:sz w:val="20"/>
          <w:szCs w:val="20"/>
          <w:color w:val="auto"/>
        </w:rPr>
      </w:pPr>
    </w:p>
    <w:p>
      <w:pPr>
        <w:ind w:firstLine="509"/>
        <w:spacing w:after="0" w:line="315" w:lineRule="auto"/>
        <w:rPr>
          <w:sz w:val="20"/>
          <w:szCs w:val="20"/>
          <w:color w:val="auto"/>
        </w:rPr>
      </w:pPr>
      <w:r>
        <w:rPr>
          <w:rFonts w:ascii="Times New Roman" w:cs="Times New Roman" w:eastAsia="Times New Roman" w:hAnsi="Times New Roman"/>
          <w:sz w:val="18"/>
          <w:szCs w:val="18"/>
          <w:color w:val="auto"/>
        </w:rPr>
        <w:t xml:space="preserve">The Company will continue to monitor for potential impairment should impairment indicators arise. Refer to Note 9.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for further details.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long term liabilities as deferred revenue on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December 31, 2024 and 2023, the Company had $0.9 million and $1.5 million, respectively, of unamortized deferred financing costs related to its non-revolving credit facilities, and $0.3 million and $0.4 million, respectively, of unamortized deferred financing costs related to its revolving credit facility.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Tax</w:t>
      </w:r>
    </w:p>
    <w:p>
      <w:pPr>
        <w:spacing w:after="0" w:line="12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 Any amounts payable, inclusive of interest and penalties, to taxation authorities in which the Company did not charge the customer for sales taxes is recorded within general and administrative expenses in the consolidated statements of operations and is included in accrued expenses and other current liabilities in the consolidated balance sheets.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Definitive OpCo is taxed as a partnership. For federal and state income tax purposes, income, losses, and other tax attributes not generated by AW and its wholly owned U.S. and foreign subsidiaries generally pass through to the Definitive OpCo members’ individual income tax returns. Additionally, Definitive OpCo may be subject to certain taxes on behalf of its members in certain states.</w:t>
      </w:r>
    </w:p>
    <w:p>
      <w:pPr>
        <w:spacing w:after="0" w:line="68"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AW and its wholly owned U.S. and foreign subsidiaries are taxed as corporations. Accordingly, AW accounts for income taxes by recognizing tax assets and liabilities for the cumulative effect of all the temporary differences between financial statement carrying amounts and the tax basis of assets and liabilities. Deferred taxes for AW are determined using enacted federal, state, or foreign income tax rates in effect in the year in which the differences are expected to reverse.</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Definitive Healthcare Corp. is subject to U.S. federal, state and local income taxes with respect to its allocable share of any taxable income of Definitive OpCo and will be taxed at the prevailing corporate tax rates. In addition to tax expenses, Definitive Healthcare Corp. will also make payments under the Tax Receivable Agreement, which the Company expects to be significant. The Company anticipates that it will account for the income tax effects and corresponding Tax Receivable Agreement’s effects resulting from future redemptions or exchanges of LLC Units by recognizing an increase in Definitive Healthcare Corp.’s deferred tax assets, based on enacted tax rates at the date of the purchase or exchange.</w:t>
      </w:r>
    </w:p>
    <w:p>
      <w:pPr>
        <w:spacing w:after="0" w:line="7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Further, the Company accounts for amounts payable under the Tax Receivable Agreement in accordance with ASC 450—</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amounts to be recorded for both the deferred tax assets and the liability for the Company’s obligations under the Tax Receivable Agreement will be estimated at the time of any purchase or exchange as a reduction to shareholders’ equity, and the effects of changes in any of the Company’s estimates after this date will be included in net income or loss. Similarly, the effect of subsequent changes in the enacted tax rates will be included in net income or loss.</w:t>
      </w:r>
    </w:p>
    <w:p>
      <w:pPr>
        <w:spacing w:after="0" w:line="7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assessing the realizability of deferred tax assets of the Company and its subsidiaries, management considers the weight of available evidence and whether it is more likely than not that some or all of the deferred tax assets will be realized; when necessary, a valuation allowance is established.</w:t>
      </w:r>
    </w:p>
    <w:p>
      <w:pPr>
        <w:spacing w:after="0" w:line="5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Under the provisions of ASC 740—</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2024, 2023 and 2022, the Company did not have any uncertain tax positions.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income or loss per share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Basic net income or loss per share is computed by dividing the net income or loss by the weighted-average number of common shares of the Company outstanding during the period. Diluted net income or loss per share is computed by giving effect to all potential shares, including exchangeable Definitive OpCo LLC Units and restricted stock units, to the extent dilutive. The Company uses the treasury stock method to calculate potentially dilutive shares, as if they were converted into Common Stock at the beginning of the period. Basic and diluted net income or loss per share was the same for the periods presented as the inclusion of all potential shares outstanding would have been anti-dilutive. See Note 20. </w:t>
      </w:r>
      <w:r>
        <w:rPr>
          <w:rFonts w:ascii="Times New Roman" w:cs="Times New Roman" w:eastAsia="Times New Roman" w:hAnsi="Times New Roman"/>
          <w:sz w:val="18"/>
          <w:szCs w:val="18"/>
          <w:i w:val="1"/>
          <w:iCs w:val="1"/>
          <w:color w:val="auto"/>
        </w:rPr>
        <w:t>Loss Per Share</w:t>
      </w:r>
      <w:r>
        <w:rPr>
          <w:rFonts w:ascii="Times New Roman" w:cs="Times New Roman" w:eastAsia="Times New Roman" w:hAnsi="Times New Roman"/>
          <w:sz w:val="18"/>
          <w:szCs w:val="18"/>
          <w:color w:val="auto"/>
        </w:rPr>
        <w:t xml:space="preserve"> for additional information on dilutive securities.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Equity instruments issued in exchange for services performed by officers, employees, consultants, and directors of the Company are accounted for using a fair-value based method, and the fair value of such equity instruments is recognized as expense in the consolidated statements of operations. The Company has issued restricted stock units (“RSUs”), the fair values of which are determined by the closing stock price on the date of grant, and prior to the IPO, issued profit interest units (“PIUs”) to certain employees and officers with a return threshold that was set based on the fair value of the Company.</w:t>
      </w:r>
    </w:p>
    <w:p>
      <w:pPr>
        <w:spacing w:after="0" w:line="7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For PIUs, fair value was determined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required the Company to make estimates and assumptions, such as expected volatility, expected term and expected risk-free interest rate.</w:t>
      </w:r>
    </w:p>
    <w:p>
      <w:pPr>
        <w:spacing w:after="0" w:line="79"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Equity-based compensation expense is measured at the grant date fair value of the stock-based awards and is recognized as expense on a straight-line basis over the requisite service periods, which is generally the vesting period of the respective award. The Company estimates the fair value of each stock-based award on its measurement date using either the current market price of the stock or the Monte Carlo Simulation valuation model. The Monte Carlo Simulation valuation models incorporate assumptions as to stock price volatility, the expected life of options or awards, a risk-free interest rate and dividend yield.</w:t>
      </w:r>
    </w:p>
    <w:p>
      <w:pPr>
        <w:spacing w:after="0" w:line="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Expense for performance restricted stock units with market-based vesting criteria is recognized based upon the fair value of the awards on the date of grant and the number of shares expected to vest based on the terms of the underlying award agreement and the requisite service periods.</w:t>
      </w:r>
    </w:p>
    <w:p>
      <w:pPr>
        <w:spacing w:after="0" w:line="5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For units and shares which had a performance conditions not tied to market-based criteria, we recognized compensation expense based on the Company’s assessment of the probability that the performance condition(s) would be achieved. Any related compensation expense was recognized when the probability of the event was likely and performance criteria were met. Forfeitures are recognized as they occur.</w:t>
      </w:r>
    </w:p>
    <w:p>
      <w:pPr>
        <w:spacing w:after="0" w:line="6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equity-based compensation expense in its consolidated statements of operations in the same manner in which the award recipient’s salary and related costs are classified.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Recently Issued Financial Accounting Standards</w:t>
      </w:r>
    </w:p>
    <w:p>
      <w:pPr>
        <w:spacing w:after="0" w:line="119"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No.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 (“ASU 2023-07”)</w:t>
      </w:r>
      <w:r>
        <w:rPr>
          <w:rFonts w:ascii="Times New Roman" w:cs="Times New Roman" w:eastAsia="Times New Roman" w:hAnsi="Times New Roman"/>
          <w:sz w:val="18"/>
          <w:szCs w:val="18"/>
          <w:color w:val="auto"/>
        </w:rPr>
        <w:t>, which expands annual and interim disclosure requirements for reportable segments, primarily through enhanced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about significant segment expenses. These disclosures are required for entities with a single reportable segment. ASU 2023-07 is effective for annual filings for the Company’s fiscal year beginning January 1, 2024, and interim filings for the fiscal year beginning January 1, 2025, and should be applied on a retrospective basis to all periods presented. The Company has adopted the guidance retrospectively, with comparative period segment disclosures adjusted to reflect the change in accounting guidance, as applicable.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2023-09, </w:t>
      </w:r>
      <w:r>
        <w:rPr>
          <w:rFonts w:ascii="Times New Roman" w:cs="Times New Roman" w:eastAsia="Times New Roman" w:hAnsi="Times New Roman"/>
          <w:sz w:val="18"/>
          <w:szCs w:val="18"/>
          <w:i w:val="1"/>
          <w:iCs w:val="1"/>
          <w:color w:val="auto"/>
        </w:rPr>
        <w:t>Improvements to Income Tax Disclosures, (“ASU 2023-09”)</w:t>
      </w:r>
      <w:r>
        <w:rPr>
          <w:rFonts w:ascii="Times New Roman" w:cs="Times New Roman" w:eastAsia="Times New Roman" w:hAnsi="Times New Roman"/>
          <w:sz w:val="18"/>
          <w:szCs w:val="18"/>
          <w:color w:val="auto"/>
        </w:rPr>
        <w:t>, which is effective for annual periods beginning after December 15, 2024. ASU 2023-09 intends to enhance the transparency as well as usefulness of income tax disclosures, primarily related to the rate reconciliation and income taxes paid. The Company is currently assessing the impact that adoption of this new accounting guidance will have on its consolidated financial statements and footnote disclosures.</w:t>
      </w:r>
    </w:p>
    <w:p>
      <w:pPr>
        <w:spacing w:after="0" w:line="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6" w:right="379" w:bottom="1440" w:gutter="0" w:footer="0" w:header="0"/>
        </w:sectPr>
      </w:pPr>
    </w:p>
    <w:bookmarkStart w:id="110" w:name="page111"/>
    <w:bookmarkEnd w:id="110"/>
    <w:p>
      <w:pPr>
        <w:ind w:left="520" w:hanging="512"/>
        <w:spacing w:after="0"/>
        <w:tabs>
          <w:tab w:leader="none" w:pos="5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Carevoyance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January 16, 2024, the Company completed the purchase of assets comprising the Carevoyance business line of H1 Insights, Inc. (“Carevoyance”), a product that helps medical technology (“MedTech”) customers to improve segmentation, targeting, and prospect engagement, for $13.7 million in cash consideration. The Carevoyance assets meet the definition of a business and accordingly, the Company has accounted for the Carevoyance transaction under the acquisition method. The assets acquired and liabilities assumed were recorded at their estimated fair values and the results of operations were included in the Company’s consolidated results prospectively from the acquisition date.</w:t>
      </w:r>
    </w:p>
    <w:p>
      <w:pPr>
        <w:spacing w:after="0" w:line="7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finalized the purchase price allocations of the Carevoyance acquisition during the fourth quarter of 2024. Acquisition-date fair values of assets and liabilities pertaining to this business combination have been allocated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0" w:type="dxa"/>
            <w:vAlign w:val="bottom"/>
          </w:tcPr>
          <w:p>
            <w:pPr>
              <w:spacing w:after="0"/>
              <w:rPr>
                <w:sz w:val="14"/>
                <w:szCs w:val="14"/>
                <w:color w:val="auto"/>
              </w:rPr>
            </w:pPr>
          </w:p>
        </w:tc>
        <w:tc>
          <w:tcPr>
            <w:tcW w:w="2060" w:type="dxa"/>
            <w:vAlign w:val="bottom"/>
            <w:gridSpan w:val="2"/>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0" w:type="dxa"/>
            <w:vAlign w:val="bottom"/>
          </w:tcPr>
          <w:p>
            <w:pPr>
              <w:spacing w:after="0"/>
              <w:rPr>
                <w:sz w:val="1"/>
                <w:szCs w:val="1"/>
                <w:color w:val="auto"/>
              </w:rPr>
            </w:pPr>
          </w:p>
        </w:tc>
      </w:tr>
      <w:tr>
        <w:trPr>
          <w:trHeight w:val="160"/>
        </w:trPr>
        <w:tc>
          <w:tcPr>
            <w:tcW w:w="872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460" w:type="dxa"/>
            <w:vAlign w:val="bottom"/>
          </w:tcPr>
          <w:p>
            <w:pPr>
              <w:spacing w:after="0"/>
              <w:rPr>
                <w:sz w:val="13"/>
                <w:szCs w:val="13"/>
                <w:color w:val="auto"/>
              </w:rPr>
            </w:pPr>
          </w:p>
        </w:tc>
        <w:tc>
          <w:tcPr>
            <w:tcW w:w="2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4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6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(987 )</w:t>
            </w: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acquired and liabilities assumed</w:t>
            </w:r>
          </w:p>
        </w:tc>
        <w:tc>
          <w:tcPr>
            <w:tcW w:w="46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 price</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Carevoyance acquisition, the Company recorded goodwill, developed technology, customer relationships, and tradename of $7.1 million, $6.8 million, $0.2 million, and $0.1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deductible for tax purposes. All goodwill has been allocated to the Company’s single reporting unit.</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developed technology represents Carevoyance’s proprietary solutions that are designed to assist MedTech customers with improving segmentation, targeting, and prospect engagement. The Company used the income approach, specifically the multi-period excess earnings method, to determine the value of developed technology. Significant assumptions include an obsolescence factor, tax rate, and discount rate. The developed technology was valued at $6.8 million and is amortized using the economic value method, which represents the pattern of cash flows over the estimated 7-year life of this asset.</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$0.2 million and is amortized using the straight-line method over the estimated remaining useful life of 5 years.</w:t>
      </w:r>
    </w:p>
    <w:p>
      <w:pPr>
        <w:spacing w:after="0" w:line="72"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tradename represents the estimated fair value of the registered trade name associated with the Carevoyance corporate brand. The Company estimated the fair value of the trademark using a relief from royalty method of the income approach. Significant assumptions include forecast of royalty rate, tax rate, and discount rate. The trademark was valued at $0.1 million and is amortized using the straight-line method over the estimated remaining useful life of 2 years.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total, intangible assets acquired in the Carevoyance acquisition are estimated to be amortized over a weighted average of 6.9 years. See Note 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for the estimated total intangible amortization expense during the next five years and thereafter.</w:t>
      </w:r>
    </w:p>
    <w:p>
      <w:pPr>
        <w:spacing w:after="0" w:line="9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Pro forma results of operation for this acquisition have not been presented because the effects were not material to the Company’s consolidated financial results.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i w:val="1"/>
          <w:iCs w:val="1"/>
          <w:color w:val="auto"/>
        </w:rPr>
        <w:t>Populi, Inc.</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July 21, 2023, the Company completed the acquisition of Populi, Inc. (“Populi”), a provider-focused data and analytics company that works with healthcare organizations to optimize physician relationships, reduce network leakage, and expand market share, for total consideration of $54.1 million, consisting of approximately $46.4 million of cash paid at closing, $0.1 reimbursement from sellers for working capital adjustments, and up to $28.0 million of contingent consideration, with an initial estimated fair value of $7.8 million. The contingent consideration relates to earn-out payments that may be paid subject to meeting certain revenue metrics during calendar years 2024 and 2025. In addition to the purchase consideration and pursuant to holdback agreements with certain key Populi employees, the Company agreed to pay $4.8 million to certain key Populi employees in quarterly installments beginning on December 31, 2023, and continuing through September 30, 2025. The payout of the holdback is subject to continued employment, and therefore recognized as compensation expense over the requisite service period as a component of transaction, integration and restructuring expenses in the accompanying consolidated statements of operations. The assets acquired and liabilities assumed were recorded at their estimated fair values and the results of operations were included in the Company’s consolidated results as of the acquisition date.</w:t>
      </w:r>
    </w:p>
    <w:p>
      <w:pPr>
        <w:sectPr>
          <w:pgSz w:w="11900" w:h="16838" w:orient="portrait"/>
          <w:cols w:equalWidth="0" w:num="1">
            <w:col w:w="11240"/>
          </w:cols>
          <w:pgMar w:left="320" w:top="1238" w:right="339" w:bottom="1440" w:gutter="0" w:footer="0" w:header="0"/>
        </w:sectPr>
      </w:pP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consideration transferred for the transaction is summarized as follows:</w:t>
      </w:r>
    </w:p>
    <w:p>
      <w:pPr>
        <w:spacing w:after="0" w:line="3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5700395"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Cash consideration paid at closing</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Working capital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454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4">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Purchase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973" w:hanging="973"/>
        <w:spacing w:after="0"/>
        <w:tabs>
          <w:tab w:leader="none" w:pos="9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46,446</w:t>
      </w:r>
    </w:p>
    <w:p>
      <w:pPr>
        <w:spacing w:after="0" w:line="27" w:lineRule="exact"/>
        <w:rPr>
          <w:rFonts w:ascii="Times New Roman" w:cs="Times New Roman" w:eastAsia="Times New Roman" w:hAnsi="Times New Roman"/>
          <w:sz w:val="18"/>
          <w:szCs w:val="18"/>
          <w:color w:val="auto"/>
        </w:rPr>
      </w:pPr>
    </w:p>
    <w:p>
      <w:pPr>
        <w:ind w:left="113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(145 )</w:t>
      </w:r>
    </w:p>
    <w:p>
      <w:pPr>
        <w:spacing w:after="0" w:line="21" w:lineRule="exact"/>
        <w:rPr>
          <w:sz w:val="20"/>
          <w:szCs w:val="20"/>
          <w:color w:val="auto"/>
        </w:rPr>
      </w:pPr>
    </w:p>
    <w:p>
      <w:pPr>
        <w:ind w:left="1053"/>
        <w:spacing w:after="0"/>
        <w:rPr>
          <w:sz w:val="20"/>
          <w:szCs w:val="20"/>
          <w:color w:val="auto"/>
        </w:rPr>
      </w:pPr>
      <w:r>
        <w:rPr>
          <w:rFonts w:ascii="Times New Roman" w:cs="Times New Roman" w:eastAsia="Times New Roman" w:hAnsi="Times New Roman"/>
          <w:sz w:val="18"/>
          <w:szCs w:val="18"/>
          <w:color w:val="auto"/>
        </w:rPr>
        <w:t>7,800</w:t>
      </w:r>
    </w:p>
    <w:p>
      <w:pPr>
        <w:spacing w:after="0" w:line="9" w:lineRule="exact"/>
        <w:rPr>
          <w:sz w:val="20"/>
          <w:szCs w:val="20"/>
          <w:color w:val="auto"/>
        </w:rPr>
      </w:pPr>
    </w:p>
    <w:p>
      <w:pPr>
        <w:ind w:left="973" w:hanging="973"/>
        <w:spacing w:after="0"/>
        <w:tabs>
          <w:tab w:leader="none" w:pos="97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94297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5">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wp:posOffset>
            </wp:positionV>
            <wp:extent cx="94297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6">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7827" w:space="720"/>
            <w:col w:w="2693"/>
          </w:cols>
          <w:pgMar w:left="320" w:top="1238" w:right="339" w:bottom="1440" w:gutter="0" w:footer="0" w:header="0"/>
          <w:type w:val="continuous"/>
        </w:sectPr>
      </w:pPr>
    </w:p>
    <w:p>
      <w:pPr>
        <w:spacing w:after="0" w:line="5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contingent consideration is based on the achievement of certain revenue metrics during the two-year period following the acquisition date, with potential earn-out payouts ranging from $0 to $28.0 million. The Company estimated the fair value of the contingent consideration to be $7.8 million as of July 21, 2023, based on the estimated achievement of the revenue metrics and time to payment. The contingent consideration was recorded in other liabilities in the accompanying consolidated balance sheets as of December 31, 2024. Refer to Note 12.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finalized the purchase price allocations of the Populi acquisition during the first quarter of 2024. Acquisition-date fair values of assets and liabilities pertaining to this business combination have been allocated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16"/>
                <w:szCs w:val="16"/>
                <w:color w:val="auto"/>
              </w:rPr>
            </w:pPr>
          </w:p>
        </w:tc>
        <w:tc>
          <w:tcPr>
            <w:tcW w:w="16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Preliminary, as</w:t>
            </w:r>
          </w:p>
        </w:tc>
        <w:tc>
          <w:tcPr>
            <w:tcW w:w="100" w:type="dxa"/>
            <w:vAlign w:val="bottom"/>
          </w:tcPr>
          <w:p>
            <w:pPr>
              <w:spacing w:after="0"/>
              <w:rPr>
                <w:sz w:val="16"/>
                <w:szCs w:val="16"/>
                <w:color w:val="auto"/>
              </w:rPr>
            </w:pPr>
          </w:p>
        </w:tc>
        <w:tc>
          <w:tcPr>
            <w:tcW w:w="17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5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originally reported</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(500 )</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(3,316 )</w:t>
            </w:r>
          </w:p>
        </w:tc>
        <w:tc>
          <w:tcPr>
            <w:tcW w:w="10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(3,316 )</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(4,010 )</w:t>
            </w:r>
          </w:p>
        </w:tc>
        <w:tc>
          <w:tcPr>
            <w:tcW w:w="1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(4,010 )</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(2,354 )</w:t>
            </w:r>
          </w:p>
        </w:tc>
        <w:tc>
          <w:tcPr>
            <w:tcW w:w="10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(576 )</w:t>
            </w:r>
          </w:p>
        </w:tc>
        <w:tc>
          <w:tcPr>
            <w:tcW w:w="2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(2,930 )</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 acquired and liabilities assumed</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(1,076 )</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36,652</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Purchase price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54,082</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54,101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Populi acquisition, the Company recorded goodwill, developed software, customer relationships, and tradename of $37.7 million, $21.4 million, $0.8 million, and $0.1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single reporting unit.</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developed software represents Populi’s proprietary solutions that are designed to assist organizations in optimizing physician relationships, reducing network leakage, and expanding market share. The Company used the income approach, specifically the multi-period excess earnings method, to determine the value of developed software. Significant assumptions include an obsolescence factor, tax rate, and discount rate. The developed software was valued at $21.4 million and is amortized using the economic value method, which represents the pattern of cash flows over the estimated 7-year life of this asset.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type w:val="continuous"/>
        </w:sectPr>
      </w:pPr>
    </w:p>
    <w:bookmarkStart w:id="112" w:name="page113"/>
    <w:bookmarkEnd w:id="112"/>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$0.8 million and is amortized using the straight-line method over the estimated remaining useful life of 15 years.</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tradename represents the estimated fair value of the registered trade name associated with the Populi corporate brand. The Company estimated the fair value of the trademark using a relief from royalty method of the income approach. Significant assumptions include forecast of royalty rate, tax rate, and discount rate. The trademark was valued at $0.1 million and is amortized using the straight-line method over the estimated remaining useful life of 1 year.</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total, intangible assets acquired in the Populi acquisition are estimated to be amortized over a weighted average period of 7.2 years. See Note 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for the estimated total intangible amortization expense during the next five years and thereafter.</w:t>
      </w:r>
    </w:p>
    <w:p>
      <w:pPr>
        <w:spacing w:after="0" w:line="9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the Company recognized acquisition related costs of $2.3 million and $5.1 million, which were recorded within transaction, integration, and restructuring expenses in the accompanying consolidated statements of operations for the years ended December 31, 2024 and 2023, respectively.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Unaudited Pro Forma Supplementary Data as if the transaction had occurred on January 1, 2022:</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6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1"/>
        </w:trPr>
        <w:tc>
          <w:tcPr>
            <w:tcW w:w="6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20"/>
                <w:szCs w:val="20"/>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(294,232 )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These pro forma results have been prepared for comparative purposes only and do not purport to be indicative of the operating results of the Company that would have been achieved had the acquisition actually taken place on January 1, 2022.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Analytical Wizards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December 22, 2021, Definitive Healthcare, LLC (“DH, LLC”), an indirect wholly owned subsidiary of Definitive Healthcare Corp. made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million investment in Analytical Wizards Inc. (“AW” or “Analytical Wizards”), a privately held company. Analytical Wizards automates complex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analytic models using tools that expedite efficient big data mining through A.I. to uncover deep insights. In the transaction the Company purchased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Convertible Preferred Stock of AW (“Series B Preferred Stock”), representing 35% ownership of AW, and an option to acquire the remaining 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(the “Purchase Option”) for $65.0 million. As of December 31, 2021, the Company determined it did not have a controlling financial interest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 at transaction close as the Company did not have the right to control the governing body of AW or have control through other contractual rights.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because the Series B Preferred Stock and the Purchase Option did not have readily determinable fair values, the Company elected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 the measurement alternative and adjust the carrying value of the investments in AW for impairments and observable prices in identical or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securities of AW. The Company paid $40.0 million for the Series B Preferred Stock and Purchase Option, which was allocated on a relative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basis such that the Series B Preferred Stock and Purchase Option had carrying values of $32.7 million and $7.3 million at the time of the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9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February 2022, the Company completed the purchase of the remaining 65% of AW’s equity for $65.0 million, net of cash acquired and an estimated working capital adjustment and other customary purchase price adjustments (the “AW acquisition”). The Company’s previously held investment and Purchase Option were remeasured at fair value as of the date the Purchase Option was exercised. The remeasurement had an immaterial impact on the consolidated statements of operations for the three months ended March 31, 2022. The Company has included the financial results of Analytical Wizards in the consolidated financial statements from February 18, 2022, the date of acquisition.</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Upon the consummation of the acquisition, AW became an indirect wholly owned subsidiary of Definitive Healthcare Corp. The total consideration for the initial investment and subsequent exercise of the Purchase Option was $99.4 million, consisting of $40.0 million for the initial investment paid in December 2021, approximately $58.6 million of cash paid at closing, $0.2 million reimbursement from sellers for working capital adjustments, and up to $5.0 million of contingent consideration, initially valued at $1.0 million. The contingent consideration, which relates to earn-out payments that may be paid out, subject to meeting certain expense control metrics during the two-year period following the closing of the AW</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13" w:name="page114"/>
    <w:bookmarkEnd w:id="113"/>
    <w:p>
      <w:pPr>
        <w:ind w:right="20"/>
        <w:spacing w:after="0" w:line="261" w:lineRule="auto"/>
        <w:rPr>
          <w:sz w:val="20"/>
          <w:szCs w:val="20"/>
          <w:color w:val="auto"/>
        </w:rPr>
      </w:pPr>
      <w:r>
        <w:rPr>
          <w:rFonts w:ascii="Times New Roman" w:cs="Times New Roman" w:eastAsia="Times New Roman" w:hAnsi="Times New Roman"/>
          <w:sz w:val="18"/>
          <w:szCs w:val="18"/>
          <w:color w:val="auto"/>
        </w:rPr>
        <w:t>acquisition, had an estimated fair value of $1.0 million as of the acquisition date. Pursuant to the Stock Purchase Agreement governing the AW acquisition, $10.0 million of the consideration was deposited into an escrow account to secure certain indemnification claims of DH, LLC. The assets acquired and liabilities assumed were recorded at their estimated fair values and the results of operations were included in the Company’s consolidated results as of the acquisition date.</w:t>
      </w:r>
    </w:p>
    <w:p>
      <w:pPr>
        <w:sectPr>
          <w:pgSz w:w="11900" w:h="16838" w:orient="portrait"/>
          <w:cols w:equalWidth="0" w:num="1">
            <w:col w:w="11220"/>
          </w:cols>
          <w:pgMar w:left="320" w:top="1134" w:right="359" w:bottom="1440" w:gutter="0" w:footer="0" w:header="0"/>
        </w:sectPr>
      </w:pP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consideration transferred for the transaction is summarized as follows:</w:t>
      </w:r>
    </w:p>
    <w:p>
      <w:pPr>
        <w:spacing w:after="0" w:line="3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8890</wp:posOffset>
            </wp:positionV>
            <wp:extent cx="641223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8"/>
          <w:szCs w:val="18"/>
          <w:color w:val="auto"/>
        </w:rPr>
        <w:t>Initial cash investment in December 2021</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Cash consideration paid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8"/>
          <w:szCs w:val="18"/>
          <w:color w:val="auto"/>
        </w:rPr>
        <w:t>Working capital adjustment</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631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7">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54" w:hanging="1054"/>
        <w:spacing w:after="0"/>
        <w:tabs>
          <w:tab w:leader="none" w:pos="10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w:t>
      </w:r>
    </w:p>
    <w:p>
      <w:pPr>
        <w:spacing w:after="0" w:line="27" w:lineRule="exact"/>
        <w:rPr>
          <w:rFonts w:ascii="Times New Roman" w:cs="Times New Roman" w:eastAsia="Times New Roman" w:hAnsi="Times New Roman"/>
          <w:sz w:val="18"/>
          <w:szCs w:val="18"/>
          <w:color w:val="auto"/>
        </w:rPr>
      </w:pPr>
    </w:p>
    <w:p>
      <w:pPr>
        <w:ind w:left="105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58,645</w:t>
      </w:r>
    </w:p>
    <w:p>
      <w:pPr>
        <w:spacing w:after="0" w:line="9" w:lineRule="exact"/>
        <w:rPr>
          <w:rFonts w:ascii="Times New Roman" w:cs="Times New Roman" w:eastAsia="Times New Roman" w:hAnsi="Times New Roman"/>
          <w:sz w:val="18"/>
          <w:szCs w:val="18"/>
          <w:color w:val="auto"/>
        </w:rPr>
      </w:pPr>
    </w:p>
    <w:p>
      <w:pPr>
        <w:ind w:left="121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(202 )</w:t>
      </w:r>
    </w:p>
    <w:p>
      <w:pPr>
        <w:spacing w:after="0" w:line="20" w:lineRule="exact"/>
        <w:rPr>
          <w:rFonts w:ascii="Times New Roman" w:cs="Times New Roman" w:eastAsia="Times New Roman" w:hAnsi="Times New Roman"/>
          <w:sz w:val="18"/>
          <w:szCs w:val="18"/>
          <w:color w:val="auto"/>
        </w:rPr>
      </w:pPr>
    </w:p>
    <w:p>
      <w:pPr>
        <w:ind w:left="11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wp:posOffset>
            </wp:positionV>
            <wp:extent cx="99441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ind w:left="1054" w:hanging="1054"/>
        <w:spacing w:after="0"/>
        <w:tabs>
          <w:tab w:leader="none" w:pos="10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99,443</w:t>
      </w:r>
    </w:p>
    <w:p>
      <w:pPr>
        <w:spacing w:after="0" w:line="152" w:lineRule="exact"/>
        <w:rPr>
          <w:sz w:val="20"/>
          <w:szCs w:val="20"/>
          <w:color w:val="auto"/>
        </w:rPr>
      </w:pPr>
    </w:p>
    <w:p>
      <w:pPr>
        <w:sectPr>
          <w:pgSz w:w="11900" w:h="16838" w:orient="portrait"/>
          <w:cols w:equalWidth="0" w:num="2">
            <w:col w:w="8306" w:space="720"/>
            <w:col w:w="2194"/>
          </w:cols>
          <w:pgMar w:left="320" w:top="1134" w:right="359" w:bottom="1440" w:gutter="0" w:footer="0" w:header="0"/>
          <w:type w:val="continuous"/>
        </w:sect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contingent consideration was based on the achievement of certain expense control metrics during the two-year period following the acquisition date, with potential earn-out payouts ranging from $0 to $5.0 million. The Company estimated the fair value of the contingent consideration to be $1.0 million as of February 18, 2022, based on the estimated achievement of the expense control metrics and time to payment. The contingent consideration was recorded in accrued expenses and other current liabilities in the accompanying consolidated balance sheet as of December 31, 2023. Refer to Note 12.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Value Measurements </w:t>
      </w:r>
      <w:r>
        <w:rPr>
          <w:rFonts w:ascii="Times New Roman" w:cs="Times New Roman" w:eastAsia="Times New Roman" w:hAnsi="Times New Roman"/>
          <w:sz w:val="18"/>
          <w:szCs w:val="18"/>
          <w:color w:val="auto"/>
        </w:rPr>
        <w:t>for updates to the fair value of this contingent consideration subsequent to the acquisition date.</w:t>
      </w:r>
    </w:p>
    <w:p>
      <w:pPr>
        <w:spacing w:after="0" w:line="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finalized the purchase price allocations of the AW acquisition during the first quarter of 2023. Acquisition-date fair values of assets and liabilities pertaining to this business combination have been allocated as follows: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3"/>
                <w:szCs w:val="13"/>
                <w:color w:val="auto"/>
              </w:rPr>
            </w:pPr>
          </w:p>
        </w:tc>
        <w:tc>
          <w:tcPr>
            <w:tcW w:w="15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Preliminary, as</w:t>
            </w:r>
          </w:p>
        </w:tc>
        <w:tc>
          <w:tcPr>
            <w:tcW w:w="16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220" w:type="dxa"/>
            <w:vAlign w:val="bottom"/>
          </w:tcPr>
          <w:p>
            <w:pPr>
              <w:spacing w:after="0"/>
              <w:rPr>
                <w:sz w:val="13"/>
                <w:szCs w:val="13"/>
                <w:color w:val="auto"/>
              </w:rPr>
            </w:pPr>
          </w:p>
        </w:tc>
        <w:tc>
          <w:tcPr>
            <w:tcW w:w="118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originally reported</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(50 )</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operating leases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(485 )</w:t>
            </w: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(502 )</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(987 )</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(3,691 )</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(3,365 )</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Right-of-use liability, operating leases</w:t>
            </w:r>
          </w:p>
        </w:tc>
        <w:tc>
          <w:tcPr>
            <w:tcW w:w="1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(832 )</w:t>
            </w: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(832 )</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(10,345 )</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(10,278 )</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(267 )</w:t>
            </w: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(633 )</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(900 )</w:t>
            </w: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acquired and liabilities assumed</w:t>
            </w: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37,573</w:t>
            </w: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(413 )</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Purchase price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99,645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(202 )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-24765</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603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03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-24765</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-8255</wp:posOffset>
            </wp:positionV>
            <wp:extent cx="603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AW acquisition, the Company recorded goodwill, customer relationships, developed software, and tradename of $61.7 million, $39.4 million, $6.1 million, and $0.5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single reporting unit.</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$39.4 million and is amortized using the annual pattern of cash flows (economic value method) over the estimated 20-year life of this asset.</w:t>
      </w:r>
    </w:p>
    <w:p>
      <w:pPr>
        <w:spacing w:after="0" w:line="75"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The developed software represents AW’s two modules. Passport Promotional Analytics helps customers to optimize internal investment and business management by focusing on driving incremental efficiencies in sales, cost management, profit optimization, and productive gains. Passport Planning and Performance helps customers to analyze large data sets in order to proactively predict business outcomes. The Company used the income approach, specifically the relief-from-royalty method, to determine the value of developed software. Significant assumptions include forecast of royalty rate, tax rate, and discount rate. The developed software was valued at $6.1 million and is amortized using the straight-line method over the estimated remaining useful life of 6 years.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type w:val="continuous"/>
        </w:sectPr>
      </w:pPr>
    </w:p>
    <w:bookmarkStart w:id="114" w:name="page115"/>
    <w:bookmarkEnd w:id="114"/>
    <w:p>
      <w:pPr>
        <w:jc w:val="both"/>
        <w:ind w:firstLine="509"/>
        <w:spacing w:after="0" w:line="289" w:lineRule="auto"/>
        <w:rPr>
          <w:sz w:val="20"/>
          <w:szCs w:val="20"/>
          <w:color w:val="auto"/>
        </w:rPr>
      </w:pPr>
      <w:r>
        <w:rPr>
          <w:rFonts w:ascii="Times New Roman" w:cs="Times New Roman" w:eastAsia="Times New Roman" w:hAnsi="Times New Roman"/>
          <w:sz w:val="17"/>
          <w:szCs w:val="17"/>
          <w:color w:val="auto"/>
        </w:rPr>
        <w:t>The tradename represents the estimated fair value of the registered trade name associated with the AW corporate brand. The Company estimated the fair value of the trademark using a relief from royalty method of the income approach. Significant assumptions include forecast of royalty rate, tax rate, and discount rate. The trademark was valued at $0.5 million and is amortized using the straight-line method over the estimated remaining useful life of 5 years.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total, intangible assets acquired in the AW acquisition are estimated to be amortized over a weighted-average period of 18.0 years. See Note 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for the estimated total intangible amortization expense during the next five years and thereafter.</w:t>
      </w:r>
    </w:p>
    <w:p>
      <w:pPr>
        <w:spacing w:after="0" w:line="99"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the Company recognized acquisition related costs of $1.3 million which were recorded within transaction expenses in the accompanying consolidated statements of operations for the year ended December 31, 2022.</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Unaudited Pro Forma Supplementary Data as if the transaction had occurred on January 1, 2022:</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5"/>
                <w:szCs w:val="15"/>
                <w:color w:val="auto"/>
              </w:rPr>
            </w:pP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224,130</w:t>
            </w:r>
          </w:p>
        </w:tc>
        <w:tc>
          <w:tcPr>
            <w:tcW w:w="100" w:type="dxa"/>
            <w:vAlign w:val="bottom"/>
            <w:shd w:val="clear" w:color="auto" w:fill="CFF0FC"/>
          </w:tcPr>
          <w:p>
            <w:pPr>
              <w:spacing w:after="0"/>
              <w:rPr>
                <w:sz w:val="18"/>
                <w:szCs w:val="18"/>
                <w:color w:val="auto"/>
              </w:rPr>
            </w:pP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20"/>
                <w:szCs w:val="20"/>
                <w:color w:val="auto"/>
              </w:rPr>
            </w:pP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(26,443 )</w:t>
            </w:r>
          </w:p>
        </w:tc>
      </w:tr>
    </w:tbl>
    <w:p>
      <w:pPr>
        <w:spacing w:after="0" w:line="1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These pro forma results have been prepared for comparative purposes only and do not purport to be indicative of the operating results of the Company that would have been achieved had the acquisition actually taken place on January 1, 2022.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115" w:name="page116"/>
    <w:bookmarkEnd w:id="115"/>
    <w:p>
      <w:pPr>
        <w:ind w:left="520" w:hanging="512"/>
        <w:spacing w:after="0"/>
        <w:tabs>
          <w:tab w:leader="none" w:pos="5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from arrangements with customers for the years ended December 31, 2024,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Subscription services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244,886</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243,052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252,202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251,415</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222,653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-25400</wp:posOffset>
            </wp:positionV>
            <wp:extent cx="596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596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603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-25400</wp:posOffset>
            </wp:positionV>
            <wp:extent cx="596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-8255</wp:posOffset>
            </wp:positionV>
            <wp:extent cx="596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activity impacting the deferred contract costs during the years ended December 31, 2024 and 2023 is presented below:</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24,983</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Costs amortized</w:t>
            </w:r>
          </w:p>
        </w:tc>
        <w:tc>
          <w:tcPr>
            <w:tcW w:w="2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(15,441 )</w:t>
            </w: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(12,963 )</w:t>
            </w:r>
          </w:p>
        </w:tc>
      </w:tr>
      <w:tr>
        <w:trPr>
          <w:trHeight w:val="216"/>
        </w:trPr>
        <w:tc>
          <w:tcPr>
            <w:tcW w:w="68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28,125</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30,810</w:t>
            </w:r>
          </w:p>
        </w:tc>
        <w:tc>
          <w:tcPr>
            <w:tcW w:w="100" w:type="dxa"/>
            <w:vAlign w:val="bottom"/>
          </w:tcPr>
          <w:p>
            <w:pPr>
              <w:spacing w:after="0"/>
              <w:rPr>
                <w:sz w:val="18"/>
                <w:szCs w:val="18"/>
                <w:color w:val="auto"/>
              </w:rPr>
            </w:pPr>
          </w:p>
        </w:tc>
      </w:tr>
      <w:tr>
        <w:trPr>
          <w:trHeight w:val="210"/>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Classified as: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00" w:type="dxa"/>
            <w:vAlign w:val="bottom"/>
          </w:tcPr>
          <w:p>
            <w:pPr>
              <w:spacing w:after="0"/>
              <w:rPr>
                <w:sz w:val="18"/>
                <w:szCs w:val="18"/>
                <w:color w:val="auto"/>
              </w:rPr>
            </w:pPr>
          </w:p>
        </w:tc>
      </w:tr>
      <w:tr>
        <w:trPr>
          <w:trHeight w:val="216"/>
        </w:trPr>
        <w:tc>
          <w:tcPr>
            <w:tcW w:w="68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Non-current</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contract costs (deferred commissions)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28,125</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30,810</w:t>
            </w:r>
          </w:p>
        </w:tc>
        <w:tc>
          <w:tcPr>
            <w:tcW w:w="10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-736600</wp:posOffset>
            </wp:positionV>
            <wp:extent cx="596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-736600</wp:posOffset>
            </wp:positionV>
            <wp:extent cx="596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596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ind w:left="520" w:right="2300"/>
        <w:spacing w:after="0" w:line="282" w:lineRule="auto"/>
        <w:rPr>
          <w:sz w:val="20"/>
          <w:szCs w:val="20"/>
          <w:color w:val="auto"/>
        </w:rPr>
      </w:pPr>
      <w:r>
        <w:rPr>
          <w:rFonts w:ascii="Times New Roman" w:cs="Times New Roman" w:eastAsia="Times New Roman" w:hAnsi="Times New Roman"/>
          <w:sz w:val="18"/>
          <w:szCs w:val="18"/>
          <w:color w:val="auto"/>
        </w:rPr>
        <w:t>A summary of the activity impacting deferred revenue balances during the years ended December 31, 2024 and 2023 is presented below as of:</w:t>
      </w:r>
    </w:p>
    <w:p>
      <w:pPr>
        <w:spacing w:after="0" w:line="143"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6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97,386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99,928</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(252,202 )</w:t>
            </w:r>
          </w:p>
        </w:tc>
        <w:tc>
          <w:tcPr>
            <w:tcW w:w="2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(251,415 )</w:t>
            </w:r>
          </w:p>
        </w:tc>
      </w:tr>
      <w:tr>
        <w:trPr>
          <w:trHeight w:val="216"/>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248,192</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93,376</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97,386</w:t>
            </w:r>
          </w:p>
        </w:tc>
        <w:tc>
          <w:tcPr>
            <w:tcW w:w="10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-170815</wp:posOffset>
            </wp:positionV>
            <wp:extent cx="596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Transaction price allocated to remaining performance obligations represents contracted revenue that has not yet been recognized, which includes unearned revenue and unbilled amounts that will be invoiced and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 as of:</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Pr>
          <w:p>
            <w:pPr>
              <w:spacing w:after="0"/>
              <w:rPr>
                <w:sz w:val="13"/>
                <w:szCs w:val="13"/>
                <w:color w:val="auto"/>
              </w:rPr>
            </w:pPr>
          </w:p>
        </w:tc>
      </w:tr>
      <w:tr>
        <w:trPr>
          <w:trHeight w:val="173"/>
        </w:trPr>
        <w:tc>
          <w:tcPr>
            <w:tcW w:w="52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9"/>
        </w:trPr>
        <w:tc>
          <w:tcPr>
            <w:tcW w:w="52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40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188,050</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187,331</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3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105,673</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49"/>
        </w:trPr>
        <w:tc>
          <w:tcPr>
            <w:tcW w:w="520" w:type="dxa"/>
            <w:vAlign w:val="bottom"/>
          </w:tcPr>
          <w:p>
            <w:pPr>
              <w:spacing w:after="0"/>
              <w:rPr>
                <w:sz w:val="21"/>
                <w:szCs w:val="21"/>
                <w:color w:val="auto"/>
              </w:rPr>
            </w:pPr>
          </w:p>
        </w:tc>
        <w:tc>
          <w:tcPr>
            <w:tcW w:w="29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8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293,723</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276,967</w:t>
            </w: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Pr>
          <w:p>
            <w:pPr>
              <w:spacing w:after="0"/>
              <w:rPr>
                <w:sz w:val="21"/>
                <w:szCs w:val="21"/>
                <w:color w:val="auto"/>
              </w:rPr>
            </w:pPr>
          </w:p>
        </w:tc>
      </w:tr>
      <w:tr>
        <w:trPr>
          <w:trHeight w:val="520"/>
        </w:trPr>
        <w:tc>
          <w:tcPr>
            <w:tcW w:w="5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60" w:type="dxa"/>
            <w:vAlign w:val="bottom"/>
            <w:gridSpan w:val="2"/>
          </w:tcPr>
          <w:p>
            <w:pPr>
              <w:jc w:val="right"/>
              <w:ind w:right="1610"/>
              <w:spacing w:after="0"/>
              <w:rPr>
                <w:sz w:val="20"/>
                <w:szCs w:val="20"/>
                <w:color w:val="auto"/>
              </w:rPr>
            </w:pPr>
            <w:r>
              <w:rPr>
                <w:rFonts w:ascii="Times New Roman" w:cs="Times New Roman" w:eastAsia="Times New Roman" w:hAnsi="Times New Roman"/>
                <w:sz w:val="18"/>
                <w:szCs w:val="18"/>
                <w:color w:val="auto"/>
              </w:rPr>
              <w:t>F-25</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-865505</wp:posOffset>
            </wp:positionV>
            <wp:extent cx="603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-847725</wp:posOffset>
            </wp:positionV>
            <wp:extent cx="603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-865505</wp:posOffset>
            </wp:positionV>
            <wp:extent cx="6032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-847725</wp:posOffset>
            </wp:positionV>
            <wp:extent cx="6032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16" w:name="page117"/>
    <w:bookmarkEnd w:id="116"/>
    <w:p>
      <w:pPr>
        <w:ind w:left="520" w:hanging="512"/>
        <w:spacing w:after="0"/>
        <w:tabs>
          <w:tab w:leader="none" w:pos="5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leases real estate in the form of office space facilities. Generally, the term for real estate leases ranges from 1 to 9 years at inception of the contract. Some real estate leases include options to renew that can extend the original term by 5 to 10 years.</w:t>
      </w:r>
    </w:p>
    <w:p>
      <w:pPr>
        <w:spacing w:after="0" w:line="54" w:lineRule="exact"/>
        <w:rPr>
          <w:sz w:val="20"/>
          <w:szCs w:val="20"/>
          <w:color w:val="auto"/>
        </w:rPr>
      </w:pPr>
    </w:p>
    <w:p>
      <w:pPr>
        <w:jc w:val="both"/>
        <w:ind w:right="820" w:firstLine="509"/>
        <w:spacing w:after="0" w:line="282" w:lineRule="auto"/>
        <w:rPr>
          <w:sz w:val="20"/>
          <w:szCs w:val="20"/>
          <w:color w:val="auto"/>
        </w:rPr>
      </w:pPr>
      <w:r>
        <w:rPr>
          <w:rFonts w:ascii="Times New Roman" w:cs="Times New Roman" w:eastAsia="Times New Roman" w:hAnsi="Times New Roman"/>
          <w:sz w:val="18"/>
          <w:szCs w:val="18"/>
          <w:color w:val="auto"/>
        </w:rPr>
        <w:t>Operating lease costs are allocated according to headcount to cost of revenue, sales and marketing, product development, and general and administrative expenses in the consolidated statements of operations. As of December 31, 2024, the Company does not have any finance leases.</w:t>
      </w:r>
    </w:p>
    <w:p>
      <w:pPr>
        <w:spacing w:after="0" w:line="54"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During the second quarter of 2024, the Company executed a plan to exit part of its office headquarters, which was accounted for as a lease modification under ASC 842. The Company ceased use of the office facility during the second quarter. As of and for the year ended December 31, 2024, the Company recorded impairment charges of $1.2 million, comprised of $0.9 million related to the operating lease right-of-use asset and $0.3 million related to the remaining unamortized balance of leasehold improvements associated with the exited space. These impairment charges were recognized within transaction, integration, and restructuring expenses in the Company’s consolidated statements of operations.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third quarter of 2024, the Company executed a new five-year lease agreement for an office in India, which was accounted for under ASC</w:t>
      </w:r>
    </w:p>
    <w:p>
      <w:pPr>
        <w:spacing w:after="0" w:line="27" w:lineRule="exact"/>
        <w:rPr>
          <w:sz w:val="20"/>
          <w:szCs w:val="20"/>
          <w:color w:val="auto"/>
        </w:rPr>
      </w:pPr>
    </w:p>
    <w:p>
      <w:pPr>
        <w:ind w:right="380" w:firstLine="8"/>
        <w:spacing w:after="0" w:line="260" w:lineRule="auto"/>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the Company recorded an initial right-of-use asset and corresponding operating lease liability of $0.8 million, which represented the present value of the expected future minimum lease payments.</w:t>
      </w:r>
    </w:p>
    <w:p>
      <w:pPr>
        <w:spacing w:after="0" w:line="73"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first quarter of 2023, the Company executed a plan to exit one of its office facilities by exercising an early termination clause, which was accounted for as a lease modification under ASC 842. The Company ceased use of the office facility during the period and accordingly recorded a $0.2 million impairment charge, which represented the remaining carrying value of the right-of-use asset as of March 31, 2023.</w:t>
      </w:r>
    </w:p>
    <w:p>
      <w:pPr>
        <w:spacing w:after="0" w:line="68"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During the third quarter of 2023, the Company executed a new four-year lease agreement for its office in Sweden, which was accounted for under ASC 842. Accordingly, the Company recorded an initial right-of-use asset and corresponding operating lease liability of $1.6 million, which represented the present value of the expected future minimum lease payments.</w:t>
      </w:r>
    </w:p>
    <w:p>
      <w:pPr>
        <w:spacing w:after="0" w:line="6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During the first quarter of 2022, the Company gave notice of its intent to extend one of its office lease facilities for an additional five-year period and the extension was accounted for as a lease modification under ASC 842. Accordingly, the Company recorded a right-of-use asset and corresponding operating lease liability of $6.0 million, which represented the present value of the expected future minimum lease payments. During the quarter ended June 30, 2022, the Company’s executive leadership team approved a program to exit the office lease facility and signed an agreement with the landlord to withdraw the Company’s exercise of the option to extend. As a result, the lease terminated on December 31, 2022. This was accounted for as a lease modification under ASC 842 and the Company reduced the right-of-use asset by $6.0 million in the second quarter of 2022. The Company ceased use of the office facility during the same quarter and accordingly recorded an impairment charge of $0.7 million, which represented the remaining carrying value of the right-of-use asset as of June 30, 2022.</w:t>
      </w:r>
    </w:p>
    <w:p>
      <w:pPr>
        <w:spacing w:after="0" w:line="8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second quarter of 2022, the Company executed a plan to exit one of its other office facilities by exercising an early termination clause, which was accounted for as a lease modification under ASC 842. The Company ceased use of the office facility during the period and accordingly recorded a $0.2 million impairment charge, which represented the remaining carrying value of the right-of-use asset as of June 30, 2022.</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recorded the following lease costs for the years ended December 31, 2024, 2023, and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5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7"/>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474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60" w:type="dxa"/>
            <w:vAlign w:val="bottom"/>
            <w:tcBorders>
              <w:right w:val="single" w:sz="8" w:color="CFF0FC"/>
            </w:tcBorders>
          </w:tcPr>
          <w:p>
            <w:pPr>
              <w:spacing w:after="0"/>
              <w:rPr>
                <w:sz w:val="16"/>
                <w:szCs w:val="16"/>
                <w:color w:val="auto"/>
              </w:rPr>
            </w:pPr>
          </w:p>
        </w:tc>
        <w:tc>
          <w:tcPr>
            <w:tcW w:w="80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8"/>
              </w:rPr>
              <w:t>Lease Cost</w:t>
            </w:r>
          </w:p>
        </w:tc>
        <w:tc>
          <w:tcPr>
            <w:tcW w:w="3940" w:type="dxa"/>
            <w:vAlign w:val="bottom"/>
            <w:tcBorders>
              <w:bottom w:val="single" w:sz="8" w:color="CFF0FC"/>
            </w:tcBorders>
            <w:gridSpan w:val="2"/>
            <w:shd w:val="clear" w:color="auto" w:fill="CFF0FC"/>
          </w:tcPr>
          <w:p>
            <w:pPr>
              <w:spacing w:after="0"/>
              <w:rPr>
                <w:sz w:val="16"/>
                <w:szCs w:val="16"/>
                <w:color w:val="auto"/>
              </w:rPr>
            </w:pPr>
          </w:p>
        </w:tc>
        <w:tc>
          <w:tcPr>
            <w:tcW w:w="150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capitalized operating lease cost</w:t>
            </w:r>
          </w:p>
        </w:tc>
        <w:tc>
          <w:tcPr>
            <w:tcW w:w="19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2,073</w:t>
            </w:r>
          </w:p>
        </w:tc>
        <w:tc>
          <w:tcPr>
            <w:tcW w:w="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2,202</w:t>
            </w:r>
          </w:p>
        </w:tc>
        <w:tc>
          <w:tcPr>
            <w:tcW w:w="5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60" w:type="dxa"/>
            <w:vAlign w:val="bottom"/>
            <w:tcBorders>
              <w:right w:val="single" w:sz="8" w:color="CFF0FC"/>
            </w:tcBorders>
          </w:tcPr>
          <w:p>
            <w:pPr>
              <w:spacing w:after="0"/>
              <w:rPr>
                <w:sz w:val="21"/>
                <w:szCs w:val="21"/>
                <w:color w:val="auto"/>
              </w:rPr>
            </w:pPr>
          </w:p>
        </w:tc>
        <w:tc>
          <w:tcPr>
            <w:tcW w:w="474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500" w:type="dxa"/>
            <w:vAlign w:val="bottom"/>
            <w:tcBorders>
              <w:top w:val="single" w:sz="8" w:color="CFF0FC"/>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2,073</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2,202</w:t>
            </w: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60" w:type="dxa"/>
            <w:vAlign w:val="bottom"/>
          </w:tcPr>
          <w:p>
            <w:pPr>
              <w:spacing w:after="0"/>
              <w:rPr>
                <w:sz w:val="24"/>
                <w:szCs w:val="24"/>
                <w:color w:val="auto"/>
              </w:rPr>
            </w:pPr>
          </w:p>
        </w:tc>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474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74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Supplemental Cash Flow and Other Information</w:t>
            </w:r>
          </w:p>
        </w:tc>
        <w:tc>
          <w:tcPr>
            <w:tcW w:w="1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68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60" w:type="dxa"/>
            <w:vAlign w:val="bottom"/>
            <w:tcBorders>
              <w:right w:val="single" w:sz="8" w:color="CFF0FC"/>
            </w:tcBorders>
          </w:tcPr>
          <w:p>
            <w:pPr>
              <w:spacing w:after="0"/>
              <w:rPr>
                <w:sz w:val="17"/>
                <w:szCs w:val="17"/>
                <w:color w:val="auto"/>
              </w:rPr>
            </w:pPr>
          </w:p>
        </w:tc>
        <w:tc>
          <w:tcPr>
            <w:tcW w:w="6660" w:type="dxa"/>
            <w:vAlign w:val="bottom"/>
            <w:gridSpan w:val="5"/>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w w:val="99"/>
              </w:rPr>
              <w:t>Cash paid for amounts included in measurement of lease liabilities and capitalized operating</w:t>
            </w: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 w:type="dxa"/>
            <w:vAlign w:val="bottom"/>
            <w:tcBorders>
              <w:right w:val="single" w:sz="8" w:color="CFF0FC"/>
            </w:tcBorders>
          </w:tcPr>
          <w:p>
            <w:pPr>
              <w:spacing w:after="0"/>
              <w:rPr>
                <w:sz w:val="20"/>
                <w:szCs w:val="20"/>
                <w:color w:val="auto"/>
              </w:rPr>
            </w:pPr>
          </w:p>
        </w:tc>
        <w:tc>
          <w:tcPr>
            <w:tcW w:w="47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leases:</w:t>
            </w:r>
          </w:p>
        </w:tc>
        <w:tc>
          <w:tcPr>
            <w:tcW w:w="15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cash flows</w:t>
            </w: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22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right w:val="single" w:sz="8" w:color="CFF0FC"/>
            </w:tcBorders>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right w:val="single" w:sz="8" w:color="CFF0FC"/>
            </w:tcBorders>
          </w:tcPr>
          <w:p>
            <w:pPr>
              <w:spacing w:after="0"/>
              <w:rPr>
                <w:sz w:val="18"/>
                <w:szCs w:val="18"/>
                <w:color w:val="auto"/>
              </w:rPr>
            </w:pPr>
          </w:p>
        </w:tc>
        <w:tc>
          <w:tcPr>
            <w:tcW w:w="47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Capitalized operating leases</w:t>
            </w:r>
          </w:p>
        </w:tc>
        <w:tc>
          <w:tcPr>
            <w:tcW w:w="15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F-26</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-2219325</wp:posOffset>
            </wp:positionV>
            <wp:extent cx="603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-2202180</wp:posOffset>
            </wp:positionV>
            <wp:extent cx="603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-2365375</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-2219325</wp:posOffset>
            </wp:positionV>
            <wp:extent cx="603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-2202180</wp:posOffset>
            </wp:positionV>
            <wp:extent cx="6032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-2365375</wp:posOffset>
            </wp:positionV>
            <wp:extent cx="603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-2219325</wp:posOffset>
            </wp:positionV>
            <wp:extent cx="596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-2202180</wp:posOffset>
            </wp:positionV>
            <wp:extent cx="596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-2365375</wp:posOffset>
            </wp:positionV>
            <wp:extent cx="596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17" w:name="page118"/>
    <w:bookmarkEnd w:id="117"/>
    <w:p>
      <w:pPr>
        <w:ind w:left="520"/>
        <w:spacing w:after="0"/>
        <w:rPr>
          <w:sz w:val="20"/>
          <w:szCs w:val="20"/>
          <w:color w:val="auto"/>
        </w:rPr>
      </w:pPr>
      <w:r>
        <w:rPr>
          <w:rFonts w:ascii="Times New Roman" w:cs="Times New Roman" w:eastAsia="Times New Roman" w:hAnsi="Times New Roman"/>
          <w:sz w:val="18"/>
          <w:szCs w:val="18"/>
          <w:color w:val="auto"/>
        </w:rPr>
        <w:t>Lease term and discount rate consisted of the following as of:</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18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48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080" w:type="dxa"/>
            <w:vAlign w:val="bottom"/>
          </w:tcPr>
          <w:p>
            <w:pPr>
              <w:jc w:val="center"/>
              <w:ind w:right="4570"/>
              <w:spacing w:after="0"/>
              <w:rPr>
                <w:sz w:val="20"/>
                <w:szCs w:val="20"/>
                <w:color w:val="auto"/>
              </w:rPr>
            </w:pPr>
            <w:r>
              <w:rPr>
                <w:rFonts w:ascii="Times New Roman" w:cs="Times New Roman" w:eastAsia="Times New Roman" w:hAnsi="Times New Roman"/>
                <w:sz w:val="18"/>
                <w:szCs w:val="18"/>
                <w:color w:val="auto"/>
                <w:w w:val="99"/>
              </w:rPr>
              <w:t>Capitalized operating leases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tcPr>
          <w:p>
            <w:pPr>
              <w:spacing w:after="0"/>
              <w:rPr>
                <w:sz w:val="18"/>
                <w:szCs w:val="18"/>
                <w:color w:val="auto"/>
              </w:rPr>
            </w:pPr>
          </w:p>
        </w:tc>
      </w:tr>
      <w:tr>
        <w:trPr>
          <w:trHeight w:val="216"/>
        </w:trPr>
        <w:tc>
          <w:tcPr>
            <w:tcW w:w="70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080" w:type="dxa"/>
            <w:vAlign w:val="bottom"/>
          </w:tcPr>
          <w:p>
            <w:pPr>
              <w:jc w:val="center"/>
              <w:ind w:right="461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080" w:type="dxa"/>
            <w:vAlign w:val="bottom"/>
            <w:shd w:val="clear" w:color="auto" w:fill="CFF0FC"/>
          </w:tcPr>
          <w:p>
            <w:pPr>
              <w:jc w:val="center"/>
              <w:ind w:right="4570"/>
              <w:spacing w:after="0"/>
              <w:rPr>
                <w:sz w:val="20"/>
                <w:szCs w:val="20"/>
                <w:color w:val="auto"/>
              </w:rPr>
            </w:pPr>
            <w:r>
              <w:rPr>
                <w:rFonts w:ascii="Times New Roman" w:cs="Times New Roman" w:eastAsia="Times New Roman" w:hAnsi="Times New Roman"/>
                <w:sz w:val="18"/>
                <w:szCs w:val="18"/>
                <w:color w:val="auto"/>
                <w:w w:val="99"/>
              </w:rPr>
              <w:t>Capitalized operating leases</w:t>
            </w:r>
          </w:p>
        </w:tc>
        <w:tc>
          <w:tcPr>
            <w:tcW w:w="1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4.6 %</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4.6 %</w:t>
            </w:r>
          </w:p>
        </w:tc>
      </w:tr>
    </w:tbl>
    <w:p>
      <w:pPr>
        <w:spacing w:after="0" w:line="30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table below reconciles the undiscounted future minimum lease payments (displayed by year and in the aggregate) under noncancelable operating leases with terms of more than one year to the total operating lease liabilities recognized on the consolidated balance sheets as of December 31, 2024.</w:t>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8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Capitalized Operating Lease</w:t>
            </w:r>
          </w:p>
        </w:tc>
      </w:tr>
      <w:tr>
        <w:trPr>
          <w:trHeight w:val="209"/>
        </w:trPr>
        <w:tc>
          <w:tcPr>
            <w:tcW w:w="8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Borders>
              <w:top w:val="single" w:sz="8" w:color="auto"/>
            </w:tcBorders>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shd w:val="clear" w:color="auto" w:fill="CFF0FC"/>
          </w:tcPr>
          <w:p>
            <w:pPr>
              <w:spacing w:after="0"/>
              <w:rPr>
                <w:sz w:val="18"/>
                <w:szCs w:val="18"/>
                <w:color w:val="auto"/>
              </w:rPr>
            </w:pPr>
          </w:p>
        </w:tc>
      </w:tr>
      <w:tr>
        <w:trPr>
          <w:trHeight w:val="216"/>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tcPr>
          <w:p>
            <w:pPr>
              <w:spacing w:after="0"/>
              <w:rPr>
                <w:sz w:val="18"/>
                <w:szCs w:val="18"/>
                <w:color w:val="auto"/>
              </w:rPr>
            </w:pPr>
          </w:p>
        </w:tc>
      </w:tr>
      <w:tr>
        <w:trPr>
          <w:trHeight w:val="216"/>
        </w:trPr>
        <w:tc>
          <w:tcPr>
            <w:tcW w:w="8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00" w:type="dxa"/>
            <w:vAlign w:val="bottom"/>
            <w:shd w:val="clear" w:color="auto" w:fill="CFF0FC"/>
          </w:tcPr>
          <w:p>
            <w:pPr>
              <w:spacing w:after="0"/>
              <w:rPr>
                <w:sz w:val="18"/>
                <w:szCs w:val="18"/>
                <w:color w:val="auto"/>
              </w:rPr>
            </w:pPr>
          </w:p>
        </w:tc>
      </w:tr>
      <w:tr>
        <w:trPr>
          <w:trHeight w:val="216"/>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Pr>
          <w:p>
            <w:pPr>
              <w:spacing w:after="0"/>
              <w:rPr>
                <w:sz w:val="18"/>
                <w:szCs w:val="18"/>
                <w:color w:val="auto"/>
              </w:rPr>
            </w:pPr>
          </w:p>
        </w:tc>
      </w:tr>
      <w:tr>
        <w:trPr>
          <w:trHeight w:val="216"/>
        </w:trPr>
        <w:tc>
          <w:tcPr>
            <w:tcW w:w="8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FF0FC"/>
          </w:tcPr>
          <w:p>
            <w:pPr>
              <w:spacing w:after="0"/>
              <w:rPr>
                <w:sz w:val="18"/>
                <w:szCs w:val="18"/>
                <w:color w:val="auto"/>
              </w:rPr>
            </w:pPr>
          </w:p>
        </w:tc>
      </w:tr>
      <w:tr>
        <w:trPr>
          <w:trHeight w:val="216"/>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58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8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7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liability balance at December 31, 2024</w:t>
            </w:r>
          </w:p>
        </w:tc>
        <w:tc>
          <w:tcPr>
            <w:tcW w:w="7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100" w:type="dxa"/>
            <w:vAlign w:val="bottom"/>
          </w:tcPr>
          <w:p>
            <w:pPr>
              <w:spacing w:after="0"/>
              <w:rPr>
                <w:sz w:val="18"/>
                <w:szCs w:val="18"/>
                <w:color w:val="auto"/>
              </w:rPr>
            </w:pPr>
          </w:p>
        </w:tc>
      </w:tr>
      <w:tr>
        <w:trPr>
          <w:trHeight w:val="20"/>
        </w:trPr>
        <w:tc>
          <w:tcPr>
            <w:tcW w:w="8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-471170</wp:posOffset>
            </wp:positionV>
            <wp:extent cx="596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-453390</wp:posOffset>
            </wp:positionV>
            <wp:extent cx="596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-170815</wp:posOffset>
            </wp:positionV>
            <wp:extent cx="596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Total rent expense, which was allocated according to headcount to cost of revenue, sales and marketing, product development and general and administrative expenses in the consolidated statements of operations, was $2.0 million, $2.0 million, and $2.4 million for the years ended December 31, 2024, 2023, and 2022, respectively.</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42" w:right="519" w:bottom="1440" w:gutter="0" w:footer="0" w:header="0"/>
        </w:sectPr>
      </w:pPr>
    </w:p>
    <w:bookmarkStart w:id="118" w:name="page119"/>
    <w:bookmarkEnd w:id="118"/>
    <w:p>
      <w:pPr>
        <w:ind w:left="520" w:hanging="512"/>
        <w:spacing w:after="0"/>
        <w:tabs>
          <w:tab w:leader="none" w:pos="5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Short-term investments classified as available-for-sale consisted of the following as of:</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5"/>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3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15"/>
                <w:szCs w:val="15"/>
                <w:color w:val="auto"/>
              </w:rPr>
            </w:pPr>
          </w:p>
        </w:tc>
        <w:tc>
          <w:tcPr>
            <w:tcW w:w="13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5"/>
                <w:szCs w:val="15"/>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127,642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(24 )</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127,682</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32,618</w:t>
            </w:r>
          </w:p>
        </w:tc>
        <w:tc>
          <w:tcPr>
            <w:tcW w:w="10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184,717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184,786</w:t>
            </w:r>
          </w:p>
        </w:tc>
        <w:tc>
          <w:tcPr>
            <w:tcW w:w="100" w:type="dxa"/>
            <w:vAlign w:val="bottom"/>
            <w:shd w:val="clear" w:color="auto" w:fill="CFF0FC"/>
          </w:tcPr>
          <w:p>
            <w:pPr>
              <w:spacing w:after="0"/>
              <w:rPr>
                <w:sz w:val="19"/>
                <w:szCs w:val="19"/>
                <w:color w:val="auto"/>
              </w:rPr>
            </w:pP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45"/>
        </w:trPr>
        <w:tc>
          <w:tcPr>
            <w:tcW w:w="3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3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15"/>
                <w:szCs w:val="15"/>
                <w:color w:val="auto"/>
              </w:rPr>
            </w:pPr>
          </w:p>
        </w:tc>
        <w:tc>
          <w:tcPr>
            <w:tcW w:w="13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5"/>
                <w:szCs w:val="15"/>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62,486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62,461</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94,269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(18 )</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94,336</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10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177,023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177,092</w:t>
            </w:r>
          </w:p>
        </w:tc>
        <w:tc>
          <w:tcPr>
            <w:tcW w:w="100" w:type="dxa"/>
            <w:vAlign w:val="bottom"/>
            <w:shd w:val="clear" w:color="auto" w:fill="CFF0FC"/>
          </w:tcPr>
          <w:p>
            <w:pPr>
              <w:spacing w:after="0"/>
              <w:rPr>
                <w:sz w:val="19"/>
                <w:szCs w:val="19"/>
                <w:color w:val="auto"/>
              </w:rPr>
            </w:pP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-1319530</wp:posOffset>
            </wp:positionV>
            <wp:extent cx="603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-1302385</wp:posOffset>
            </wp:positionV>
            <wp:extent cx="60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-1319530</wp:posOffset>
            </wp:positionV>
            <wp:extent cx="6032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-1302385</wp:posOffset>
            </wp:positionV>
            <wp:extent cx="603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-1319530</wp:posOffset>
            </wp:positionV>
            <wp:extent cx="596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-1302385</wp:posOffset>
            </wp:positionV>
            <wp:extent cx="596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-1319530</wp:posOffset>
            </wp:positionV>
            <wp:extent cx="596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-1302385</wp:posOffset>
            </wp:positionV>
            <wp:extent cx="596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-25400</wp:posOffset>
            </wp:positionV>
            <wp:extent cx="603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-25400</wp:posOffset>
            </wp:positionV>
            <wp:extent cx="603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03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-25400</wp:posOffset>
            </wp:positionV>
            <wp:extent cx="596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596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-25400</wp:posOffset>
            </wp:positionV>
            <wp:extent cx="596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All short-term investments had stated maturity dates of less than one year. Included in the amortized cost as of December 31, 2024 and 2023 is accretion of $1.6 million and $2.8 million, respectively. Interest accretion on short-term investments was $7.2 million and $8.2 million during the years ended December 31, 2024 and 2023, respectively.</w:t>
      </w:r>
    </w:p>
    <w:p>
      <w:pPr>
        <w:spacing w:after="0" w:line="6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30" w:right="659" w:bottom="1440" w:gutter="0" w:footer="0" w:header="0"/>
        </w:sectPr>
      </w:pPr>
    </w:p>
    <w:bookmarkStart w:id="119" w:name="page120"/>
    <w:bookmarkEnd w:id="119"/>
    <w:p>
      <w:pPr>
        <w:ind w:left="520" w:hanging="512"/>
        <w:spacing w:after="0"/>
        <w:tabs>
          <w:tab w:leader="none" w:pos="5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consisted of the following as of:</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3"/>
                <w:szCs w:val="13"/>
                <w:color w:val="auto"/>
              </w:rPr>
            </w:pPr>
          </w:p>
        </w:tc>
      </w:tr>
      <w:tr>
        <w:trPr>
          <w:trHeight w:val="173"/>
        </w:trPr>
        <w:tc>
          <w:tcPr>
            <w:tcW w:w="58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0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54,618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w:t>
            </w:r>
          </w:p>
        </w:tc>
        <w:tc>
          <w:tcPr>
            <w:tcW w:w="2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3800" w:type="dxa"/>
            <w:vAlign w:val="bottom"/>
            <w:shd w:val="clear" w:color="auto" w:fill="CFF0FC"/>
          </w:tcPr>
          <w:p>
            <w:pPr>
              <w:spacing w:after="0"/>
              <w:rPr>
                <w:sz w:val="18"/>
                <w:szCs w:val="18"/>
                <w:color w:val="auto"/>
              </w:rPr>
            </w:pPr>
          </w:p>
        </w:tc>
        <w:tc>
          <w:tcPr>
            <w:tcW w:w="2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55,346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61,552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(2,114 )</w:t>
            </w:r>
          </w:p>
        </w:tc>
        <w:tc>
          <w:tcPr>
            <w:tcW w:w="24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(2,303 )</w:t>
            </w: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8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53,232</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59,249</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521"/>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060" w:type="dxa"/>
            <w:vAlign w:val="bottom"/>
            <w:gridSpan w:val="2"/>
          </w:tcPr>
          <w:p>
            <w:pPr>
              <w:jc w:val="right"/>
              <w:ind w:right="1550"/>
              <w:spacing w:after="0"/>
              <w:rPr>
                <w:sz w:val="20"/>
                <w:szCs w:val="20"/>
                <w:color w:val="auto"/>
              </w:rPr>
            </w:pPr>
            <w:r>
              <w:rPr>
                <w:rFonts w:ascii="Times New Roman" w:cs="Times New Roman" w:eastAsia="Times New Roman" w:hAnsi="Times New Roman"/>
                <w:sz w:val="18"/>
                <w:szCs w:val="18"/>
                <w:color w:val="auto"/>
              </w:rPr>
              <w:t>F-29</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-864870</wp:posOffset>
            </wp:positionV>
            <wp:extent cx="603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-848360</wp:posOffset>
            </wp:positionV>
            <wp:extent cx="603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-864870</wp:posOffset>
            </wp:positionV>
            <wp:extent cx="60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-848360</wp:posOffset>
            </wp:positionV>
            <wp:extent cx="6032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20" w:name="page121"/>
    <w:bookmarkEnd w:id="120"/>
    <w:p>
      <w:pPr>
        <w:ind w:left="520" w:hanging="512"/>
        <w:spacing w:after="0"/>
        <w:tabs>
          <w:tab w:leader="none" w:pos="5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consisted of the following as of:</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8"/>
                <w:szCs w:val="18"/>
                <w:color w:val="auto"/>
              </w:rPr>
            </w:pPr>
          </w:p>
        </w:tc>
      </w:tr>
      <w:tr>
        <w:trPr>
          <w:trHeight w:val="21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shd w:val="clear" w:color="auto" w:fill="CFF0FC"/>
          </w:tcPr>
          <w:p>
            <w:pPr>
              <w:spacing w:after="0"/>
              <w:rPr>
                <w:sz w:val="18"/>
                <w:szCs w:val="18"/>
                <w:color w:val="auto"/>
              </w:rPr>
            </w:pPr>
          </w:p>
        </w:tc>
      </w:tr>
      <w:tr>
        <w:trPr>
          <w:trHeight w:val="209"/>
        </w:trPr>
        <w:tc>
          <w:tcPr>
            <w:tcW w:w="7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100" w:type="dxa"/>
            <w:vAlign w:val="bottom"/>
          </w:tcPr>
          <w:p>
            <w:pPr>
              <w:spacing w:after="0"/>
              <w:rPr>
                <w:sz w:val="18"/>
                <w:szCs w:val="18"/>
                <w:color w:val="auto"/>
              </w:rPr>
            </w:pPr>
          </w:p>
        </w:tc>
      </w:tr>
      <w:tr>
        <w:trPr>
          <w:trHeight w:val="216"/>
        </w:trPr>
        <w:tc>
          <w:tcPr>
            <w:tcW w:w="7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(7,460 )</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(5,960 )</w:t>
            </w:r>
          </w:p>
        </w:tc>
      </w:tr>
      <w:tr>
        <w:trPr>
          <w:trHeight w:val="210"/>
        </w:trPr>
        <w:tc>
          <w:tcPr>
            <w:tcW w:w="7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tcBorders>
              <w:top w:val="single" w:sz="8" w:color="CFF0FC"/>
            </w:tcBorders>
          </w:tcPr>
          <w:p>
            <w:pPr>
              <w:spacing w:after="0"/>
              <w:rPr>
                <w:sz w:val="18"/>
                <w:szCs w:val="18"/>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$2.2 million, $2.0 million and $2.2 million for the years ended December 31, 2024, 2023 and 2022, respectively.</w:t>
      </w:r>
    </w:p>
    <w:p>
      <w:pPr>
        <w:spacing w:after="0" w:line="54"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consolidated certain leased office space at its corporate headquarters and, as a result, recorded impairment charges of $1.2 million, comprised of $0.9 million related to the operating lease right-of-use asset, and $0.3 million related to leasehold improvements. These non-cash charges were recognized within transaction, integration, and restructuring expenses in the Company’s consolidated statements of operations. The Company also recorded accelerated depreciation of furniture and fixtures of $0.1 million and disposed of $1.0 million of fully depreciated property and equipment in connection with the office consolidation during the year ended December 31, 2024. The Company disposed of fully-depreciated property and equipment of $0.8 million during the year ended December 31, 2023.</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21" w:name="page122"/>
    <w:bookmarkEnd w:id="121"/>
    <w:p>
      <w:pPr>
        <w:ind w:left="520" w:hanging="512"/>
        <w:spacing w:after="0"/>
        <w:tabs>
          <w:tab w:leader="none" w:pos="5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amounts of goodwill and intangible assets consisted of the following as of:</w:t>
      </w:r>
    </w:p>
    <w:p>
      <w:pPr>
        <w:spacing w:after="0" w:line="200" w:lineRule="exact"/>
        <w:rPr>
          <w:sz w:val="20"/>
          <w:szCs w:val="20"/>
          <w:color w:val="auto"/>
        </w:rPr>
      </w:pP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center"/>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5"/>
                <w:szCs w:val="15"/>
                <w:color w:val="auto"/>
              </w:rPr>
            </w:pPr>
          </w:p>
        </w:tc>
        <w:tc>
          <w:tcPr>
            <w:tcW w:w="108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410,390</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(196,694 )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Developed technologies</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85,074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(43,526 )</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Tradenames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(11,608 )</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Database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67,456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(49,237 )</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598,998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(301,065 )</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393,283</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393,283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992,281</w:t>
            </w:r>
          </w:p>
        </w:tc>
        <w:tc>
          <w:tcPr>
            <w:tcW w:w="26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(301,065 )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center"/>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5"/>
                <w:szCs w:val="15"/>
                <w:color w:val="auto"/>
              </w:rPr>
            </w:pPr>
          </w:p>
        </w:tc>
        <w:tc>
          <w:tcPr>
            <w:tcW w:w="108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410,210</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(163,586 )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Developed technologies</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78,434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(33,769 )</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Tradenames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(9,379 )</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Database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(45,072 )</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574,927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(251,806 )</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1,650,007</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(251,806 )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-2125345</wp:posOffset>
            </wp:positionV>
            <wp:extent cx="603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-2125345</wp:posOffset>
            </wp:positionV>
            <wp:extent cx="6032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-2125345</wp:posOffset>
            </wp:positionV>
            <wp:extent cx="6032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-1842135</wp:posOffset>
            </wp:positionV>
            <wp:extent cx="603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-1842135</wp:posOffset>
            </wp:positionV>
            <wp:extent cx="603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-1842135</wp:posOffset>
            </wp:positionV>
            <wp:extent cx="603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-453390</wp:posOffset>
            </wp:positionV>
            <wp:extent cx="6032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-453390</wp:posOffset>
            </wp:positionV>
            <wp:extent cx="6032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-170815</wp:posOffset>
            </wp:positionV>
            <wp:extent cx="603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-170815</wp:posOffset>
            </wp:positionV>
            <wp:extent cx="603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Amortization expense associated with finite-lived intangible assets was $49.4 million, $49.8 million, and $54.7 million for the years ended December 31, 2024, 2023 and 2022, respectively, of which $14.0 million, $12.7 million, and $16.8 million was included in cost of revenue for each respective period.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Estimated total intangible amortization expense during the next five years and thereafter is as follows: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8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52,812</w:t>
            </w:r>
          </w:p>
        </w:tc>
        <w:tc>
          <w:tcPr>
            <w:tcW w:w="100" w:type="dxa"/>
            <w:vAlign w:val="bottom"/>
            <w:shd w:val="clear" w:color="auto" w:fill="CFF0FC"/>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46,637</w:t>
            </w:r>
          </w:p>
        </w:tc>
        <w:tc>
          <w:tcPr>
            <w:tcW w:w="100" w:type="dxa"/>
            <w:vAlign w:val="bottom"/>
          </w:tcPr>
          <w:p>
            <w:pPr>
              <w:spacing w:after="0"/>
              <w:rPr>
                <w:sz w:val="18"/>
                <w:szCs w:val="18"/>
                <w:color w:val="auto"/>
              </w:rPr>
            </w:pPr>
          </w:p>
        </w:tc>
      </w:tr>
      <w:tr>
        <w:trPr>
          <w:trHeight w:val="216"/>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39,859</w:t>
            </w:r>
          </w:p>
        </w:tc>
        <w:tc>
          <w:tcPr>
            <w:tcW w:w="100" w:type="dxa"/>
            <w:vAlign w:val="bottom"/>
            <w:shd w:val="clear" w:color="auto" w:fill="CFF0FC"/>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30,778</w:t>
            </w:r>
          </w:p>
        </w:tc>
        <w:tc>
          <w:tcPr>
            <w:tcW w:w="100" w:type="dxa"/>
            <w:vAlign w:val="bottom"/>
          </w:tcPr>
          <w:p>
            <w:pPr>
              <w:spacing w:after="0"/>
              <w:rPr>
                <w:sz w:val="18"/>
                <w:szCs w:val="18"/>
                <w:color w:val="auto"/>
              </w:rPr>
            </w:pPr>
          </w:p>
        </w:tc>
      </w:tr>
      <w:tr>
        <w:trPr>
          <w:trHeight w:val="216"/>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26,224</w:t>
            </w:r>
          </w:p>
        </w:tc>
        <w:tc>
          <w:tcPr>
            <w:tcW w:w="100" w:type="dxa"/>
            <w:vAlign w:val="bottom"/>
            <w:shd w:val="clear" w:color="auto" w:fill="CFF0FC"/>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101,623</w:t>
            </w:r>
          </w:p>
        </w:tc>
        <w:tc>
          <w:tcPr>
            <w:tcW w:w="100" w:type="dxa"/>
            <w:vAlign w:val="bottom"/>
          </w:tcPr>
          <w:p>
            <w:pPr>
              <w:spacing w:after="0"/>
              <w:rPr>
                <w:sz w:val="18"/>
                <w:szCs w:val="18"/>
                <w:color w:val="auto"/>
              </w:rPr>
            </w:pPr>
          </w:p>
        </w:tc>
      </w:tr>
      <w:tr>
        <w:trPr>
          <w:trHeight w:val="250"/>
        </w:trPr>
        <w:tc>
          <w:tcPr>
            <w:tcW w:w="8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297,933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determined it had one reporting unit.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Goodwill and acquired intangible assets are initially recorded at fair value and tested periodically for impairment. The Company estimates the fair value of these assets using primarily unobservable inputs, which are considered Level 3 fair value measurements as defined in Note 12.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The Company performs an impairment test of goodwill during the fourth quarter of each fiscal year and more frequently if indicators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impairment arise.</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Recently, the Company experienced declines in its market capitalization as a result of sustained decreases in the Company’s stock price, which represented triggering events requiring management to perform quantitative goodwill impairment tests. As a result of each impairment test, the Company determined that the fair value of its single reporting unit was lower than its carrying value and, accordingly, recorded non-cash, pretax, goodwill impairment charges of $688.9 million and $287.4 million during the year ended December 31, 2024 and 2023, respectively. The goodwill impairment charges did not affect the Company’s liquidity or the financial covenants in its outstanding debt agreement.</w:t>
      </w:r>
    </w:p>
    <w:p>
      <w:pPr>
        <w:spacing w:after="0" w:line="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46" w:right="539" w:bottom="1440" w:gutter="0" w:footer="0" w:header="0"/>
        </w:sectPr>
      </w:pPr>
    </w:p>
    <w:bookmarkStart w:id="122" w:name="page123"/>
    <w:bookmarkEnd w:id="122"/>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calculating the goodwill impairment charges, the Company estimated the fair value of its single reporting unit based on its market capitalization and an appropriate control premium. Market capitalization is determined by multiplying the number of shares of Class A Common Stock outstanding by the market price of its Class A Common Stock. The control premium, or the amount paid by a new controlling shareholder for the benefits resulting from synergies and other potential benefits derived from controlling the acquired company, is determined by utilizing data from publicly available premium studies for similarly situated public company transactions. A goodwill impairment loss is recognized for the difference between the carrying value of the reporting unit and the fair value.</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will continue to monitor for potential impairment should impairment indicators arise.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and for the periods ended December 31, 2024 and 2023, goodwill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5"/>
                <w:szCs w:val="15"/>
                <w:color w:val="auto"/>
              </w:rPr>
            </w:pPr>
          </w:p>
        </w:tc>
        <w:tc>
          <w:tcPr>
            <w:tcW w:w="19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gross - beginning of period</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1,362,480</w:t>
            </w: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1,324,733</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(287,400 )</w:t>
            </w:r>
          </w:p>
        </w:tc>
        <w:tc>
          <w:tcPr>
            <w:tcW w:w="1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net - beginning of period</w:t>
            </w:r>
          </w:p>
        </w:tc>
        <w:tc>
          <w:tcPr>
            <w:tcW w:w="22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1,324,733</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acquired during period</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37,747</w:t>
            </w: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impairment loss</w:t>
            </w:r>
          </w:p>
        </w:tc>
        <w:tc>
          <w:tcPr>
            <w:tcW w:w="22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(688,854 )</w:t>
            </w:r>
          </w:p>
        </w:tc>
        <w:tc>
          <w:tcPr>
            <w:tcW w:w="1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(287,400 )</w:t>
            </w: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393,283</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8"/>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24"/>
                <w:szCs w:val="24"/>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5"/>
                <w:szCs w:val="15"/>
                <w:color w:val="auto"/>
              </w:rPr>
            </w:pPr>
          </w:p>
        </w:tc>
        <w:tc>
          <w:tcPr>
            <w:tcW w:w="19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gross - end of period</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1,369,537</w:t>
            </w: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1,362,480</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2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(976,254 )</w:t>
            </w: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(287,400 )</w:t>
            </w:r>
          </w:p>
        </w:tc>
      </w:tr>
      <w:tr>
        <w:trPr>
          <w:trHeight w:val="249"/>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net - end of period</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393,283</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also considered its intangible assets with finite useful lives, which are amortized over their estimated useful lives, generally on a straight-line basis. These assets are reviewed for impairment when facts or circumstances indicate that the carrying values may not be recoverable. The Company experienced triggering events in the years ended December 31, 2024 and 2023 resulting from declines in the Company’s market capitalization driven by sustained decreases in the Company’s stock price. In each case, the Company’s intangible assets were reviewed for impairment. Based on quantitative and qualitative analyses performed, management concluded the assets were recoverable and no impairment charges were recorded as a result of these triggering events.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3" w:name="page124"/>
    <w:bookmarkEnd w:id="123"/>
    <w:p>
      <w:pPr>
        <w:ind w:left="520" w:hanging="512"/>
        <w:spacing w:after="0"/>
        <w:tabs>
          <w:tab w:leader="none" w:pos="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Long-term debt consisted of the following as of:</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Unamortized debt</w:t>
            </w:r>
          </w:p>
        </w:tc>
        <w:tc>
          <w:tcPr>
            <w:tcW w:w="24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issuance costs /</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 Term Loan</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244,063</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(945 )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229,368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4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Unamortized debt</w:t>
            </w:r>
          </w:p>
        </w:tc>
        <w:tc>
          <w:tcPr>
            <w:tcW w:w="24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issuance costs /</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 Term Loan</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257,813</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(1,496 )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6682740</wp:posOffset>
            </wp:positionH>
            <wp:positionV relativeFrom="paragraph">
              <wp:posOffset>-1002030</wp:posOffset>
            </wp:positionV>
            <wp:extent cx="603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-984885</wp:posOffset>
            </wp:positionV>
            <wp:extent cx="603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-24765</wp:posOffset>
            </wp:positionV>
            <wp:extent cx="603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-7620</wp:posOffset>
            </wp:positionV>
            <wp:extent cx="603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repaid $13.8 million and $8.6 million, respectively, in outstanding principal of the 2021 Term Loan (as defined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Credit Agreement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September 2021, DH Holdings entered into a credit agreement (the “2021 Credit Agreement”) with Bank of America, N.A., as administrative agent, the other lenders party thereto and the other parties specified therein. The 2021 Credit Agreement provides for (i) a $275.0 million term loan A facility (the “2021 Term Loan”) and (ii) a $75.0 million revolving credit facility (the “2021 Revolving Line of Credit” and, together with the 2021 Term Loan, collectively, the “2021 Credit Facilities”), the proceeds of which were used to repay a portion of the indebtedness outstanding under a previous credit agreement. Both the 2021 Term Loan and the 2021 Revolving Line of Credit mature on September 17, 2026. The 2021 Credit Facilities include customary affirmative and negative financial covenants, which, among other limitations, limit DH Holdings’ and its restricted subsidiaries’ ability to sell assets, grant liens on assets, incur other secured indebtedness, and make certain investments, cash dividends, and restricted payments, all subject to exceptions set forth in the 2021 Credit Agreement and a maximum total net leverage ratio financial covenant as set forth in the 2021 Credit Agreement. The 2021 Credit Facilities are guaranteed by all of DH Holdings’ wholly 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 (the “Pledged Assets”). As of December 31, 2024, the Pledged Assets of these subsidiaries approximated $976.4 million, and the net assets of these subsidiaries approximated $586.0 million.</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2021 Term Loan is subject to annual amortization of principal, payable in equal quarterly installments on the last day of each fiscal quarter, commencing on December 31, 2021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$244.1 million and $257.8 million outstanding on the 2021 Term Loan at December 31, 2024 and 2023. respectively.</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DH Holdings is required to pay the lenders under the 2021 Credit Agreement an unused commitment fee of between 0.25% and 0.30% per annum on the undrawn commitments under the 2021 Revolving Line of Credit, depending on the total net leverage ratio, quarterly in arrears. The expense is included in interest expense in the statements of operations. There was no outstanding balance on the 2021 Revolving Line of Credit at December 31, 2024 and 2023. However, in lieu of a security deposit, the Company has provided a standby letter of credit of $0.6 million to the lessor of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corporate headquarters, which reduced the amount available under our revolving credit facility to $74.4 million as of December 31, 2024.</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124" w:name="page125"/>
    <w:bookmarkEnd w:id="124"/>
    <w:p>
      <w:pPr>
        <w:ind w:left="520"/>
        <w:spacing w:after="0"/>
        <w:rPr>
          <w:sz w:val="20"/>
          <w:szCs w:val="20"/>
          <w:color w:val="auto"/>
        </w:rPr>
      </w:pPr>
      <w:r>
        <w:rPr>
          <w:rFonts w:ascii="Times New Roman" w:cs="Times New Roman" w:eastAsia="Times New Roman" w:hAnsi="Times New Roman"/>
          <w:sz w:val="18"/>
          <w:szCs w:val="18"/>
          <w:color w:val="auto"/>
        </w:rPr>
        <w:t>On October 31, 2022, the Company amended the 2021 Credit Agreement to replace the LIBO rate with Term SOFR plus an applicable rate.</w:t>
      </w:r>
    </w:p>
    <w:p>
      <w:pPr>
        <w:spacing w:after="0" w:line="11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For both the 2021 Term Loan and 2021 Revolving Line of Credit, DH Holdings may elect from several interest rate options based on the Term SOFR Rate or the Base Rate plus an applicable margin. The applicable margin is based on the total leverage ratio. As of December 31, 2024, the effective interest rate was 6.21%.</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2021 Credit Agreement, the Company capitalized financing costs totaling $3.5 million, of which $2.8 million related to the 2021 Term Loan facility and $0.8 million related to the 2021 Revolving Line of Credit. The financing costs associated with the 2021 Term Loan facility are recorded as a contra-debt balance in Term loan, net of current portion in the consolidated balance sheets and are amortized over the remaining life of the loan using the effective interest method. The financing costs associated with the 2021 Revolving Line of Credit are recorded in other assets in the consolidated balance sheets and are amortized over the life of the arrangement. The Company amortized capitalized financing costs for the 2021 Credit Agreement through interest expense of $0.7 million for the years ended December 31, 2024 and 2023. At December 31, 2024 and 2023, the unamortized financing costs for the 2021 Revolving Line of Credit were $0.3 million and $0.4 million, respectively.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expected future principal payments under the 2021 Credit Agreement as of December 31, 2024 are as follows:</w:t>
      </w:r>
    </w:p>
    <w:p>
      <w:pPr>
        <w:spacing w:after="0" w:line="311" w:lineRule="exact"/>
        <w:rPr>
          <w:sz w:val="20"/>
          <w:szCs w:val="20"/>
          <w:color w:val="auto"/>
        </w:rPr>
      </w:pPr>
    </w:p>
    <w:tbl>
      <w:tblPr>
        <w:tblLayout w:type="fixed"/>
        <w:tblInd w:w="1420" w:type="dxa"/>
        <w:tblCellMar>
          <w:top w:w="0" w:type="dxa"/>
          <w:left w:w="0" w:type="dxa"/>
          <w:bottom w:w="0" w:type="dxa"/>
          <w:right w:w="0" w:type="dxa"/>
        </w:tblCellMar>
      </w:tblPr>
      <w:tr>
        <w:trPr>
          <w:trHeight w:val="175"/>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80" w:type="dxa"/>
            <w:vAlign w:val="bottom"/>
            <w:shd w:val="clear" w:color="auto" w:fill="CFF0FC"/>
          </w:tcPr>
          <w:p>
            <w:pPr>
              <w:spacing w:after="0"/>
              <w:rPr>
                <w:sz w:val="18"/>
                <w:szCs w:val="18"/>
                <w:color w:val="auto"/>
              </w:rPr>
            </w:pPr>
          </w:p>
        </w:tc>
      </w:tr>
      <w:tr>
        <w:trPr>
          <w:trHeight w:val="216"/>
        </w:trPr>
        <w:tc>
          <w:tcPr>
            <w:tcW w:w="6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230,313</w:t>
            </w:r>
          </w:p>
        </w:tc>
        <w:tc>
          <w:tcPr>
            <w:tcW w:w="80" w:type="dxa"/>
            <w:vAlign w:val="bottom"/>
            <w:tcBorders>
              <w:bottom w:val="single" w:sz="8" w:color="CFF0FC"/>
            </w:tcBorders>
          </w:tcPr>
          <w:p>
            <w:pPr>
              <w:spacing w:after="0"/>
              <w:rPr>
                <w:sz w:val="18"/>
                <w:szCs w:val="18"/>
                <w:color w:val="auto"/>
              </w:rPr>
            </w:pPr>
          </w:p>
        </w:tc>
      </w:tr>
      <w:tr>
        <w:trPr>
          <w:trHeight w:val="249"/>
        </w:trPr>
        <w:tc>
          <w:tcPr>
            <w:tcW w:w="69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244,063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-25400</wp:posOffset>
            </wp:positionV>
            <wp:extent cx="514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5143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January 16, 2025, DH Holdings entered into an amendment to the 2021 Credit Agreement. See Note 23.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5" w:name="page126"/>
    <w:bookmarkEnd w:id="125"/>
    <w:p>
      <w:pPr>
        <w:ind w:left="520" w:hanging="512"/>
        <w:spacing w:after="0"/>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Objective of Using Derivatives</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is exposed to risks from changes in interest rates related to the 2021 Term Loan (See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Interest Rate Risk</w:t>
      </w:r>
    </w:p>
    <w:p>
      <w:pPr>
        <w:spacing w:after="0" w:line="148" w:lineRule="exact"/>
        <w:rPr>
          <w:sz w:val="20"/>
          <w:szCs w:val="20"/>
          <w:color w:val="auto"/>
        </w:rPr>
      </w:pPr>
    </w:p>
    <w:p>
      <w:pPr>
        <w:ind w:firstLine="653"/>
        <w:spacing w:after="0" w:line="258" w:lineRule="auto"/>
        <w:rPr>
          <w:sz w:val="20"/>
          <w:szCs w:val="20"/>
          <w:color w:val="auto"/>
        </w:rPr>
      </w:pPr>
      <w:r>
        <w:rPr>
          <w:rFonts w:ascii="Times New Roman" w:cs="Times New Roman" w:eastAsia="Times New Roman" w:hAnsi="Times New Roman"/>
          <w:sz w:val="18"/>
          <w:szCs w:val="18"/>
          <w:color w:val="auto"/>
        </w:rPr>
        <w:t xml:space="preserve">The Company entered into two interest rate swap agreements, effective on March 31, 2022. Until October 31, 2022, the counterparties to each of the agreements paid the Company interest at a floating rate on the notional amounts based on the one-month USD-LIBOR swap rate. On October 31, 2022, in conjunction with the amendment to the 2021 Credit Agreement (See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Company amended the two interest rate swap agreements to replace the LIBO rate with Term SOFR. As a result, subsequent to October 31, 2022, the counterparties paid and will continue to pay interest at a floating rate based on Term SOFR.</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the two outstanding interest rate swap agreements each had a notional value of $61.0 million with fixed interest rates of 1.90650% and 1.90900%. Interest payments under the swaps are made monthly on a net settlement basis. The Company has not recorded any amounts due to ineffectiveness for the year ended December 31, 2024. The notional value of each interest rate swap agreement is expected to match the corresponding principal amount of a portion of our borrowings under the 2021 Term Loan. The swap agreements mature on March 31, 2025.</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derivative interest rate swaps are designated and qualify as cash flow hedges. Consequently, the change in the estimated fair value of the effective portion of the derivative is recognized in accumulated other comprehensive income (“AOCI”) on our consolidated balance sheets and reclassified to interest expense, net, when the underlying transaction has an impact on earnings. The Company expects to recognize approximately $0.7 million of net pre-tax gains from accumulated other comprehensive income as a reduction of interest expense in the next twelve months associated with its interest rate swaps. The Company recognizes derivative instruments and hedging activities on a gross basis as either assets or liabilities on the Company’s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fair values of the interest rate swaps and their respective locations in our consolidated balance sheets at December 31, 2024 and 2023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3"/>
                <w:szCs w:val="13"/>
                <w:color w:val="auto"/>
              </w:rPr>
            </w:pPr>
          </w:p>
        </w:tc>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5"/>
                <w:szCs w:val="15"/>
                <w:color w:val="auto"/>
              </w:rPr>
            </w:pPr>
          </w:p>
        </w:tc>
        <w:tc>
          <w:tcPr>
            <w:tcW w:w="2500" w:type="dxa"/>
            <w:vAlign w:val="bottom"/>
            <w:tcBorders>
              <w:bottom w:val="single" w:sz="8" w:color="auto"/>
            </w:tcBorders>
            <w:vMerge w:val="continue"/>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derivative asset</w:t>
            </w:r>
          </w:p>
        </w:tc>
        <w:tc>
          <w:tcPr>
            <w:tcW w:w="220" w:type="dxa"/>
            <w:vAlign w:val="bottom"/>
            <w:shd w:val="clear" w:color="auto" w:fill="CFF0FC"/>
          </w:tcPr>
          <w:p>
            <w:pPr>
              <w:spacing w:after="0"/>
              <w:rPr>
                <w:sz w:val="18"/>
                <w:szCs w:val="18"/>
                <w:color w:val="auto"/>
              </w:rPr>
            </w:pPr>
          </w:p>
        </w:tc>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derivative asset</w:t>
            </w:r>
          </w:p>
        </w:tc>
        <w:tc>
          <w:tcPr>
            <w:tcW w:w="22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F-35</w:t>
            </w: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26" w:name="page127"/>
    <w:bookmarkEnd w:id="126"/>
    <w:p>
      <w:pPr>
        <w:ind w:left="520" w:hanging="512"/>
        <w:spacing w:after="0"/>
        <w:tabs>
          <w:tab w:leader="none" w:pos="5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sz w:val="20"/>
          <w:szCs w:val="20"/>
          <w:color w:val="auto"/>
        </w:rPr>
      </w:pPr>
    </w:p>
    <w:p>
      <w:pPr>
        <w:jc w:val="both"/>
        <w:ind w:right="280" w:firstLine="509"/>
        <w:spacing w:after="0" w:line="267" w:lineRule="auto"/>
        <w:rPr>
          <w:sz w:val="20"/>
          <w:szCs w:val="20"/>
          <w:color w:val="auto"/>
        </w:rPr>
      </w:pPr>
      <w:r>
        <w:rPr>
          <w:rFonts w:ascii="Times New Roman" w:cs="Times New Roman" w:eastAsia="Times New Roman" w:hAnsi="Times New Roman"/>
          <w:sz w:val="18"/>
          <w:szCs w:val="18"/>
          <w:color w:val="auto"/>
        </w:rPr>
        <w:t>ASC 820—</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17" w:lineRule="exact"/>
        <w:rPr>
          <w:sz w:val="20"/>
          <w:szCs w:val="20"/>
          <w:color w:val="auto"/>
        </w:rPr>
      </w:pPr>
    </w:p>
    <w:p>
      <w:pPr>
        <w:ind w:left="520" w:right="46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 value.</w:t>
      </w:r>
    </w:p>
    <w:p>
      <w:pPr>
        <w:spacing w:after="0" w:line="54"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subject to the three-level fair value hierarchy consist principally of cash and equivalents, short-term investments, accounts receivable, derivative financial instruments, accounts payable, long-term and short-term debt and contingent consideration payable. The estimated fair value of cash included in cash and cash equivalents, accounts receivable, and accounts payable approximates their carrying value due to their short maturities (less than 12 months).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Company’s short- and long-term debt are recorded at their carrying values in the consolidated balance sheets. The estimated fair values of the Company’s short- and long-term debt approximate their carrying values as of December 31, 2024 and 2023, based on interest rates currently available to the Company for similar borrowings.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Money market funds (included in cash and 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Money market funds are recorded at fair value using quoted market prices in active markets and are classified as Level 1 in the fair value hierarchy.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values of investments in U.S. treasuries, agency bond securities, commercial paper, and certificates of deposit using level 2 inputs, by taking into consideration valuations obtained from a third-party pricing service.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market yield curves, benchmark securities, prepayment/default projections based on historical data, and other observable inputs.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Currently, the Company uses interest rate swaps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w:t>
      </w:r>
    </w:p>
    <w:p>
      <w:pPr>
        <w:spacing w:after="0" w:line="68" w:lineRule="exact"/>
        <w:rPr>
          <w:sz w:val="20"/>
          <w:szCs w:val="20"/>
          <w:color w:val="auto"/>
        </w:rPr>
      </w:pPr>
    </w:p>
    <w:p>
      <w:pPr>
        <w:ind w:right="920" w:firstLine="509"/>
        <w:spacing w:after="0" w:line="282" w:lineRule="auto"/>
        <w:rPr>
          <w:sz w:val="20"/>
          <w:szCs w:val="20"/>
          <w:color w:val="auto"/>
        </w:rPr>
      </w:pPr>
      <w:r>
        <w:rPr>
          <w:rFonts w:ascii="Times New Roman" w:cs="Times New Roman" w:eastAsia="Times New Roman" w:hAnsi="Times New Roman"/>
          <w:sz w:val="18"/>
          <w:szCs w:val="18"/>
          <w:color w:val="auto"/>
        </w:rPr>
        <w:t>To comply with the provisions of ASC 820, the Company incorporates credit valuation adjustments to appropriately reflect both its own nonperformance risk and the respective counterparty’s nonperformance risk in the fair value measurements.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December 31, 2024 and 2023 were classified as Level 2 in the fair value hierarchy.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deferred consideration resulting from the acquisition of Populi in the third quarter of 2023, which is subject to meeting certain revenue metrics during calendar years 2024 and 2025, is measured at fair value on a recurring basis using a Monte Carlo simulation with unobservable inputs. These inputs include the estimated amount and timing of projected future revenue, a discount rate, a risk-free rate, asset volatility, and revenue volatility. At December 31, 2024, the fair value of the contingent consideration, which was based on the present value of the amount expected to be paid at the end of the measurement period, was estimated to be $7.0 million, of which $3.0 million was included in accrued expenses and other liabilities and $4.0 million was included in other liabilities on the consolidated balance sheets. The change in estimate of</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27" w:name="page128"/>
    <w:bookmarkEnd w:id="127"/>
    <w:p>
      <w:pPr>
        <w:ind w:right="120"/>
        <w:spacing w:after="0" w:line="282" w:lineRule="auto"/>
        <w:rPr>
          <w:sz w:val="20"/>
          <w:szCs w:val="20"/>
          <w:color w:val="auto"/>
        </w:rPr>
      </w:pPr>
      <w:r>
        <w:rPr>
          <w:rFonts w:ascii="Times New Roman" w:cs="Times New Roman" w:eastAsia="Times New Roman" w:hAnsi="Times New Roman"/>
          <w:sz w:val="18"/>
          <w:szCs w:val="18"/>
          <w:color w:val="auto"/>
        </w:rPr>
        <w:t>contingent consideration subsequent to initial measurement as of the acquisition date was recorded in transaction, integration, and restructuring expense in the accompanying consolidated statements of operations.</w:t>
      </w:r>
    </w:p>
    <w:p>
      <w:pPr>
        <w:spacing w:after="0" w:line="5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contingent consideration that resulted from the earnout associated with the acquisition of Analytical Wizards Inc. in February 2022, which was included in accrued expenses and other liabilities in the consolidated balance sheets as of December 31, 2023, was paid during the year ended December 31, 2024.</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p>
      <w:pPr>
        <w:spacing w:after="0" w:line="157"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change in fair value and other adjustments</w:t>
            </w:r>
          </w:p>
        </w:tc>
        <w:tc>
          <w:tcPr>
            <w:tcW w:w="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(1,780 )</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(1,602 )</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-24765</wp:posOffset>
            </wp:positionV>
            <wp:extent cx="603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-7620</wp:posOffset>
            </wp:positionV>
            <wp:extent cx="603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Certain assets and liabilities, including property, plant and equipment, lease right-of-use assets,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p>
    <w:p>
      <w:pPr>
        <w:spacing w:after="0" w:line="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performed interim goodwill impairment tests on three occasions during the year ended December 31, 2024 and concluded in each case that the carrying value of its single reporting unit exceeded its fair value. Accordingly, the Company recorded $688.9 million in non-cash goodwill impairment charges during the year ended December 31, 2024. The Company performed an interim goodwill impairment test during the third quarter of 2023 and concluded that the carrying value of its single reporting unit exceeded its fair value and recorded a $287.4 million non-cash goodwill impairment charge for the year ended December 31, 2023. For further discussion about the impairment testing of assets not measured at fair value on a recurring basis, see Note 9.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2024 and 2023, assets and liabilities measured at fair value on a recurring basis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430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63,389</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63,389</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 (maturities less than 90 days)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127,682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127,682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3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F-37</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8" w:name="page129"/>
    <w:bookmarkEnd w:id="128"/>
    <w:tbl>
      <w:tblPr>
        <w:tblLayout w:type="fixed"/>
        <w:tblInd w:w="300" w:type="dxa"/>
        <w:tblCellMar>
          <w:top w:w="0" w:type="dxa"/>
          <w:left w:w="0" w:type="dxa"/>
          <w:bottom w:w="0" w:type="dxa"/>
          <w:right w:w="0" w:type="dxa"/>
        </w:tblCellMar>
      </w:tblPr>
      <w:tr>
        <w:trPr>
          <w:trHeight w:val="173"/>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87,869</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87,869</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 (maturities less than 90 days)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Certificates of deposit (maturities less than 90 days)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94,336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94,336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December 31, 2024 and 2023, except for the long-term contingent consideration noted above, the estimated fair values of all of the Company’s financial assets and liabilities subject to the three-level fair value hierarchy approximated their carrying values due to their short-term maturities (less than 12 months).</w:t>
      </w:r>
    </w:p>
    <w:p>
      <w:pPr>
        <w:spacing w:after="0" w:line="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19" w:right="479" w:bottom="1440" w:gutter="0" w:footer="0" w:header="0"/>
        </w:sectPr>
      </w:pPr>
    </w:p>
    <w:bookmarkStart w:id="129" w:name="page130"/>
    <w:bookmarkEnd w:id="129"/>
    <w:p>
      <w:pPr>
        <w:ind w:left="520" w:hanging="512"/>
        <w:spacing w:after="0"/>
        <w:tabs>
          <w:tab w:leader="none" w:pos="5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Liabilities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payroll-related</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current portion</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20,095</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capital data expenditures</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franchise and other taxes</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100" w:type="dxa"/>
            <w:vAlign w:val="bottom"/>
          </w:tcPr>
          <w:p>
            <w:pPr>
              <w:spacing w:after="0"/>
              <w:rPr>
                <w:sz w:val="18"/>
                <w:szCs w:val="18"/>
                <w:color w:val="auto"/>
              </w:rPr>
            </w:pPr>
          </w:p>
        </w:tc>
      </w:tr>
      <w:tr>
        <w:trPr>
          <w:trHeight w:val="249"/>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40,896</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51,529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-25400</wp:posOffset>
            </wp:positionV>
            <wp:extent cx="6032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January 3, 2024, the Company committed to a restructuring plan (the “2024 Restructuring Plan”) intended to reduce operating costs, improve operating margins, and continue advancing the Company’s ongoing commitment to profitable growth. The 2024 Restructuring Plan provided for a reduction of the Company’s current workforce by approximately 150 people. During the year ended December 31, 2024, the Company incurred restructuring and related charges of $8.1 million, consisting of severance payments, employee benefits, and related cash expenses. As of December 31, 2024, $0.2 million of severance and separation benefits is included in accrued expenses and other liabilities in the consolidated balance sheets and the Company expects these payments will be made over the next six months. The Company does not expect to incur any additional material charges associated with the 2024 Restructuring Plan.</w:t>
      </w:r>
    </w:p>
    <w:p>
      <w:pPr>
        <w:spacing w:after="0" w:line="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During the first and third quarters of 2023, the Company announced restructuring plans with similar objectives (the “2023 Restructuring Plans” and, collectively with the 2024 Restructuring Plan, the “Restructuring Plans”. During the year ended December 31, 2023, the Company incurred restructuring and related charges of $4.7 million, consisting primarily of severance payments, employee benefits, and related cash expenses. These charges were recognized within transaction, integration, and restructuring expenses in the Company’s consolidated statements of operations.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employee termination costs in the Company’s liabilities resulting from the Restructuring Plans: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73"/>
        </w:trPr>
        <w:tc>
          <w:tcPr>
            <w:tcW w:w="58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360" w:type="dxa"/>
            <w:vAlign w:val="bottom"/>
          </w:tcPr>
          <w:p>
            <w:pPr>
              <w:spacing w:after="0"/>
              <w:rPr>
                <w:sz w:val="15"/>
                <w:szCs w:val="15"/>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Restructuring Plans</w:t>
            </w:r>
          </w:p>
        </w:tc>
        <w:tc>
          <w:tcPr>
            <w:tcW w:w="120" w:type="dxa"/>
            <w:vAlign w:val="bottom"/>
          </w:tcPr>
          <w:p>
            <w:pPr>
              <w:spacing w:after="0"/>
              <w:rPr>
                <w:sz w:val="15"/>
                <w:szCs w:val="15"/>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Restructuring Plan</w:t>
            </w:r>
          </w:p>
        </w:tc>
        <w:tc>
          <w:tcPr>
            <w:tcW w:w="560" w:type="dxa"/>
            <w:vAlign w:val="bottom"/>
          </w:tcPr>
          <w:p>
            <w:pPr>
              <w:spacing w:after="0"/>
              <w:rPr>
                <w:sz w:val="15"/>
                <w:szCs w:val="15"/>
                <w:color w:val="auto"/>
              </w:rPr>
            </w:pPr>
          </w:p>
        </w:tc>
      </w:tr>
      <w:tr>
        <w:trPr>
          <w:trHeight w:val="209"/>
        </w:trPr>
        <w:tc>
          <w:tcPr>
            <w:tcW w:w="5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360" w:type="dxa"/>
            <w:vAlign w:val="bottom"/>
          </w:tcPr>
          <w:p>
            <w:pPr>
              <w:spacing w:after="0"/>
              <w:rPr>
                <w:sz w:val="18"/>
                <w:szCs w:val="18"/>
                <w:color w:val="auto"/>
              </w:rPr>
            </w:pPr>
          </w:p>
        </w:tc>
        <w:tc>
          <w:tcPr>
            <w:tcW w:w="3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Charges incurred</w:t>
            </w:r>
          </w:p>
        </w:tc>
        <w:tc>
          <w:tcPr>
            <w:tcW w:w="3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payments made</w:t>
            </w:r>
          </w:p>
        </w:tc>
        <w:tc>
          <w:tcPr>
            <w:tcW w:w="3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(4,557 )</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3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Charges incurred</w:t>
            </w:r>
          </w:p>
        </w:tc>
        <w:tc>
          <w:tcPr>
            <w:tcW w:w="3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payments made</w:t>
            </w:r>
          </w:p>
        </w:tc>
        <w:tc>
          <w:tcPr>
            <w:tcW w:w="3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(7,911 )</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36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20"/>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700" w:type="dxa"/>
            <w:vAlign w:val="bottom"/>
            <w:gridSpan w:val="2"/>
          </w:tcPr>
          <w:p>
            <w:pPr>
              <w:jc w:val="right"/>
              <w:ind w:right="1935"/>
              <w:spacing w:after="0"/>
              <w:rPr>
                <w:sz w:val="20"/>
                <w:szCs w:val="20"/>
                <w:color w:val="auto"/>
              </w:rPr>
            </w:pPr>
            <w:r>
              <w:rPr>
                <w:rFonts w:ascii="Times New Roman" w:cs="Times New Roman" w:eastAsia="Times New Roman" w:hAnsi="Times New Roman"/>
                <w:sz w:val="18"/>
                <w:szCs w:val="18"/>
                <w:color w:val="auto"/>
              </w:rPr>
              <w:t>F-39</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-1293495</wp:posOffset>
            </wp:positionV>
            <wp:extent cx="603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-1293495</wp:posOffset>
            </wp:positionV>
            <wp:extent cx="603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-1010920</wp:posOffset>
            </wp:positionV>
            <wp:extent cx="603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-1010920</wp:posOffset>
            </wp:positionV>
            <wp:extent cx="603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30" w:name="page131"/>
    <w:bookmarkEnd w:id="130"/>
    <w:p>
      <w:pPr>
        <w:ind w:left="520" w:hanging="512"/>
        <w:spacing w:after="0"/>
        <w:tabs>
          <w:tab w:leader="none" w:pos="5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enters into purchase obligations in the normal course of doing business. The estimated annual minimum purchase commitments under those agreements were as follows for each of the years ending December 31:</w:t>
      </w:r>
    </w:p>
    <w:p>
      <w:pPr>
        <w:spacing w:after="0" w:line="248"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8200" w:type="dxa"/>
            <w:vAlign w:val="bottom"/>
          </w:tcPr>
          <w:p>
            <w:pPr>
              <w:jc w:val="right"/>
              <w:ind w:right="7234"/>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8200" w:type="dxa"/>
            <w:vAlign w:val="bottom"/>
            <w:shd w:val="clear" w:color="auto" w:fill="CFF0FC"/>
          </w:tcPr>
          <w:p>
            <w:pPr>
              <w:jc w:val="right"/>
              <w:ind w:right="7694"/>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24,793</w:t>
            </w:r>
          </w:p>
        </w:tc>
        <w:tc>
          <w:tcPr>
            <w:tcW w:w="100" w:type="dxa"/>
            <w:vAlign w:val="bottom"/>
            <w:shd w:val="clear" w:color="auto" w:fill="CFF0FC"/>
          </w:tcPr>
          <w:p>
            <w:pPr>
              <w:spacing w:after="0"/>
              <w:rPr>
                <w:sz w:val="18"/>
                <w:szCs w:val="18"/>
                <w:color w:val="auto"/>
              </w:rPr>
            </w:pPr>
          </w:p>
        </w:tc>
      </w:tr>
      <w:tr>
        <w:trPr>
          <w:trHeight w:val="216"/>
        </w:trPr>
        <w:tc>
          <w:tcPr>
            <w:tcW w:w="8200" w:type="dxa"/>
            <w:vAlign w:val="bottom"/>
          </w:tcPr>
          <w:p>
            <w:pPr>
              <w:jc w:val="right"/>
              <w:ind w:right="7694"/>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100" w:type="dxa"/>
            <w:vAlign w:val="bottom"/>
          </w:tcPr>
          <w:p>
            <w:pPr>
              <w:spacing w:after="0"/>
              <w:rPr>
                <w:sz w:val="18"/>
                <w:szCs w:val="18"/>
                <w:color w:val="auto"/>
              </w:rPr>
            </w:pPr>
          </w:p>
        </w:tc>
      </w:tr>
      <w:tr>
        <w:trPr>
          <w:trHeight w:val="216"/>
        </w:trPr>
        <w:tc>
          <w:tcPr>
            <w:tcW w:w="8200" w:type="dxa"/>
            <w:vAlign w:val="bottom"/>
            <w:shd w:val="clear" w:color="auto" w:fill="CFF0FC"/>
          </w:tcPr>
          <w:p>
            <w:pPr>
              <w:jc w:val="right"/>
              <w:ind w:right="7694"/>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100" w:type="dxa"/>
            <w:vAlign w:val="bottom"/>
            <w:shd w:val="clear" w:color="auto" w:fill="CFF0FC"/>
          </w:tcPr>
          <w:p>
            <w:pPr>
              <w:spacing w:after="0"/>
              <w:rPr>
                <w:sz w:val="18"/>
                <w:szCs w:val="18"/>
                <w:color w:val="auto"/>
              </w:rPr>
            </w:pPr>
          </w:p>
        </w:tc>
      </w:tr>
      <w:tr>
        <w:trPr>
          <w:trHeight w:val="216"/>
        </w:trPr>
        <w:tc>
          <w:tcPr>
            <w:tcW w:w="8200" w:type="dxa"/>
            <w:vAlign w:val="bottom"/>
            <w:tcBorders>
              <w:bottom w:val="single" w:sz="8" w:color="CFF0FC"/>
            </w:tcBorders>
          </w:tcPr>
          <w:p>
            <w:pPr>
              <w:jc w:val="right"/>
              <w:ind w:right="7694"/>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FF0FC"/>
            </w:tcBorders>
          </w:tcPr>
          <w:p>
            <w:pPr>
              <w:spacing w:after="0"/>
              <w:rPr>
                <w:sz w:val="18"/>
                <w:szCs w:val="18"/>
                <w:color w:val="auto"/>
              </w:rPr>
            </w:pPr>
          </w:p>
        </w:tc>
      </w:tr>
      <w:tr>
        <w:trPr>
          <w:trHeight w:val="249"/>
        </w:trPr>
        <w:tc>
          <w:tcPr>
            <w:tcW w:w="8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6682740</wp:posOffset>
            </wp:positionH>
            <wp:positionV relativeFrom="paragraph">
              <wp:posOffset>-25400</wp:posOffset>
            </wp:positionV>
            <wp:extent cx="6032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-7620</wp:posOffset>
            </wp:positionV>
            <wp:extent cx="603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-170815</wp:posOffset>
            </wp:positionV>
            <wp:extent cx="603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From time to time, the Company is subject to various legal proceedings and claims, which arise during the ordinary course of business. The</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outcomes of such matters are not expected to have a material, adverse effect on the Company’s financial position, results of operations, and/or cash flows.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31" w:name="page132"/>
    <w:bookmarkEnd w:id="131"/>
    <w:p>
      <w:pPr>
        <w:ind w:left="520" w:hanging="512"/>
        <w:spacing w:after="0"/>
        <w:tabs>
          <w:tab w:leader="none" w:pos="5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accumulated balances of other comprehensive income (“AOCI”) for the years ended December 31, 2024, 2023 and 2022, respectively.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4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(Loss) on Cash Flow</w:t>
            </w:r>
          </w:p>
        </w:tc>
        <w:tc>
          <w:tcPr>
            <w:tcW w:w="14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 on Investments</w:t>
            </w:r>
          </w:p>
        </w:tc>
        <w:tc>
          <w:tcPr>
            <w:tcW w:w="18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5"/>
                <w:szCs w:val="15"/>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2021</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(135 )</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(566 )</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(173 )</w:t>
            </w:r>
          </w:p>
        </w:tc>
        <w:tc>
          <w:tcPr>
            <w:tcW w:w="5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(173 )</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(135 ) $</w:t>
            </w:r>
          </w:p>
        </w:tc>
        <w:tc>
          <w:tcPr>
            <w:tcW w:w="150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(504 ) $</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(3,039 )</w:t>
            </w:r>
          </w:p>
        </w:tc>
        <w:tc>
          <w:tcPr>
            <w:tcW w:w="5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(3,039 )</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0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(374 )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(304 )</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(3,133 )</w:t>
            </w:r>
          </w:p>
        </w:tc>
        <w:tc>
          <w:tcPr>
            <w:tcW w:w="5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(3,133 )</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shd w:val="clear" w:color="auto" w:fill="CFF0FC"/>
          </w:tcPr>
          <w:p>
            <w:pPr>
              <w:jc w:val="right"/>
              <w:ind w:right="357"/>
              <w:spacing w:after="0"/>
              <w:rPr>
                <w:sz w:val="20"/>
                <w:szCs w:val="20"/>
                <w:color w:val="auto"/>
              </w:rPr>
            </w:pPr>
            <w:r>
              <w:rPr>
                <w:rFonts w:ascii="Times New Roman" w:cs="Times New Roman" w:eastAsia="Times New Roman" w:hAnsi="Times New Roman"/>
                <w:sz w:val="18"/>
                <w:szCs w:val="18"/>
                <w:color w:val="auto"/>
              </w:rPr>
              <w:t>(19 ) $</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(678 ) $</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(610 )</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300" w:type="dxa"/>
            <w:vAlign w:val="bottom"/>
          </w:tcPr>
          <w:p>
            <w:pPr>
              <w:spacing w:after="0"/>
              <w:rPr>
                <w:sz w:val="24"/>
                <w:szCs w:val="24"/>
                <w:color w:val="auto"/>
              </w:rPr>
            </w:pPr>
          </w:p>
        </w:tc>
        <w:tc>
          <w:tcPr>
            <w:tcW w:w="50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w w:val="99"/>
              </w:rPr>
              <w:t>F-41</w:t>
            </w:r>
          </w:p>
        </w:tc>
        <w:tc>
          <w:tcPr>
            <w:tcW w:w="10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-1430655</wp:posOffset>
            </wp:positionV>
            <wp:extent cx="596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-1430655</wp:posOffset>
            </wp:positionV>
            <wp:extent cx="603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-1430655</wp:posOffset>
            </wp:positionV>
            <wp:extent cx="603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-1430655</wp:posOffset>
            </wp:positionV>
            <wp:extent cx="603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-864870</wp:posOffset>
            </wp:positionV>
            <wp:extent cx="596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-848360</wp:posOffset>
            </wp:positionV>
            <wp:extent cx="596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-864870</wp:posOffset>
            </wp:positionV>
            <wp:extent cx="603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-848360</wp:posOffset>
            </wp:positionV>
            <wp:extent cx="603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-864870</wp:posOffset>
            </wp:positionV>
            <wp:extent cx="603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-848360</wp:posOffset>
            </wp:positionV>
            <wp:extent cx="603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-864870</wp:posOffset>
            </wp:positionV>
            <wp:extent cx="603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-848360</wp:posOffset>
            </wp:positionV>
            <wp:extent cx="603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32" w:name="page133"/>
    <w:bookmarkEnd w:id="132"/>
    <w:p>
      <w:pPr>
        <w:ind w:left="520" w:hanging="512"/>
        <w:spacing w:after="0"/>
        <w:tabs>
          <w:tab w:leader="none" w:pos="5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has Class A Common Stock, Class B Common Stock and Preferred Stock. Holders of outstanding shares of Class A and Class B Common Stock vote as a single class on all matters on which stockholders are entitled to vote generally, except as otherwise required by law. Class B Common Stock issued to holders of Definitive OpCo Units (directly or indirectly through AIDH Management Holdings, LLC) that are unvested shall have no vote per share until such time as such Units have vested.</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Class A Common Stockholders are entitled to receive dividends, if declared by our board of directors out of legally available funds. 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Class B Common Stockholders are not entitled to economic interests in Definitive Healthcare Corp. and do not have any right to receive dividends or to receive a distribution upon a liquidation or winding up of Definitive Healthcare Corp.</w:t>
      </w:r>
    </w:p>
    <w:p>
      <w:pPr>
        <w:spacing w:after="0" w:line="5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Shares of Preferred Stock have not been issued at December 31, 2024. The board of directors may authorize one or more series of Preferred Stock (including convertible Preferred Stock) and will determine, with respect to any series of Preferred Stock, the voting rights, preferences, participation, or other special right and limitations.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Under the Amended Definitive OpCo LLC Agreement, the holders of LLC Units other than Definitive Healthcare Corp. (“LLC Members”) have the right to redeem or exchange all or a portion of their LLC Units for newly issued shares of Class A Common Stock, which may consist of unregistered shares, on a one-for-one basis. Shares of Class B Common Stock and their corresponding LLC Units will be canceled on a one-for-one basis once an exchange has been completed.</w:t>
      </w:r>
    </w:p>
    <w:p>
      <w:pPr>
        <w:spacing w:after="0" w:line="7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Upon formation of Definitive OpCo in conjunction with the Advent Acquisition in July 2019, two classes of LLC units were established: Class A Units (“Class A Units”) and Class B Units (“Class B Units”), collectively “the Units”.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Refer to Note 17. </w:t>
      </w:r>
      <w:r>
        <w:rPr>
          <w:rFonts w:ascii="Times New Roman" w:cs="Times New Roman" w:eastAsia="Times New Roman" w:hAnsi="Times New Roman"/>
          <w:sz w:val="18"/>
          <w:szCs w:val="18"/>
          <w:i w:val="1"/>
          <w:iCs w:val="1"/>
          <w:color w:val="auto"/>
        </w:rPr>
        <w:t>Equity-Based Compensation</w:t>
      </w:r>
      <w:r>
        <w:rPr>
          <w:rFonts w:ascii="Times New Roman" w:cs="Times New Roman" w:eastAsia="Times New Roman" w:hAnsi="Times New Roman"/>
          <w:sz w:val="18"/>
          <w:szCs w:val="18"/>
          <w:color w:val="auto"/>
        </w:rPr>
        <w:t xml:space="preserve"> for further information on Class B Units.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consolidated financial statements based on the LLC Units held by Continuing Pre-IPO LLC Members other than Definitive Healthcare Corp. Changes in Definitive Healthcare Corp.’s ownership interest in its consolidated subsidiaries are accounted for as equity transactions. As such, future redemptions or direct exchanges of LLC Units by such Continuing Pre-IPO LLC Members will result in a change in ownership and reduce or increase the amount recorded as noncontrolling interests and increase or decrease additional paid-in capital in the Company’s consolidated balance sheets.</w:t>
      </w:r>
    </w:p>
    <w:p>
      <w:pPr>
        <w:spacing w:after="0" w:line="8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270,251 LLC Units held by Continuing Pre-IPO LLC Members were exchanged for shares of Class A Common Stock of Definitive Healthcare Corp. pursuant to the terms of the Amended LLC Agreement. In addition, 2,883,145 restricted stock units (“RSUs”) vested and 981,295 shares of Class A Common Stock were withheld to cover withholding tax obligations, resulting in the net issuance of 1,901,850 shares of Class A Common Stock of Definitive Healthcare Corp. Furthermore, 4,780,799 shares of Class A Common Stock have been repurchased and subsequently retired under stock repurchase programs authorized by the Company’s board of directors. Pursuant to the Definitive OpCo second amended and restated limited liability company agreement entered into in connection with the IPO, LLC Units were issued on a one-for-one basis in connection with the vesting of RSUs and LLC Units were cancelled on a one-for-one basis in connection with the repurchases of shares of the Company’s Class A Common Stock.</w:t>
      </w:r>
    </w:p>
    <w:p>
      <w:pPr>
        <w:spacing w:after="0" w:line="8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Definitive Healthcare Corp. held ownership interests in Definitive OpCo of 74.3% and 74.9%, respectively, and noncontrolling interests of 25.7% and 25.1%,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133" w:name="page134"/>
    <w:bookmarkEnd w:id="133"/>
    <w:p>
      <w:pPr>
        <w:ind w:left="520" w:hanging="512"/>
        <w:spacing w:after="0"/>
        <w:tabs>
          <w:tab w:leader="none" w:pos="5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Incentive Equity Plan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Definitive Healthcare Corp. 2021 Equity Incentive Plan (the “2021 Plan”) was adopted in September 2021. The types of grants available under the 2021 Plan include stock options (both incentive and non-qualified), stock appreciation rights (“SARs”), restricted stock awards (“RSAs”), restricted stock units (“RSUs”), and stock-based awards.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number of shares of Class A Common Stock available for grant under the 2021 Plan was 10,600,545 shares at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RSUs granted under this plan have time-based and/or performance-based vesting criteria.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Inducement Plan</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Definitive Healthcare Corp. 2023 Inducement Plan (the “Inducement Plan”) was adopted in September 2023 for the purpose of granting equity-based awards to individuals who were not previously employees or directors of the Company. The Inducement Plan provides for the grant of equity-based awards in the form of nonstatutory stock options, SARs, RSAs, RSUs, and dividend equivalent rights.</w:t>
      </w:r>
    </w:p>
    <w:p>
      <w:pPr>
        <w:spacing w:after="0" w:line="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aggregate number of shares of Class A Common Stock available for grant under the Inducement Plan was 1,520,408 shares at December 31, 2024. The outstanding RSUs granted under this plan have time-based and/or performance-based vesting criteria.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Time-Based RSUs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Outstanding time-based RSUs granted under the 2021 Plan generally vest partially on the one-year anniversary of each grant and quarterly over the subsequent two- or three-year period. Outstanding time-based RSUs granted under the Inducement Plan generally vest partially in annual and quarterly increments over the subsequent two-, three-, or four-year periods.</w:t>
      </w:r>
    </w:p>
    <w:p>
      <w:pPr>
        <w:spacing w:after="0" w:line="68"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accelerated the vesting of 779,024 previously unvested time-based RSUs, along with 67,937 previously unvested LLC Units. Remaining unvested shares held by the award holders were forfeited upon separation, and the modifications resulted in incremental stock-based compensation charges of approximately $4.2 million during the year ended December 31, 2024.</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accelerated the vesting of 99,662 previously unvested time-based RSUs in connection with restructuring plans announced during the year, along with the departure of two management-level employees. The incremental stock-based compensation expense resulting from the modifications was not material and any unvested time-based RSUs and PSUs held by the individuals were forfeited upon separation.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unvested time-based RSU activity 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141605</wp:posOffset>
            </wp:positionV>
            <wp:extent cx="85725" cy="13652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4">
                      <a:extLst>
                        <a:ext uri="{28A0092B-C50C-407E-A947-70E740481C1C}"/>
                      </a:extLst>
                    </a:blip>
                    <a:srcRect/>
                    <a:stretch>
                      <a:fillRect/>
                    </a:stretch>
                  </pic:blipFill>
                  <pic:spPr bwMode="auto">
                    <a:xfrm>
                      <a:off x="0" y="0"/>
                      <a:ext cx="85725" cy="13652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141605</wp:posOffset>
            </wp:positionV>
            <wp:extent cx="85725" cy="13652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5">
                      <a:extLst>
                        <a:ext uri="{28A0092B-C50C-407E-A947-70E740481C1C}"/>
                      </a:extLst>
                    </a:blip>
                    <a:srcRect/>
                    <a:stretch>
                      <a:fillRect/>
                    </a:stretch>
                  </pic:blipFill>
                  <pic:spPr bwMode="auto">
                    <a:xfrm>
                      <a:off x="0" y="0"/>
                      <a:ext cx="85725" cy="13652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p>
      <w:pPr>
        <w:spacing w:after="0" w:line="223" w:lineRule="exact"/>
        <w:rPr>
          <w:sz w:val="20"/>
          <w:szCs w:val="20"/>
          <w:color w:val="auto"/>
        </w:rPr>
      </w:pPr>
    </w:p>
    <w:tbl>
      <w:tblPr>
        <w:tblLayout w:type="fixed"/>
        <w:tblInd w:w="4320" w:type="dxa"/>
        <w:tblCellMar>
          <w:top w:w="0" w:type="dxa"/>
          <w:left w:w="0" w:type="dxa"/>
          <w:bottom w:w="0" w:type="dxa"/>
          <w:right w:w="0" w:type="dxa"/>
        </w:tblCellMar>
      </w:tblPr>
      <w:tr>
        <w:trPr>
          <w:trHeight w:val="162"/>
        </w:trPr>
        <w:tc>
          <w:tcPr>
            <w:tcW w:w="120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tcPr>
          <w:p>
            <w:pPr>
              <w:jc w:val="right"/>
              <w:ind w:right="1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4"/>
        </w:trPr>
        <w:tc>
          <w:tcPr>
            <w:tcW w:w="120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820" w:type="dxa"/>
            <w:vAlign w:val="bottom"/>
          </w:tcPr>
          <w:p>
            <w:pPr>
              <w:jc w:val="center"/>
              <w:ind w:left="348"/>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200" w:type="dxa"/>
            <w:vAlign w:val="bottom"/>
            <w:vMerge w:val="continue"/>
          </w:tcPr>
          <w:p>
            <w:pPr>
              <w:spacing w:after="0"/>
              <w:rPr>
                <w:sz w:val="12"/>
                <w:szCs w:val="12"/>
                <w:color w:val="auto"/>
              </w:rPr>
            </w:pPr>
          </w:p>
        </w:tc>
        <w:tc>
          <w:tcPr>
            <w:tcW w:w="182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12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8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1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4"/>
        </w:trPr>
        <w:tc>
          <w:tcPr>
            <w:tcW w:w="160" w:type="dxa"/>
            <w:vAlign w:val="bottom"/>
          </w:tcPr>
          <w:p>
            <w:pPr>
              <w:spacing w:after="0"/>
              <w:rPr>
                <w:sz w:val="12"/>
                <w:szCs w:val="12"/>
                <w:color w:val="auto"/>
              </w:rPr>
            </w:pPr>
          </w:p>
        </w:tc>
        <w:tc>
          <w:tcPr>
            <w:tcW w:w="120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840" w:type="dxa"/>
            <w:vAlign w:val="bottom"/>
          </w:tcPr>
          <w:p>
            <w:pPr>
              <w:jc w:val="center"/>
              <w:ind w:left="368"/>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84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12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84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340" w:space="100"/>
            <w:col w:w="3780"/>
          </w:cols>
          <w:pgMar w:left="320" w:top="1170" w:right="359" w:bottom="1440" w:gutter="0" w:footer="0" w:header="0"/>
          <w:type w:val="continuous"/>
        </w:sectPr>
      </w:pPr>
    </w:p>
    <w:tbl>
      <w:tblPr>
        <w:tblLayout w:type="fixed"/>
        <w:tblInd w:w="520" w:type="dxa"/>
        <w:tblCellMar>
          <w:top w:w="0" w:type="dxa"/>
          <w:left w:w="0" w:type="dxa"/>
          <w:bottom w:w="0" w:type="dxa"/>
          <w:right w:w="0" w:type="dxa"/>
        </w:tblCellMar>
      </w:tblPr>
      <w:tr>
        <w:trPr>
          <w:trHeight w:val="20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beginning of year</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5,581,890</w:t>
            </w:r>
          </w:p>
        </w:tc>
        <w:tc>
          <w:tcPr>
            <w:tcW w:w="26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6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3,438,387</w:t>
            </w:r>
          </w:p>
        </w:tc>
        <w:tc>
          <w:tcPr>
            <w:tcW w:w="26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5,626,732</w:t>
            </w:r>
          </w:p>
        </w:tc>
        <w:tc>
          <w:tcPr>
            <w:tcW w:w="2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3,979,312</w:t>
            </w:r>
          </w:p>
        </w:tc>
        <w:tc>
          <w:tcPr>
            <w:tcW w:w="26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8"/>
                <w:szCs w:val="18"/>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(2,664,642 )</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9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(1,300,786 )</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(2,083,281 )</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(535,023 )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Pr>
          <w:p>
            <w:pPr>
              <w:spacing w:after="0"/>
              <w:rPr>
                <w:sz w:val="18"/>
                <w:szCs w:val="18"/>
                <w:color w:val="auto"/>
              </w:rPr>
            </w:pPr>
          </w:p>
        </w:tc>
      </w:tr>
      <w:tr>
        <w:trPr>
          <w:trHeight w:val="249"/>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end of year</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6,460,699</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6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5,581,890</w:t>
            </w:r>
          </w:p>
        </w:tc>
        <w:tc>
          <w:tcPr>
            <w:tcW w:w="2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-24765</wp:posOffset>
            </wp:positionV>
            <wp:extent cx="6032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603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032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03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 (“Performance Stock Units” or “PSUs”)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periodically grants PSUs under the 2021 Plan to certain members of the Company’s senior management team subject to the satisfaction of annual and cumulative performance conditions and/or market conditions established by the Human Capital Management and Compensation Committee of the board of directors of Definitive Healthcare Corp. Following the performance period, those PSUs without market-based vesting conditions are subject to the completion of a service period. These earned awards vest on a graded vesting schedule over the remaining service period, which is generally two years.</w:t>
      </w:r>
    </w:p>
    <w:p>
      <w:pPr>
        <w:spacing w:after="0" w:line="7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Outstanding PSUs granted under the Inducement Plan generally vest annually over three years subject to the achievement of certain performance targets and continued service.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Expense for PSU awards is recognized when it becomes probable that performance measures triggering vesting will be achieved.</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type w:val="continuous"/>
        </w:sectPr>
      </w:pPr>
    </w:p>
    <w:bookmarkStart w:id="134" w:name="page135"/>
    <w:bookmarkEnd w:id="134"/>
    <w:p>
      <w:pPr>
        <w:spacing w:after="0" w:line="1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June 2024, the Company granted PSUs to its Chief Executive Officer with performance criteria related to the Company's achievement of certain stock price hurdles over a four-year period. These PSUs subject to the performance criteria will become earned and eligible to vest in four vesting tranches over the performance period.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Expense for these awards is recognized ratably over the requisite service period based on the fair value of the award.</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February 2024, the Company granted PSUs to its Executive Chairman with performance criteria related to the relative ranking of the total stockholder return (“TSR”) of the Company’s common stock for the cumulative three-year performance period return relative to the TSR of certain peer companies within the Nasdaq Software &amp; Services Index. TSR will be measured based on the 45-trading-day average closing stock price on the first day of the performance period compared to the 45-trading-day average closing stock price on the last day of such period, inclusive of applicable cash dividend payments. These PSUs subject to the performance criteria will cliff vest after three years, subject to the satisfaction of the performance criteria and the executive’s continued employment through the performance period. PSUs may vest in a range between 0% and 200%, based on the satisfaction of performance, and no shares will be issued if the minimum applicable performance metric is not achieved.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Expense for these awards is recognized ratably over the requisite service period based on the fair value of the award.</w:t>
      </w:r>
    </w:p>
    <w:p>
      <w:pPr>
        <w:spacing w:after="0" w:line="86"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In May 2022, the Company granted PSUs to a former member of the executive leadership team with performance criteria related to the relative ranking of the total stockholder return (“TSR”) of the Company’s common stock for the cumulative three-year performance period return relative to the TSR of certain peer companies within the Nasdaq Software &amp; Services Index. TSR will be measured based on the 20-trading-day average closing stock price on the first day of the performance period compared to the 20-trading-day average closing stock price on the last day of such period, inclusive of applicable cash dividend payments. These PSUs subject to the performance criteria will cliff vest after three years, subject to the satisfaction of the performance criteria and the executive’s continued employment through the performance period. PSUs may vest in a range between 0% and 300%, based on the satisfaction of performance, and no shares will be issued if the minimum applicable performance metric is not achieved.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Expense for these awards is recognized ratably over the requisite service period based on the fair value of the award.</w:t>
      </w:r>
    </w:p>
    <w:p>
      <w:pPr>
        <w:spacing w:after="0" w:line="86" w:lineRule="exact"/>
        <w:rPr>
          <w:sz w:val="20"/>
          <w:szCs w:val="20"/>
          <w:color w:val="auto"/>
        </w:rPr>
      </w:pPr>
    </w:p>
    <w:p>
      <w:pPr>
        <w:jc w:val="both"/>
        <w:ind w:right="300" w:firstLine="509"/>
        <w:spacing w:after="0" w:line="261" w:lineRule="auto"/>
        <w:rPr>
          <w:sz w:val="20"/>
          <w:szCs w:val="20"/>
          <w:color w:val="auto"/>
        </w:rPr>
      </w:pPr>
      <w:r>
        <w:rPr>
          <w:rFonts w:ascii="Times New Roman" w:cs="Times New Roman" w:eastAsia="Times New Roman" w:hAnsi="Times New Roman"/>
          <w:sz w:val="18"/>
          <w:szCs w:val="18"/>
          <w:color w:val="auto"/>
        </w:rPr>
        <w:t>Additionally, during the year ended December 31, 2024, the Company accelerated the vesting of 58,565 previously unvested performance-based PSUs. These modifications occurred in connection with departures of certain executive-level employees. Remaining unvested shares held by the award holders were forfeited upon separation, and the modifications resulted in incremental stock-based compensation charges of approximately $2.9 million during the year ended December 31, 2024.</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unvested PSU activity 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4818380</wp:posOffset>
            </wp:positionH>
            <wp:positionV relativeFrom="paragraph">
              <wp:posOffset>141605</wp:posOffset>
            </wp:positionV>
            <wp:extent cx="85725" cy="1371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1">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141605</wp:posOffset>
            </wp:positionV>
            <wp:extent cx="85725" cy="1371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2">
                      <a:extLst>
                        <a:ext uri="{28A0092B-C50C-407E-A947-70E740481C1C}"/>
                      </a:extLst>
                    </a:blip>
                    <a:srcRect/>
                    <a:stretch>
                      <a:fillRect/>
                    </a:stretch>
                  </pic:blipFill>
                  <pic:spPr bwMode="auto">
                    <a:xfrm>
                      <a:off x="0" y="0"/>
                      <a:ext cx="85725" cy="13716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23" w:lineRule="exact"/>
        <w:rPr>
          <w:sz w:val="20"/>
          <w:szCs w:val="20"/>
          <w:color w:val="auto"/>
        </w:rPr>
      </w:pPr>
    </w:p>
    <w:tbl>
      <w:tblPr>
        <w:tblLayout w:type="fixed"/>
        <w:tblInd w:w="4900" w:type="dxa"/>
        <w:tblCellMar>
          <w:top w:w="0" w:type="dxa"/>
          <w:left w:w="0" w:type="dxa"/>
          <w:bottom w:w="0" w:type="dxa"/>
          <w:right w:w="0" w:type="dxa"/>
        </w:tblCellMar>
      </w:tblPr>
      <w:tr>
        <w:trPr>
          <w:trHeight w:val="162"/>
        </w:trPr>
        <w:tc>
          <w:tcPr>
            <w:tcW w:w="112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1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4"/>
        </w:trPr>
        <w:tc>
          <w:tcPr>
            <w:tcW w:w="11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580" w:type="dxa"/>
            <w:vAlign w:val="bottom"/>
          </w:tcPr>
          <w:p>
            <w:pPr>
              <w:jc w:val="center"/>
              <w:ind w:left="308"/>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158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11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5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4"/>
        </w:trPr>
        <w:tc>
          <w:tcPr>
            <w:tcW w:w="160" w:type="dxa"/>
            <w:vAlign w:val="bottom"/>
          </w:tcPr>
          <w:p>
            <w:pPr>
              <w:spacing w:after="0"/>
              <w:rPr>
                <w:sz w:val="12"/>
                <w:szCs w:val="12"/>
                <w:color w:val="auto"/>
              </w:rPr>
            </w:pPr>
          </w:p>
        </w:tc>
        <w:tc>
          <w:tcPr>
            <w:tcW w:w="11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600" w:type="dxa"/>
            <w:vAlign w:val="bottom"/>
          </w:tcPr>
          <w:p>
            <w:pPr>
              <w:jc w:val="center"/>
              <w:ind w:left="308"/>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60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112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6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600" w:space="100"/>
            <w:col w:w="3520"/>
          </w:cols>
          <w:pgMar w:left="320" w:top="1440" w:right="359" w:bottom="1440" w:gutter="0" w:footer="0" w:header="0"/>
          <w:type w:val="continuous"/>
        </w:sectPr>
      </w:pPr>
    </w:p>
    <w:tbl>
      <w:tblPr>
        <w:tblLayout w:type="fixed"/>
        <w:tblInd w:w="580" w:type="dxa"/>
        <w:tblCellMar>
          <w:top w:w="0" w:type="dxa"/>
          <w:left w:w="0" w:type="dxa"/>
          <w:bottom w:w="0" w:type="dxa"/>
          <w:right w:w="0" w:type="dxa"/>
        </w:tblCellMar>
      </w:tblP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beginning of year</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1,246,600</w:t>
            </w:r>
          </w:p>
        </w:tc>
        <w:tc>
          <w:tcPr>
            <w:tcW w:w="26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26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6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4"/>
                <w:szCs w:val="24"/>
                <w:color w:val="auto"/>
                <w:vertAlign w:val="superscript"/>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2,309,704</w:t>
            </w:r>
          </w:p>
        </w:tc>
        <w:tc>
          <w:tcPr>
            <w:tcW w:w="26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1,187,390</w:t>
            </w:r>
          </w:p>
        </w:tc>
        <w:tc>
          <w:tcPr>
            <w:tcW w:w="26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(218,503 )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(692,709 )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(65,790 )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Pr>
          <w:p>
            <w:pPr>
              <w:spacing w:after="0"/>
              <w:rPr>
                <w:sz w:val="18"/>
                <w:szCs w:val="18"/>
                <w:color w:val="auto"/>
              </w:rPr>
            </w:pPr>
          </w:p>
        </w:tc>
      </w:tr>
      <w:tr>
        <w:trPr>
          <w:trHeight w:val="250"/>
        </w:trPr>
        <w:tc>
          <w:tcPr>
            <w:tcW w:w="4320" w:type="dxa"/>
            <w:vAlign w:val="bottom"/>
            <w:tcBorders>
              <w:bottom w:val="single" w:sz="8" w:color="CFF0FC"/>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Unvested at end of year </w:t>
            </w:r>
            <w:r>
              <w:rPr>
                <w:rFonts w:ascii="Times New Roman" w:cs="Times New Roman" w:eastAsia="Times New Roman" w:hAnsi="Times New Roman"/>
                <w:sz w:val="24"/>
                <w:szCs w:val="24"/>
                <w:color w:val="auto"/>
                <w:vertAlign w:val="superscript"/>
              </w:rPr>
              <w:t>(2)</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2,645,092</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1,246,600</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-24765</wp:posOffset>
            </wp:positionV>
            <wp:extent cx="596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596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03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03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1020" w:right="26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PSUs awarded represents the target number of shares of common stock that may be earned; however, the actual number of shares may vary based on the satisfaction of performance criteria.</w:t>
      </w:r>
    </w:p>
    <w:p>
      <w:pPr>
        <w:spacing w:after="0" w:line="53" w:lineRule="exact"/>
        <w:rPr>
          <w:rFonts w:ascii="Times New Roman" w:cs="Times New Roman" w:eastAsia="Times New Roman" w:hAnsi="Times New Roman"/>
          <w:sz w:val="18"/>
          <w:szCs w:val="18"/>
          <w:color w:val="auto"/>
        </w:rPr>
      </w:pPr>
    </w:p>
    <w:p>
      <w:pPr>
        <w:ind w:left="102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2,645,092 unvested PSUs outstanding as of December 31, 2024, 2,515,897 shares were unearned and subject to achievement of specific financial goals. Once earned, those awards without market-based vesting conditions will be subject to time-based vesting according to terms of the award. Based on 2024 financial results, approximately 465,000 of the 2,515,897 unearned shares are expected to be forfeited in the first quarter of 2025.</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i w:val="1"/>
          <w:iCs w:val="1"/>
          <w:color w:val="auto"/>
        </w:rPr>
        <w:t>2019 Incentive Equity Plan</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AIDH Topco, LLC 2019 Equity Incentive Plan (the “2019 Plan”) was utilized prior to the Reorganization Transactions and the IPO for the issuance of equity awards in the form of Class B Units to or on behalf of employees, consultants, directors, managers, or others providing services to the Company. In connection with the Reorganization Transactions and the IPO, unvested Class B Units held directly by employees of the Company or indirectly through AIDH Management Holdings, LLC, were exchanged for unvested Definitive OpCo units (held directly or indirectly through AIDH Management Holdings, LLC) based on their respective participation thresholds and the IPO price of $27.00 per share. The Company no longer grants any awards under the 2019 Plan, though previously granted awards under the 2019 Plan remain outstanding and governed by the 2019 Plan, including unvested units.</w:t>
      </w:r>
    </w:p>
    <w:p>
      <w:pPr>
        <w:spacing w:after="0" w:line="8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accelerated the vesting of 67,937 previously unvested Definitive OpCo units (held indirectly through AIDH Management Holdings, LLC). These modifications occurred in connection with departures of certain executive-level employees. Any remaining unvested Definitive OpCo units (held indirectly through AIDH Management Holdings, LLC) were forfeited upon separation, and the modifications resulted in incremental stock-based compensation charges of approximately $0.5 million during the year ended December 31, 2024.</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in connection with the departure of three management-level employees during the year, the Company accelerated the vesting of 50,772 previously unvested Definitive OpCo units (held indirectly through AIDH Management Holdings, LLC). The incremental stock-based compensation expense was not material and any unvested Definitive OpCo units (held indirectly through AIDH Management Holdings, LLC) were forfeited upon separation.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unvested unit activity.</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5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100" w:type="dxa"/>
            <w:vAlign w:val="bottom"/>
          </w:tcPr>
          <w:p>
            <w:pPr>
              <w:spacing w:after="0"/>
              <w:rPr>
                <w:sz w:val="12"/>
                <w:szCs w:val="12"/>
                <w:color w:val="auto"/>
              </w:rPr>
            </w:pPr>
          </w:p>
        </w:tc>
        <w:tc>
          <w:tcPr>
            <w:tcW w:w="1100" w:type="dxa"/>
            <w:vAlign w:val="bottom"/>
          </w:tcPr>
          <w:p>
            <w:pPr>
              <w:jc w:val="center"/>
              <w:ind w:right="18"/>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2"/>
                <w:szCs w:val="12"/>
                <w:color w:val="auto"/>
              </w:rPr>
            </w:pPr>
          </w:p>
        </w:tc>
        <w:tc>
          <w:tcPr>
            <w:tcW w:w="152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26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12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260" w:type="dxa"/>
            <w:vAlign w:val="bottom"/>
          </w:tcPr>
          <w:p>
            <w:pPr>
              <w:spacing w:after="0"/>
              <w:rPr>
                <w:sz w:val="15"/>
                <w:szCs w:val="15"/>
                <w:color w:val="auto"/>
              </w:rPr>
            </w:pPr>
          </w:p>
        </w:tc>
        <w:tc>
          <w:tcPr>
            <w:tcW w:w="12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beginning of year</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594,653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1,509,149</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(478,010 )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(806,128 )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(53,251 )</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7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(108,368 )</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Unvested at end of year</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63,392</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Borders>
              <w:top w:val="single" w:sz="8" w:color="CFF0FC"/>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594,653</w:t>
            </w:r>
          </w:p>
        </w:tc>
        <w:tc>
          <w:tcPr>
            <w:tcW w:w="26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-170815</wp:posOffset>
            </wp:positionV>
            <wp:extent cx="596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-170815</wp:posOffset>
            </wp:positionV>
            <wp:extent cx="6032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Equity-based compensation expense is allocated to all departments in the accompanying consolidated statements of operations based on the recipients of the compensation. A summary of the expense by line item in the consolidated statements of operations for the years ended December 31, 2024, 2023 and 2022, is provided in the following table.</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2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22,432</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23,097</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38,085</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48,739</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-24765</wp:posOffset>
            </wp:positionV>
            <wp:extent cx="6032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6032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032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032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$28.9 million, $39.4 million, and $27.0 million in stock-based compensation expense associated with RSUs in the years ended December 31, 2024, 2023, and 2022, respectively. Total unrecognized expense for these awards was estimated to be $44.7 million at December 31, 2024 and is expected to be recognized over a weighted-average period of approximately 2.5 years.</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$6.6 million, $4.6 million, and $1.7 million in stock-based compensation expense associated with PSUs in the years ended December 31, 2024, 2023, and 2022, respectively. Total unrecognized expense for these awards was estimated to be $9.8 million at December 31, 2024 and is expected to be recognized over a weighted-average period of approximately 2.3 years.</w:t>
      </w:r>
    </w:p>
    <w:p>
      <w:pPr>
        <w:spacing w:after="0" w:line="176"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$2.6 million, $4.7 million, and $7.7 million in stock-based compensation expense associated with Definitive OpCo units in the years ended December 31, 2024, 2023, and 2022, respectively. Total unrecognized expense for these units was estimated to be less than $0.1 million at December 31, 2024 and is expected to be recognized over a weighted-average period of approximately 0.2 years.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36" w:name="page137"/>
    <w:bookmarkEnd w:id="136"/>
    <w:p>
      <w:pPr>
        <w:ind w:left="520" w:hanging="512"/>
        <w:spacing w:after="0"/>
        <w:tabs>
          <w:tab w:leader="none" w:pos="5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a 401(k) plan covering all employees who have met certain eligibility requirements. The Company made matching contributions in accordance with the plan documents. The Company incurred $2.9 million, $3.8 million and $3.4 million in employer matching contributions during the years ended December 31, 2024, 2023 and 2022, respectively.</w:t>
      </w:r>
    </w:p>
    <w:p>
      <w:pPr>
        <w:spacing w:after="0" w:line="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46" w:right="459" w:bottom="1440" w:gutter="0" w:footer="0" w:header="0"/>
        </w:sectPr>
      </w:pPr>
    </w:p>
    <w:bookmarkStart w:id="137" w:name="page138"/>
    <w:bookmarkEnd w:id="137"/>
    <w:p>
      <w:pPr>
        <w:ind w:left="520" w:hanging="512"/>
        <w:spacing w:after="0"/>
        <w:tabs>
          <w:tab w:leader="none" w:pos="5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U.S. and foreign components of income before income taxes were as follows:</w:t>
      </w:r>
    </w:p>
    <w:p>
      <w:pPr>
        <w:spacing w:after="0" w:line="111"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4240" w:type="dxa"/>
            <w:vAlign w:val="bottom"/>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(634,794 )</w:t>
            </w:r>
          </w:p>
        </w:tc>
        <w:tc>
          <w:tcPr>
            <w:tcW w:w="42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(308,232 )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(37,054 )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5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(4,823 )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(633,745 )</w:t>
            </w:r>
          </w:p>
        </w:tc>
        <w:tc>
          <w:tcPr>
            <w:tcW w:w="42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(308,180 )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(41,877 )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The components of the provision for income taxes are as follows: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4240" w:type="dxa"/>
            <w:vAlign w:val="bottom"/>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taxes:</w:t>
            </w: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federal</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state and local</w:t>
            </w: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(28 )</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5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income taxes</w:t>
            </w: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federal</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(21,323 )</w:t>
            </w:r>
          </w:p>
        </w:tc>
        <w:tc>
          <w:tcPr>
            <w:tcW w:w="42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(11,225 )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(1,160 )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state and local</w:t>
            </w:r>
          </w:p>
        </w:tc>
        <w:tc>
          <w:tcPr>
            <w:tcW w:w="5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(21,191 )</w:t>
            </w:r>
          </w:p>
        </w:tc>
        <w:tc>
          <w:tcPr>
            <w:tcW w:w="4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(7,208 )</w:t>
            </w: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(15,904 )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5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(156 )</w:t>
            </w: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(280 )</w:t>
            </w: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(742 )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income taxes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(42,670 )</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(18,713 )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(17,806 )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(42,299 )</w:t>
            </w:r>
          </w:p>
        </w:tc>
        <w:tc>
          <w:tcPr>
            <w:tcW w:w="42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(18,553 )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(17,698 )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-2142490</wp:posOffset>
            </wp:positionV>
            <wp:extent cx="596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-2125345</wp:posOffset>
            </wp:positionV>
            <wp:extent cx="596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-2142490</wp:posOffset>
            </wp:positionV>
            <wp:extent cx="603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-2125345</wp:posOffset>
            </wp:positionV>
            <wp:extent cx="603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-2142490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-2125345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-873760</wp:posOffset>
            </wp:positionV>
            <wp:extent cx="596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-873760</wp:posOffset>
            </wp:positionV>
            <wp:extent cx="603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-873760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-316865</wp:posOffset>
            </wp:positionV>
            <wp:extent cx="5969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-316865</wp:posOffset>
            </wp:positionV>
            <wp:extent cx="6032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-316865</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596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596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03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6032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Income Tax Rate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items accounting for the difference between income taxes computed at the U.S. federal statutory rate and our effective rate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8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38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Borders>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Borders>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U.S. federal income taxes at statutory rate</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(13.35 )</w:t>
            </w:r>
          </w:p>
        </w:tc>
        <w:tc>
          <w:tcPr>
            <w:tcW w:w="24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(13.78 )</w:t>
            </w:r>
          </w:p>
        </w:tc>
        <w:tc>
          <w:tcPr>
            <w:tcW w:w="3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(35.31 )</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Outside basis adjustment</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Partnership income, not subject to taxation</w:t>
            </w:r>
          </w:p>
        </w:tc>
        <w:tc>
          <w:tcPr>
            <w:tcW w:w="2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(6.09 )</w:t>
            </w:r>
          </w:p>
        </w:tc>
        <w:tc>
          <w:tcPr>
            <w:tcW w:w="24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(5.57 )</w:t>
            </w: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22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Return to provision</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TRA remeasurement</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8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(0.03 )</w:t>
            </w: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8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(1.03 )</w:t>
            </w:r>
          </w:p>
        </w:tc>
        <w:tc>
          <w:tcPr>
            <w:tcW w:w="24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(0.14 )</w:t>
            </w: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22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80" w:type="dxa"/>
            <w:vAlign w:val="bottom"/>
            <w:tcBorders>
              <w:top w:val="single" w:sz="8" w:color="CFF0FC"/>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FF0FC"/>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24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rPr>
              <w:t>F-47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-1010920</wp:posOffset>
            </wp:positionV>
            <wp:extent cx="596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-1010920</wp:posOffset>
            </wp:positionV>
            <wp:extent cx="6032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-1010920</wp:posOffset>
            </wp:positionV>
            <wp:extent cx="603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deferred tax assets and liabilities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210185</wp:posOffset>
            </wp:positionV>
            <wp:extent cx="2052955" cy="1797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1">
                      <a:extLst>
                        <a:ext uri="{28A0092B-C50C-407E-A947-70E740481C1C}"/>
                      </a:extLst>
                    </a:blip>
                    <a:srcRect/>
                    <a:stretch>
                      <a:fillRect/>
                    </a:stretch>
                  </pic:blipFill>
                  <pic:spPr bwMode="auto">
                    <a:xfrm>
                      <a:off x="0" y="0"/>
                      <a:ext cx="2052955" cy="179705"/>
                    </a:xfrm>
                    <a:prstGeom prst="rect">
                      <a:avLst/>
                    </a:prstGeom>
                    <a:noFill/>
                  </pic:spPr>
                </pic:pic>
              </a:graphicData>
            </a:graphic>
          </wp:anchor>
        </w:drawing>
      </w:r>
    </w:p>
    <w:p>
      <w:pPr>
        <w:spacing w:after="0" w:line="388"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0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64,462</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58,015</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Outside partnership basis difference</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232,788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114,815</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100" w:type="dxa"/>
            <w:vAlign w:val="bottom"/>
          </w:tcPr>
          <w:p>
            <w:pPr>
              <w:spacing w:after="0"/>
              <w:rPr>
                <w:sz w:val="18"/>
                <w:szCs w:val="18"/>
                <w:color w:val="auto"/>
              </w:rPr>
            </w:pPr>
          </w:p>
        </w:tc>
      </w:tr>
      <w:tr>
        <w:trPr>
          <w:trHeight w:val="20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321,950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199,076</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(326,419 )</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(244,082 )</w:t>
            </w:r>
          </w:p>
        </w:tc>
      </w:tr>
      <w:tr>
        <w:trPr>
          <w:trHeight w:val="20"/>
        </w:trPr>
        <w:tc>
          <w:tcPr>
            <w:tcW w:w="7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(4,469 )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(45,006 )</w:t>
            </w:r>
          </w:p>
        </w:tc>
      </w:tr>
      <w:tr>
        <w:trPr>
          <w:trHeight w:val="209"/>
        </w:trPr>
        <w:tc>
          <w:tcPr>
            <w:tcW w:w="7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Goodwill and intangibles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(19,567 )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(21,616 )</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advances</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(488 )</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(541 )</w:t>
            </w:r>
          </w:p>
        </w:tc>
      </w:tr>
      <w:tr>
        <w:trPr>
          <w:trHeight w:val="20"/>
        </w:trPr>
        <w:tc>
          <w:tcPr>
            <w:tcW w:w="7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(20,055 )</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(22,157 )</w:t>
            </w:r>
          </w:p>
        </w:tc>
      </w:tr>
      <w:tr>
        <w:trPr>
          <w:trHeight w:val="20"/>
        </w:trPr>
        <w:tc>
          <w:tcPr>
            <w:tcW w:w="70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(24,524 )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(67,163 )</w:t>
            </w:r>
          </w:p>
        </w:tc>
      </w:tr>
      <w:tr>
        <w:trPr>
          <w:trHeight w:val="20"/>
        </w:trPr>
        <w:tc>
          <w:tcPr>
            <w:tcW w:w="7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0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1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Reported as: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deferred tax assets (included within other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(25,088 )</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(67,163 )</w:t>
            </w:r>
          </w:p>
        </w:tc>
      </w:tr>
      <w:tr>
        <w:trPr>
          <w:trHeight w:val="20"/>
        </w:trPr>
        <w:tc>
          <w:tcPr>
            <w:tcW w:w="70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(24,524 )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(67,163 )</w:t>
            </w:r>
          </w:p>
        </w:tc>
      </w:tr>
      <w:tr>
        <w:trPr>
          <w:trHeight w:val="20"/>
        </w:trPr>
        <w:tc>
          <w:tcPr>
            <w:tcW w:w="7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-1765300</wp:posOffset>
            </wp:positionV>
            <wp:extent cx="596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-1765300</wp:posOffset>
            </wp:positionV>
            <wp:extent cx="603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-1199515</wp:posOffset>
            </wp:positionV>
            <wp:extent cx="596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-1199515</wp:posOffset>
            </wp:positionV>
            <wp:extent cx="6032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-903605</wp:posOffset>
            </wp:positionV>
            <wp:extent cx="85725" cy="17970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596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Deferred income tax balances reflect the effects of temporary differences between the carrying amounts of assets and liabilities and their tax bases and are stated at enacted tax rates expected to be in effect when the taxes are paid or recovered.</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federal tax loss carryforward of $241.9 million has an unlimited carryforward period. The federal research and development tax credit carryforwards of $1.7 million expire in the years 2041 through 2044. The state tax loss carryforwards of $183.9 million expire at various times in years 2024 through indefinite. The state tax credit carryforwards of $0.3 million expire in the years 2038 through indefinite. The foreign tax loss carryforwards of $10.3 million expire in the years 2030 through indefinite.</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Management has assessed the realizability of deferred tax assets. Based on the review of all available evidence, the Company determined that it has not yet attained a sustained level of profitability and the objectively verifiable negative evidence outweighed the positive evidence. Therefore, the Company has recorded a valuation allowance for all years on its net operating loss carryforwards, R&amp;D credit carryforwards and other net deferred tax assets that remain after all sources of taxable income are exhausted, not supportable by the “naked credit” deferred tax liability sourced income as of December 31, 2024.</w:t>
      </w:r>
    </w:p>
    <w:p>
      <w:pPr>
        <w:spacing w:after="0" w:line="7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states and foreign jurisdictions. The Company remains subject to U.S. federal income tax examination for 2021 and subsequent years. For the majority of U.S. states, with few exceptions and generally for the foreign tax jurisdictions, the Company remains subject to examination for 2020 and subsequent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uncertain income tax positions when it is more-likely-than-not the position will be sustained upon examination. As of December 31, 2024 and 2023, has not identified any uncertain tax positions and has not recognized any related reserves. Accordingly, the company has not recorded any interest or penalties associated with uncertain tax positions.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Tax Receivable Agreement (“TRA”)</w:t>
      </w:r>
    </w:p>
    <w:p>
      <w:pPr>
        <w:spacing w:after="0" w:line="121" w:lineRule="exact"/>
        <w:rPr>
          <w:sz w:val="20"/>
          <w:szCs w:val="20"/>
          <w:color w:val="auto"/>
        </w:rPr>
      </w:pPr>
    </w:p>
    <w:p>
      <w:pPr>
        <w:jc w:val="both"/>
        <w:ind w:right="100" w:firstLine="509"/>
        <w:spacing w:after="0" w:line="257" w:lineRule="auto"/>
        <w:rPr>
          <w:sz w:val="20"/>
          <w:szCs w:val="20"/>
          <w:color w:val="auto"/>
        </w:rPr>
      </w:pPr>
      <w:r>
        <w:rPr>
          <w:rFonts w:ascii="Times New Roman" w:cs="Times New Roman" w:eastAsia="Times New Roman" w:hAnsi="Times New Roman"/>
          <w:sz w:val="18"/>
          <w:szCs w:val="18"/>
          <w:color w:val="auto"/>
        </w:rPr>
        <w:t>Pursuant to Definitive OpCo's election under Section 754 of the Internal Revenue Code (the “Code”), the Company expects to obtain an increase in its share of the tax basis in the net assets of Definitive OpCo when LLC Units are redeemed or exchanged by other members. The Company is required to adjust the basis of partnership assets under Section 743(b) of the Code for each taxable year in which a redemption or exchange of LLC Units occurs.</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These increases in tax basis may reduce the amounts that would otherwise be paid by the Company in the future to various tax authorities. They may also decrease gains (or increase losses) on future dispositions of certain capital assets to the extent tax basis is allocated to those capital assets.</w:t>
      </w:r>
    </w:p>
    <w:p>
      <w:pPr>
        <w:spacing w:after="0" w:line="7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Under the TRA, the Company generally will be required to pay to Unitholders 85% of the amount of cash savings, if any, in U.S. federal, state, or local tax that the Company actually realizes directly or indirectly (or are deemed to realize in certain circumstances) as a result of (i) certain tax attributes acquired by the Company from the Blocker Companies in the Reorganization Transactions, (ii) certain tax basis adjustments resulting from (a) acquisitions by the Company of LLC Units from pre-IPO holders in connection with the IPO and (b) subsequent redemptions or exchanges of LLC Units by holders for Class A Common Stock or other consideration,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Amounts payable under the TRA are contingent upon, among other things, (i) generation of future taxable income over the term of the TRA and (ii) future changes in tax laws. If the Company does not generate sufficient taxable income in the aggregate over the term of the TRA to utilize the tax benefits, then the Company would not be required to make the related TRA Payments. Therefore, the Company only recognizes a liability for TRA Payments if it determines that it is probable that the Company will generate sufficient future taxable income over the term of the TRA to utilize the related tax benefits. Estimating future taxable income is inherently uncertain and requires judgment. The realizability of the deferred tax assets is evaluated based on all positive and negative evidence, including future reversals of existing taxable temporary differences, projected future taxable income, tax planning strategies and recent results of operations. Based on current projections, the Company anticipates having sufficient taxable income to partially realize some of these benefits and has recorded a TRA liability of $63.2 million as of December 31, 2024. The TRA liability decreased by $84.0 million during the year ended December 31 2024, decreasing $0.1 million with an offsetting adjustment to accumulated paid-in capital for current year exchange transactions and redemptions while concurrently decreasing by $76.9 million for remeasurement of the liability based on future realizability of tax attributes with an offsetting adjustment to statement of operations and $7.0 million of payments to TRA Parties. To the extent that the Company determines that it is able to realize the tax benefits associated with the basis adjustments and net operating losses, the Company would record an additional liability of $225.5 million, for a total liability of $288.7 million. Should the Company anticipate a reduction in future taxable income, it would record a reduction in the TRA liability that would result in a benefit recorded within the consolidated statements of operations.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40" w:name="page141"/>
    <w:bookmarkEnd w:id="140"/>
    <w:p>
      <w:pPr>
        <w:ind w:left="520" w:hanging="512"/>
        <w:spacing w:after="0"/>
        <w:tabs>
          <w:tab w:leader="none" w:pos="5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of Class A Common Stock is computed by dividing net loss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w:t>
      </w:r>
    </w:p>
    <w:p>
      <w:pPr>
        <w:spacing w:after="0" w:line="7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reconciliation of the numerators and denominators used to compute basic and diluted net loss per share of Class A Common Stock for the years ended December 31, 2024, 2023, and 2022.</w:t>
      </w:r>
    </w:p>
    <w:p>
      <w:pPr>
        <w:spacing w:after="0" w:line="155"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152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54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(591,446 )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(289,627 )</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(24,179 )</w:t>
            </w: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(178,322 )</w:t>
            </w: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(87,239 )</w:t>
            </w:r>
          </w:p>
        </w:tc>
        <w:tc>
          <w:tcPr>
            <w:tcW w:w="4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(16,957 )</w:t>
            </w:r>
          </w:p>
        </w:tc>
        <w:tc>
          <w:tcPr>
            <w:tcW w:w="0" w:type="dxa"/>
            <w:vAlign w:val="bottom"/>
          </w:tcPr>
          <w:p>
            <w:pPr>
              <w:spacing w:after="0"/>
              <w:rPr>
                <w:sz w:val="1"/>
                <w:szCs w:val="1"/>
                <w:color w:val="auto"/>
              </w:rPr>
            </w:pPr>
          </w:p>
        </w:tc>
      </w:tr>
      <w:tr>
        <w:trPr>
          <w:trHeight w:val="20"/>
        </w:trPr>
        <w:tc>
          <w:tcPr>
            <w:tcW w:w="6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(413,124 )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(202,388 )</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(7,222 )</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-170815</wp:posOffset>
            </wp:positionV>
            <wp:extent cx="6032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03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-170815</wp:posOffset>
            </wp:positionV>
            <wp:extent cx="6032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of Class A Common Stock:</w:t>
      </w:r>
    </w:p>
    <w:p>
      <w:pPr>
        <w:spacing w:after="0" w:line="219"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number of shares and per share amounts)</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2"/>
                <w:szCs w:val="12"/>
                <w:color w:val="auto"/>
              </w:rPr>
            </w:pPr>
          </w:p>
        </w:tc>
        <w:tc>
          <w:tcPr>
            <w:tcW w:w="156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2"/>
                <w:szCs w:val="12"/>
                <w:color w:val="auto"/>
              </w:rPr>
            </w:pPr>
          </w:p>
        </w:tc>
        <w:tc>
          <w:tcPr>
            <w:tcW w:w="130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net loss per share attributable to common stockholders</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Allocation of net loss attributable to Definitive Healthcare Corp.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(413,124 )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(202,388 )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(7,222 )</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shares of Class A outstanding</w:t>
            </w: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116,640,183</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112,764,537</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101,114,105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(0.07 )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-170815</wp:posOffset>
            </wp:positionV>
            <wp:extent cx="6032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032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-170815</wp:posOffset>
            </wp:positionV>
            <wp:extent cx="603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p>
    <w:p>
      <w:pPr>
        <w:spacing w:after="0" w:line="68" w:lineRule="exact"/>
        <w:rPr>
          <w:sz w:val="20"/>
          <w:szCs w:val="20"/>
          <w:color w:val="auto"/>
        </w:rPr>
      </w:pPr>
    </w:p>
    <w:p>
      <w:pPr>
        <w:jc w:val="both"/>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potentially dilutive securities which were excluded from the computation of diluted net loss per share for the periods presented because their effects on net loss per share would have been anti-dilutive: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96"/>
        </w:trPr>
        <w:tc>
          <w:tcPr>
            <w:tcW w:w="3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7"/>
                <w:szCs w:val="17"/>
                <w:color w:val="auto"/>
              </w:rPr>
            </w:pPr>
          </w:p>
        </w:tc>
        <w:tc>
          <w:tcPr>
            <w:tcW w:w="1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7"/>
                <w:szCs w:val="17"/>
                <w:color w:val="auto"/>
              </w:rPr>
            </w:pPr>
          </w:p>
        </w:tc>
        <w:tc>
          <w:tcPr>
            <w:tcW w:w="1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0"/>
        </w:trPr>
        <w:tc>
          <w:tcPr>
            <w:tcW w:w="30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Definitive OpCo units (vested and unvested)</w:t>
            </w:r>
          </w:p>
        </w:tc>
        <w:tc>
          <w:tcPr>
            <w:tcW w:w="2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39,439,198</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39,762,700</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50,433,101</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9,105,791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6,828,490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3,563,387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22"/>
        </w:trPr>
        <w:tc>
          <w:tcPr>
            <w:tcW w:w="3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980" w:type="dxa"/>
            <w:vAlign w:val="bottom"/>
            <w:gridSpan w:val="2"/>
          </w:tcPr>
          <w:p>
            <w:pPr>
              <w:jc w:val="right"/>
              <w:ind w:right="1588"/>
              <w:spacing w:after="0"/>
              <w:rPr>
                <w:sz w:val="20"/>
                <w:szCs w:val="20"/>
                <w:color w:val="auto"/>
              </w:rPr>
            </w:pPr>
            <w:r>
              <w:rPr>
                <w:rFonts w:ascii="Times New Roman" w:cs="Times New Roman" w:eastAsia="Times New Roman" w:hAnsi="Times New Roman"/>
                <w:sz w:val="18"/>
                <w:szCs w:val="18"/>
                <w:color w:val="auto"/>
              </w:rPr>
              <w:t>F-50</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41" w:name="page142"/>
    <w:bookmarkEnd w:id="141"/>
    <w:p>
      <w:pPr>
        <w:ind w:left="520" w:hanging="512"/>
        <w:spacing w:after="0"/>
        <w:tabs>
          <w:tab w:leader="none" w:pos="5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Data</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Operating segments are defined as components of an enterprise about which separate financial information is available that is evaluated regularly by the chief operating decision-maker (“CODM”) in deciding how to allocate resources and assess performance. The Company derives substantially all of its revenue from the sale of subscription fees for access to its platform and stand-ready support - a product designed to provide accurate and comprehensive information on healthcare providers and their activities helping its customers optimize everything from product development to go-to-market planning and sales and marketing execution. To assess performance, the Company’s CODM, the Chief Executive Officer, reviews financial information on a consolidated basis. Therefore, the Company determined it has one operating segment and one reportable segment. The accounting policies of the Company’s operating segment are the same as those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The CODM uses consolidated net loss to set budgets, evaluate margins, review actual results, and to make decisions whether to reinvest profits into the business, pursue acquisitions and partnerships, repurchase shares, and/or engage in other capital management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118745</wp:posOffset>
            </wp:positionV>
            <wp:extent cx="3724275" cy="1797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9">
                      <a:extLst>
                        <a:ext uri="{28A0092B-C50C-407E-A947-70E740481C1C}"/>
                      </a:extLst>
                    </a:blip>
                    <a:srcRect/>
                    <a:stretch>
                      <a:fillRect/>
                    </a:stretch>
                  </pic:blipFill>
                  <pic:spPr bwMode="auto">
                    <a:xfrm>
                      <a:off x="0" y="0"/>
                      <a:ext cx="3724275" cy="17970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0"/>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252,202</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251,415</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222,653</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47,482</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42,625</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83,807</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94,534</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89,585</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34,890</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49,267</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58,861</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51,561</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net </w:t>
            </w:r>
            <w:r>
              <w:rPr>
                <w:rFonts w:ascii="Times New Roman" w:cs="Times New Roman" w:eastAsia="Times New Roman" w:hAnsi="Times New Roman"/>
                <w:sz w:val="24"/>
                <w:szCs w:val="24"/>
                <w:color w:val="auto"/>
                <w:vertAlign w:val="superscript"/>
              </w:rPr>
              <w:t>(1)</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661,622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316,277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45,869</w:t>
            </w:r>
          </w:p>
        </w:tc>
        <w:tc>
          <w:tcPr>
            <w:tcW w:w="100" w:type="dxa"/>
            <w:vAlign w:val="bottom"/>
          </w:tcPr>
          <w:p>
            <w:pPr>
              <w:spacing w:after="0"/>
              <w:rPr>
                <w:sz w:val="18"/>
                <w:szCs w:val="18"/>
                <w:color w:val="auto"/>
              </w:rPr>
            </w:pPr>
          </w:p>
        </w:tc>
      </w:tr>
      <w:tr>
        <w:trPr>
          <w:trHeight w:val="216"/>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4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42,299</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18,553</w:t>
            </w:r>
          </w:p>
        </w:tc>
        <w:tc>
          <w:tcPr>
            <w:tcW w:w="2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(591,446 )</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(289,627 )</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(24,179 )</w:t>
            </w:r>
          </w:p>
        </w:tc>
      </w:tr>
      <w:tr>
        <w:trPr>
          <w:trHeight w:val="20"/>
        </w:trPr>
        <w:tc>
          <w:tcPr>
            <w:tcW w:w="5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-170815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right="26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and amortization expense, transaction integration, and restructuring expenses, goodwill impairment charges, interest income, interest expense, tax receivable agreement remeasurement gain, and foreign currency transaction gain (loss).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Revenues by geographic area presented based upon the location of the customer are as follows:</w:t>
      </w:r>
    </w:p>
    <w:p>
      <w:pPr>
        <w:spacing w:after="0" w:line="219"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241,805</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239,457</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11,958</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252,202</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251,415</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222,653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-25400</wp:posOffset>
            </wp:positionV>
            <wp:extent cx="6032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6032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6032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032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-25400</wp:posOffset>
            </wp:positionV>
            <wp:extent cx="6032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-8255</wp:posOffset>
            </wp:positionV>
            <wp:extent cx="6032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For a summary of our revenue disaggregated by service, refer to Note 4.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Long-lived assets by geographical region are based on the location of the legal entity that owns the assets. Long-lived assets by geographic area presented based upon the location of the assets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3"/>
                <w:szCs w:val="13"/>
                <w:color w:val="auto"/>
              </w:rPr>
            </w:pPr>
          </w:p>
        </w:tc>
      </w:tr>
      <w:tr>
        <w:trPr>
          <w:trHeight w:val="173"/>
        </w:trPr>
        <w:tc>
          <w:tcPr>
            <w:tcW w:w="1700" w:type="dxa"/>
            <w:vAlign w:val="bottom"/>
          </w:tcPr>
          <w:p>
            <w:pPr>
              <w:spacing w:after="0"/>
              <w:rPr>
                <w:sz w:val="15"/>
                <w:szCs w:val="15"/>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28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long-lived assets</w:t>
            </w:r>
          </w:p>
        </w:tc>
        <w:tc>
          <w:tcPr>
            <w:tcW w:w="15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737"/>
        </w:trPr>
        <w:tc>
          <w:tcPr>
            <w:tcW w:w="1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7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F-51</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-1002030</wp:posOffset>
            </wp:positionV>
            <wp:extent cx="514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-984885</wp:posOffset>
            </wp:positionV>
            <wp:extent cx="514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-1002030</wp:posOffset>
            </wp:positionV>
            <wp:extent cx="514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-984885</wp:posOffset>
            </wp:positionV>
            <wp:extent cx="5143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42" w:name="page143"/>
    <w:bookmarkEnd w:id="142"/>
    <w:p>
      <w:pPr>
        <w:ind w:left="520" w:hanging="512"/>
        <w:spacing w:after="0"/>
        <w:tabs>
          <w:tab w:leader="none" w:pos="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engaged in revenue transactions within the ordinary course of business with entities affiliated with its Sponsors and with members of the Company’s board of directors. During each of the years ended December 31, 2024, 2023, and 2022, the Company recorded revenue from related parties of $0.9 million, $1.4 million and $1.5 million, respectively. The associated receivables for the revenue transactions amounted to $0.2 million, $0.9 million, and $0.8 million at December 31, 2024, 2023, and 2022, respectively.</w:t>
      </w:r>
    </w:p>
    <w:p>
      <w:pPr>
        <w:spacing w:after="0" w:line="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0" w:right="519" w:bottom="1440" w:gutter="0" w:footer="0" w:header="0"/>
        </w:sectPr>
      </w:pPr>
    </w:p>
    <w:bookmarkStart w:id="143" w:name="page144"/>
    <w:bookmarkEnd w:id="143"/>
    <w:p>
      <w:pPr>
        <w:ind w:left="520" w:hanging="512"/>
        <w:spacing w:after="0"/>
        <w:tabs>
          <w:tab w:leader="none" w:pos="5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January 16, 2025 (the “Closing Date”), DH Holdings entered into an amendment to the credit agreement (the “DH Holdings Credit Agreement Amendment”), dated as of September 17, 2021 (as amended by Amendment No. 1, dated as of October 31, 2022, and as further amended, supplemented or otherwise modified from time to time prior to the date hereof, the “Existing Credit Agreement”, and as further amended by the DH Holdings Credit Agreement Amendment, the “DH Holdings Credit Agreement”), with Bank of America, N.A., as administrative agent, the lenders party thereto and the other parties specified therein.</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DH Holdings Credit Agreement Amendment provides for (i) a $175.0 million term loan facility (the “Term Facility”) and (ii) a $50.0 million revolving credit facility (the “Revolving Credit Facility” and, together with the Term Facility, collectively, the “Facilities”), the proceeds of which were used to, among other things, repay the remaining portion of the indebtedness outstanding under the Existing Credit Agreement, and to pay related fees and expenses.</w:t>
      </w:r>
    </w:p>
    <w:p>
      <w:pPr>
        <w:spacing w:after="0" w:line="72"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The loans under the Term Facility and the Revolving Credit Facility mature on January 16, 2030. The Facilities are guaranteed, subject to customary exceptions, by all of DH Holdings’s wholly-owned domestic restricted subsidiaries and AIDH Buyer, LLC, a Delaware limited liability company and the direct parent company of DH Holdings (“Holdings”), and are secured by associated collateral agreements that pledge a lien on substantially all of DH Holding’s assets, including fixed assets and intangibles, and the assets of the guarantors, in each case, subject to customary exceptions.</w:t>
      </w:r>
    </w:p>
    <w:p>
      <w:pPr>
        <w:spacing w:after="0" w:line="5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Term Facility is subject to amortization of principal, payable in quarterly installments on the last day of each fiscal quarter, commencing on the last day of the first full fiscal quarter after the Closing Date (the “Initial Amortization Date”), equal to 5.0% of the original principal amount of the term loans for each of the five years after the Initial Amortization Date. The remaining initial aggregate advances under the Term Facility are payable at the maturity of the Term Facility.</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Term Facility and the Revolving Credit Facility bear interest at a rate per annum equal to (a) ABR (as defined in the DH Holdings Credit Agreement) or (b) Term SOFR (as defined in the DH Holdings Credit Agreement) for the interest period in effect for the applicable borrowing, in each case, plus an applicable margin based on a grid ranging from 1.00% to 1.50% for ABR borrowings and 2.00% to 2.50% for Term SOFR borrowings. The interest rates are subject to two step-ups of 0.25% based on the total net leverage ratio of DH Holdings and its restricted subsidiaries on a consolidated basis (the “Total Net Leverage Ratio”). In addition, DH Holdings will pay an unused commitment fee of between 0.25% and 0.30% on the undrawn commitments under the Revolving Credit Facility, also depending on the Total Net Leverage Ratio.</w:t>
      </w:r>
    </w:p>
    <w:p>
      <w:pPr>
        <w:spacing w:after="0" w:line="7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Under the DH Holdings Credit Agreement, DH Holdings (and in certain circumstances, Holdings) and its restricted subsidiaries are subject to customary affirmative, negative and financial covenants, and events of default for facilities of this type (with customary grace periods, as applicable, and lender remedies).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2"/>
          <w:szCs w:val="22"/>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DEFINITIVE HEALTHCARE CORP.</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2023 INDUCEMENT PLAN</w:t>
      </w:r>
    </w:p>
    <w:p>
      <w:pPr>
        <w:spacing w:after="0" w:line="210" w:lineRule="exact"/>
        <w:rPr>
          <w:sz w:val="20"/>
          <w:szCs w:val="20"/>
          <w:color w:val="auto"/>
        </w:rPr>
      </w:pPr>
    </w:p>
    <w:p>
      <w:pPr>
        <w:ind w:left="1020" w:hanging="263"/>
        <w:spacing w:after="0"/>
        <w:tabs>
          <w:tab w:leader="none" w:pos="10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1"/>
          <w:szCs w:val="21"/>
          <w:color w:val="auto"/>
        </w:rPr>
        <w:t>1.1</w:t>
      </w:r>
      <w:r>
        <w:rPr>
          <w:rFonts w:ascii="Times New Roman" w:cs="Times New Roman" w:eastAsia="Times New Roman" w:hAnsi="Times New Roman"/>
          <w:sz w:val="21"/>
          <w:szCs w:val="21"/>
          <w:u w:val="single" w:color="auto"/>
          <w:color w:val="auto"/>
        </w:rPr>
        <w:t>Purpose</w:t>
      </w:r>
      <w:r>
        <w:rPr>
          <w:rFonts w:ascii="Times New Roman" w:cs="Times New Roman" w:eastAsia="Times New Roman" w:hAnsi="Times New Roman"/>
          <w:sz w:val="21"/>
          <w:szCs w:val="21"/>
          <w:color w:val="auto"/>
        </w:rPr>
        <w:t>. The purpose of the Definitive Healthcare Corp. 2023 Inducement Plan is to further align the interests of eligible participants with those of the Company’s stockholders by providing incentive compensation opportunities tied to the performance of the Company and its Common Stock. The Plan is intended to (a) provide an inducement material for certain individuals to enter into employment with the Company within the meaning of Rule 5635(c)(4) of the Nasdaq Marketplace Rules, and (b) advance the interests of the Company and increase stockholder value by attracting, retaining and motivating eligible key personnel upon whose judgment, initiative and effort the successful conduct of the Company’s business is largely dependent.</w:t>
      </w:r>
    </w:p>
    <w:p>
      <w:pPr>
        <w:spacing w:after="0" w:line="171"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Eligible Award Recipients</w:t>
      </w:r>
      <w:r>
        <w:rPr>
          <w:rFonts w:ascii="Times New Roman" w:cs="Times New Roman" w:eastAsia="Times New Roman" w:hAnsi="Times New Roman"/>
          <w:sz w:val="22"/>
          <w:szCs w:val="22"/>
          <w:color w:val="auto"/>
        </w:rPr>
        <w:t>. The only persons eligible to receive grants of Awards under this Plan are individuals who satisfy the standards for inducement grants under Nasdaq Marketplace Rule 5635(c)(4) or 5635(c)(3), if applicable, and the related guidance under Nasdaq IM 5635-1. A person who previously served as an Employee or Director will not be eligible to receive Awards under the Plan, other than following a bona fide period of non-employment. Persons eligible to receive grants of Awards under this Plan are referred to in this Plan as “</w:t>
      </w:r>
      <w:r>
        <w:rPr>
          <w:rFonts w:ascii="Times New Roman" w:cs="Times New Roman" w:eastAsia="Times New Roman" w:hAnsi="Times New Roman"/>
          <w:sz w:val="22"/>
          <w:szCs w:val="22"/>
          <w:i w:val="1"/>
          <w:iCs w:val="1"/>
          <w:color w:val="auto"/>
        </w:rPr>
        <w:t>Eligible Employees</w:t>
      </w:r>
      <w:r>
        <w:rPr>
          <w:rFonts w:ascii="Times New Roman" w:cs="Times New Roman" w:eastAsia="Times New Roman" w:hAnsi="Times New Roman"/>
          <w:sz w:val="22"/>
          <w:szCs w:val="22"/>
          <w:color w:val="auto"/>
        </w:rPr>
        <w:t>.” These Awards must be approved by either a majority of the Company’s “Independent Directors” (as such term is defined in Nasdaq Marketplace Rule 5605(a)(2)) (“</w:t>
      </w:r>
      <w:r>
        <w:rPr>
          <w:rFonts w:ascii="Times New Roman" w:cs="Times New Roman" w:eastAsia="Times New Roman" w:hAnsi="Times New Roman"/>
          <w:sz w:val="22"/>
          <w:szCs w:val="22"/>
          <w:i w:val="1"/>
          <w:iCs w:val="1"/>
          <w:color w:val="auto"/>
        </w:rPr>
        <w:t>Independent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Directors</w:t>
      </w:r>
      <w:r>
        <w:rPr>
          <w:rFonts w:ascii="Times New Roman" w:cs="Times New Roman" w:eastAsia="Times New Roman" w:hAnsi="Times New Roman"/>
          <w:sz w:val="22"/>
          <w:szCs w:val="22"/>
          <w:color w:val="auto"/>
        </w:rPr>
        <w:t>”) or the Company’s compensation committee, provided such committee is comprised solely of Independent Directors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Company (the “</w:t>
      </w:r>
      <w:r>
        <w:rPr>
          <w:rFonts w:ascii="Times New Roman" w:cs="Times New Roman" w:eastAsia="Times New Roman" w:hAnsi="Times New Roman"/>
          <w:sz w:val="22"/>
          <w:szCs w:val="22"/>
          <w:i w:val="1"/>
          <w:iCs w:val="1"/>
          <w:color w:val="auto"/>
        </w:rPr>
        <w:t>Independent Compensation Committee</w:t>
      </w:r>
      <w:r>
        <w:rPr>
          <w:rFonts w:ascii="Times New Roman" w:cs="Times New Roman" w:eastAsia="Times New Roman" w:hAnsi="Times New Roman"/>
          <w:sz w:val="22"/>
          <w:szCs w:val="22"/>
          <w:color w:val="auto"/>
        </w:rPr>
        <w:t>”) in order to comply with the exemption from the stockholder approval requirement for “inducement grants” provided under Rule 5635(c)(4) of the Nasdaq Marketplace Rules. Nasdaq Marketplace Rule 5635(c)(4) and the related guidance under Nasdaq IM 5635-1 (and any analogous rules or guidance effective after the date hereof) are referred to in the Plan as the “</w:t>
      </w:r>
      <w:r>
        <w:rPr>
          <w:rFonts w:ascii="Times New Roman" w:cs="Times New Roman" w:eastAsia="Times New Roman" w:hAnsi="Times New Roman"/>
          <w:sz w:val="22"/>
          <w:szCs w:val="22"/>
          <w:i w:val="1"/>
          <w:iCs w:val="1"/>
          <w:color w:val="auto"/>
        </w:rPr>
        <w:t>Inducement Award Rules</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xml:space="preserve">2.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and not otherwise defined herein shall have the meanings set forth below:</w:t>
      </w:r>
    </w:p>
    <w:p>
      <w:pPr>
        <w:spacing w:after="0" w:line="202" w:lineRule="exact"/>
        <w:rPr>
          <w:sz w:val="20"/>
          <w:szCs w:val="20"/>
          <w:color w:val="auto"/>
        </w:rPr>
      </w:pPr>
    </w:p>
    <w:p>
      <w:pPr>
        <w:ind w:right="14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means, with respect to a Person, any other Person directly or indirectly controlling, controlled by, or under common control with such first Person.</w:t>
      </w:r>
    </w:p>
    <w:p>
      <w:pPr>
        <w:spacing w:after="0" w:line="150" w:lineRule="exact"/>
        <w:rPr>
          <w:sz w:val="20"/>
          <w:szCs w:val="20"/>
          <w:color w:val="auto"/>
        </w:rPr>
      </w:pPr>
    </w:p>
    <w:p>
      <w:pPr>
        <w:ind w:right="26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Award</w:t>
      </w:r>
      <w:r>
        <w:rPr>
          <w:rFonts w:ascii="Times New Roman" w:cs="Times New Roman" w:eastAsia="Times New Roman" w:hAnsi="Times New Roman"/>
          <w:sz w:val="22"/>
          <w:szCs w:val="22"/>
          <w:color w:val="auto"/>
        </w:rPr>
        <w:t>” means a Stock Option, Stock Appreciation Right, Restricted Stock Award, Restricted Stock Unit, or Stock-Based Award granted under the Plan.</w:t>
      </w:r>
    </w:p>
    <w:p>
      <w:pPr>
        <w:spacing w:after="0" w:line="150" w:lineRule="exact"/>
        <w:rPr>
          <w:sz w:val="20"/>
          <w:szCs w:val="20"/>
          <w:color w:val="auto"/>
        </w:rPr>
      </w:pPr>
    </w:p>
    <w:p>
      <w:pPr>
        <w:ind w:right="10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Award Agreement</w:t>
      </w:r>
      <w:r>
        <w:rPr>
          <w:rFonts w:ascii="Times New Roman" w:cs="Times New Roman" w:eastAsia="Times New Roman" w:hAnsi="Times New Roman"/>
          <w:sz w:val="22"/>
          <w:szCs w:val="22"/>
          <w:color w:val="auto"/>
        </w:rPr>
        <w:t>” means a notice or an agreement entered into between the Company and a Participant or provided by the Company to a Participant setting forth the terms and conditions of an Award granted to a Participant as provided in Section 14.2 hereof.</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45" w:name="page146"/>
    <w:bookmarkEnd w:id="145"/>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Cause</w:t>
      </w:r>
      <w:r>
        <w:rPr>
          <w:rFonts w:ascii="Times New Roman" w:cs="Times New Roman" w:eastAsia="Times New Roman" w:hAnsi="Times New Roman"/>
          <w:sz w:val="22"/>
          <w:szCs w:val="22"/>
          <w:color w:val="auto"/>
        </w:rPr>
        <w:t>” has the meaning set forth in Section 12.2 hereof.</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in Control</w:t>
      </w:r>
      <w:r>
        <w:rPr>
          <w:rFonts w:ascii="Times New Roman" w:cs="Times New Roman" w:eastAsia="Times New Roman" w:hAnsi="Times New Roman"/>
          <w:sz w:val="22"/>
          <w:szCs w:val="22"/>
          <w:color w:val="auto"/>
        </w:rPr>
        <w:t>” has the meaning set forth in Section 11.4 hereof.</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ind w:right="56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Committee</w:t>
      </w:r>
      <w:r>
        <w:rPr>
          <w:rFonts w:ascii="Times New Roman" w:cs="Times New Roman" w:eastAsia="Times New Roman" w:hAnsi="Times New Roman"/>
          <w:sz w:val="22"/>
          <w:szCs w:val="22"/>
          <w:color w:val="auto"/>
        </w:rPr>
        <w:t>” means a committee of no fewer than two Independent Directors to whom authority has been delegated by the Board in accordance with Section 3.1 hereof.</w:t>
      </w:r>
    </w:p>
    <w:p>
      <w:pPr>
        <w:spacing w:after="0" w:line="150" w:lineRule="exact"/>
        <w:rPr>
          <w:sz w:val="20"/>
          <w:szCs w:val="20"/>
          <w:color w:val="auto"/>
        </w:rPr>
      </w:pPr>
    </w:p>
    <w:p>
      <w:pPr>
        <w:ind w:right="50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Common Stock</w:t>
      </w:r>
      <w:r>
        <w:rPr>
          <w:rFonts w:ascii="Times New Roman" w:cs="Times New Roman" w:eastAsia="Times New Roman" w:hAnsi="Times New Roman"/>
          <w:sz w:val="22"/>
          <w:szCs w:val="22"/>
          <w:color w:val="auto"/>
        </w:rPr>
        <w:t>” means the Class A common shares of the Company, par value $0.001 per share (and any shares or other securities into which such Common Stock may be converted or into which it may be exchanged).</w:t>
      </w:r>
    </w:p>
    <w:p>
      <w:pPr>
        <w:spacing w:after="0" w:line="150" w:lineRule="exact"/>
        <w:rPr>
          <w:sz w:val="20"/>
          <w:szCs w:val="20"/>
          <w:color w:val="auto"/>
        </w:rPr>
      </w:pPr>
    </w:p>
    <w:p>
      <w:pPr>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Definitive Healthcare Corp., a corporation organized and existing under the laws of the State of Delaware, or any successor thereto.</w:t>
      </w:r>
    </w:p>
    <w:p>
      <w:pPr>
        <w:spacing w:after="0" w:line="150" w:lineRule="exact"/>
        <w:rPr>
          <w:sz w:val="20"/>
          <w:szCs w:val="20"/>
          <w:color w:val="auto"/>
        </w:rPr>
      </w:pPr>
    </w:p>
    <w:p>
      <w:pPr>
        <w:ind w:right="16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Consultant</w:t>
      </w:r>
      <w:r>
        <w:rPr>
          <w:rFonts w:ascii="Times New Roman" w:cs="Times New Roman" w:eastAsia="Times New Roman" w:hAnsi="Times New Roman"/>
          <w:sz w:val="22"/>
          <w:szCs w:val="22"/>
          <w:color w:val="auto"/>
        </w:rPr>
        <w:t>” means any natural person who is a consultant or other personal service provider of the Company or any of its Subsidiaries. Consultants are not eligible to receive Awards under the Plan with respect to their service in such capacity.</w:t>
      </w:r>
    </w:p>
    <w:p>
      <w:pPr>
        <w:spacing w:after="0" w:line="167" w:lineRule="exact"/>
        <w:rPr>
          <w:sz w:val="20"/>
          <w:szCs w:val="20"/>
          <w:color w:val="auto"/>
        </w:rPr>
      </w:pPr>
    </w:p>
    <w:p>
      <w:pPr>
        <w:ind w:right="28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Date of Grant</w:t>
      </w:r>
      <w:r>
        <w:rPr>
          <w:rFonts w:ascii="Times New Roman" w:cs="Times New Roman" w:eastAsia="Times New Roman" w:hAnsi="Times New Roman"/>
          <w:sz w:val="22"/>
          <w:szCs w:val="22"/>
          <w:color w:val="auto"/>
        </w:rPr>
        <w:t>” means the date on which an Award under the Plan is granted by the Committee or such later date as the Committee may specify to be the effective date of an Award.</w:t>
      </w:r>
    </w:p>
    <w:p>
      <w:pPr>
        <w:spacing w:after="0" w:line="150" w:lineRule="exact"/>
        <w:rPr>
          <w:sz w:val="20"/>
          <w:szCs w:val="20"/>
          <w:color w:val="auto"/>
        </w:rPr>
      </w:pPr>
    </w:p>
    <w:p>
      <w:pPr>
        <w:ind w:right="4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Director</w:t>
      </w:r>
      <w:r>
        <w:rPr>
          <w:rFonts w:ascii="Times New Roman" w:cs="Times New Roman" w:eastAsia="Times New Roman" w:hAnsi="Times New Roman"/>
          <w:sz w:val="22"/>
          <w:szCs w:val="22"/>
          <w:color w:val="auto"/>
        </w:rPr>
        <w:t>” means a member of the Board. Directors are not eligible to receive Awards under the Plan with respect to their service in such capacity.</w:t>
      </w:r>
    </w:p>
    <w:p>
      <w:pPr>
        <w:spacing w:after="0" w:line="150" w:lineRule="exact"/>
        <w:rPr>
          <w:sz w:val="20"/>
          <w:szCs w:val="20"/>
          <w:color w:val="auto"/>
        </w:rPr>
      </w:pPr>
    </w:p>
    <w:p>
      <w:pPr>
        <w:ind w:right="220" w:firstLine="864"/>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Disability</w:t>
      </w:r>
      <w:r>
        <w:rPr>
          <w:rFonts w:ascii="Times New Roman" w:cs="Times New Roman" w:eastAsia="Times New Roman" w:hAnsi="Times New Roman"/>
          <w:sz w:val="22"/>
          <w:szCs w:val="22"/>
          <w:color w:val="auto"/>
        </w:rPr>
        <w:t>” means, unless otherwise defined in an Award Agreement, a disability described in Treasury Regulations Section 1.409A-3(i)(4)(i)(A). A Disability shall be deemed to occur at the time of the determination by the Committee of the Disability.</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Effective Date</w:t>
      </w:r>
      <w:r>
        <w:rPr>
          <w:rFonts w:ascii="Times New Roman" w:cs="Times New Roman" w:eastAsia="Times New Roman" w:hAnsi="Times New Roman"/>
          <w:sz w:val="22"/>
          <w:szCs w:val="22"/>
          <w:color w:val="auto"/>
        </w:rPr>
        <w:t>” means September 5, 2023.</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Eligible Employee</w:t>
      </w:r>
      <w:r>
        <w:rPr>
          <w:rFonts w:ascii="Times New Roman" w:cs="Times New Roman" w:eastAsia="Times New Roman" w:hAnsi="Times New Roman"/>
          <w:sz w:val="22"/>
          <w:szCs w:val="22"/>
          <w:color w:val="auto"/>
        </w:rPr>
        <w:t>” shall have the meaning set forth in Section 1.2 hereof.</w:t>
      </w:r>
    </w:p>
    <w:p>
      <w:pPr>
        <w:spacing w:after="0" w:line="233" w:lineRule="exact"/>
        <w:rPr>
          <w:sz w:val="20"/>
          <w:szCs w:val="20"/>
          <w:color w:val="auto"/>
        </w:rPr>
      </w:pPr>
    </w:p>
    <w:p>
      <w:pPr>
        <w:ind w:right="42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Employee</w:t>
      </w:r>
      <w:r>
        <w:rPr>
          <w:rFonts w:ascii="Times New Roman" w:cs="Times New Roman" w:eastAsia="Times New Roman" w:hAnsi="Times New Roman"/>
          <w:sz w:val="22"/>
          <w:szCs w:val="22"/>
          <w:color w:val="auto"/>
        </w:rPr>
        <w:t>” means any person employed by the Company or an Affiliate. However, service solely as a Director, or payment of a fee for such services, will not cause a Director to be considered an “Employee” for purposes of the Plan.</w:t>
      </w:r>
    </w:p>
    <w:p>
      <w:pPr>
        <w:spacing w:after="0" w:line="167" w:lineRule="exact"/>
        <w:rPr>
          <w:sz w:val="20"/>
          <w:szCs w:val="20"/>
          <w:color w:val="auto"/>
        </w:rPr>
      </w:pPr>
    </w:p>
    <w:p>
      <w:pPr>
        <w:ind w:right="78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 as the same may be amended from time to time.</w:t>
      </w:r>
    </w:p>
    <w:p>
      <w:pPr>
        <w:spacing w:after="0" w:line="150" w:lineRule="exact"/>
        <w:rPr>
          <w:sz w:val="20"/>
          <w:szCs w:val="20"/>
          <w:color w:val="auto"/>
        </w:rPr>
      </w:pPr>
    </w:p>
    <w:p>
      <w:pPr>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Fair Market Value</w:t>
      </w:r>
      <w:r>
        <w:rPr>
          <w:rFonts w:ascii="Times New Roman" w:cs="Times New Roman" w:eastAsia="Times New Roman" w:hAnsi="Times New Roman"/>
          <w:sz w:val="22"/>
          <w:szCs w:val="22"/>
          <w:color w:val="auto"/>
        </w:rPr>
        <w:t>” means, as applied to a specific date, the price of a share of Common Stock that is based on the opening, closing, actual, high, low or average selling prices of a share of Common Stock reported on any established stock exchange or national market system including without limitation the National Association of Securities Dealers, Inc. Automated Quotation System (“</w:t>
      </w:r>
      <w:r>
        <w:rPr>
          <w:rFonts w:ascii="Times New Roman" w:cs="Times New Roman" w:eastAsia="Times New Roman" w:hAnsi="Times New Roman"/>
          <w:sz w:val="22"/>
          <w:szCs w:val="22"/>
          <w:i w:val="1"/>
          <w:iCs w:val="1"/>
          <w:color w:val="auto"/>
        </w:rPr>
        <w:t>Nasdaq</w:t>
      </w:r>
      <w:r>
        <w:rPr>
          <w:rFonts w:ascii="Times New Roman" w:cs="Times New Roman" w:eastAsia="Times New Roman" w:hAnsi="Times New Roman"/>
          <w:sz w:val="22"/>
          <w:szCs w:val="22"/>
          <w:color w:val="auto"/>
        </w:rPr>
        <w:t>”), the New York Stock Exchange and the National Market System on the applicable date, the preceding trading day, the next succeeding trading</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sectPr>
      </w:pPr>
    </w:p>
    <w:bookmarkStart w:id="146" w:name="page147"/>
    <w:bookmarkEnd w:id="146"/>
    <w:p>
      <w:pPr>
        <w:ind w:right="20"/>
        <w:spacing w:after="0" w:line="236" w:lineRule="auto"/>
        <w:rPr>
          <w:sz w:val="20"/>
          <w:szCs w:val="20"/>
          <w:color w:val="auto"/>
        </w:rPr>
      </w:pPr>
      <w:r>
        <w:rPr>
          <w:rFonts w:ascii="Times New Roman" w:cs="Times New Roman" w:eastAsia="Times New Roman" w:hAnsi="Times New Roman"/>
          <w:sz w:val="22"/>
          <w:szCs w:val="22"/>
          <w:color w:val="auto"/>
        </w:rPr>
        <w:t>day, or an average of trading days, as determined by the Committee in its discretion. Unless the Committee determines otherwise or unless otherwise specified in an Award Agreement, Fair Market Value shall be deemed to be equal to the closing price of a share of Common Stock on the date as of which Fair Market Value is to be determined, or if shares of Common Stock are not publicly traded on such date, as of the most recent date on which shares of Common Stock were publicly traded. Notwithstanding the foregoing, if the Common Stock is not traded on any established stock exchange or national market system, the Fair Market Value means the price of a share of Common Stock as established by the Committee.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Independent Compensation Committee</w:t>
      </w:r>
      <w:r>
        <w:rPr>
          <w:rFonts w:ascii="Times New Roman" w:cs="Times New Roman" w:eastAsia="Times New Roman" w:hAnsi="Times New Roman"/>
          <w:sz w:val="22"/>
          <w:szCs w:val="22"/>
          <w:color w:val="auto"/>
        </w:rPr>
        <w:t>” has the meaning set forth in Section 1.2 hereof.</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Independent Directors</w:t>
      </w:r>
      <w:r>
        <w:rPr>
          <w:rFonts w:ascii="Times New Roman" w:cs="Times New Roman" w:eastAsia="Times New Roman" w:hAnsi="Times New Roman"/>
          <w:sz w:val="22"/>
          <w:szCs w:val="22"/>
          <w:color w:val="auto"/>
        </w:rPr>
        <w:t>” has the meaning set forth in Section 1.2 hereof.</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Inducement Award Rules</w:t>
      </w:r>
      <w:r>
        <w:rPr>
          <w:rFonts w:ascii="Times New Roman" w:cs="Times New Roman" w:eastAsia="Times New Roman" w:hAnsi="Times New Roman"/>
          <w:sz w:val="22"/>
          <w:szCs w:val="22"/>
          <w:color w:val="auto"/>
        </w:rPr>
        <w:t>” has the meaning set forth in Section 1.2 hereof.</w:t>
      </w:r>
    </w:p>
    <w:p>
      <w:pPr>
        <w:spacing w:after="0" w:line="206" w:lineRule="exact"/>
        <w:rPr>
          <w:sz w:val="20"/>
          <w:szCs w:val="20"/>
          <w:color w:val="auto"/>
        </w:rPr>
      </w:pPr>
    </w:p>
    <w:p>
      <w:pPr>
        <w:ind w:right="60"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Non-Employee Director</w:t>
      </w:r>
      <w:r>
        <w:rPr>
          <w:rFonts w:ascii="Times New Roman" w:cs="Times New Roman" w:eastAsia="Times New Roman" w:hAnsi="Times New Roman"/>
          <w:sz w:val="22"/>
          <w:szCs w:val="22"/>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22"/>
          <w:szCs w:val="22"/>
          <w:i w:val="1"/>
          <w:iCs w:val="1"/>
          <w:color w:val="auto"/>
        </w:rPr>
        <w:t>Regulation S-K</w:t>
      </w:r>
      <w:r>
        <w:rPr>
          <w:rFonts w:ascii="Times New Roman" w:cs="Times New Roman" w:eastAsia="Times New Roman" w:hAnsi="Times New Roman"/>
          <w:sz w:val="22"/>
          <w:szCs w:val="22"/>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means any Eligible Employee who holds an outstanding Award under the Plan.</w:t>
      </w:r>
    </w:p>
    <w:p>
      <w:pPr>
        <w:spacing w:after="0" w:line="206" w:lineRule="exact"/>
        <w:rPr>
          <w:sz w:val="20"/>
          <w:szCs w:val="20"/>
          <w:color w:val="auto"/>
        </w:rPr>
      </w:pPr>
    </w:p>
    <w:p>
      <w:pPr>
        <w:jc w:val="both"/>
        <w:ind w:right="4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means an individual, corporation, partnership, association, trust, unincorporated organization, limited liability company or other legal entity. All references to Person shall include an individual Person or a group (as defined in Rule 13d-5 under the Exchange Act) of Persons.</w:t>
      </w:r>
    </w:p>
    <w:p>
      <w:pPr>
        <w:spacing w:after="0" w:line="167" w:lineRule="exact"/>
        <w:rPr>
          <w:sz w:val="20"/>
          <w:szCs w:val="20"/>
          <w:color w:val="auto"/>
        </w:rPr>
      </w:pPr>
    </w:p>
    <w:p>
      <w:pPr>
        <w:ind w:right="2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Plan</w:t>
      </w:r>
      <w:r>
        <w:rPr>
          <w:rFonts w:ascii="Times New Roman" w:cs="Times New Roman" w:eastAsia="Times New Roman" w:hAnsi="Times New Roman"/>
          <w:sz w:val="22"/>
          <w:szCs w:val="22"/>
          <w:color w:val="auto"/>
        </w:rPr>
        <w:t>” means the Definitive Healthcare Corp. 2023 Inducement Plan as set forth herein, effective as of the Effective Date and as may be amended from time to time, as provided herein, and includes any sub-plan or appendix that may be created and approved by the Board to allow Eligible Employees of Subsidiaries to participate in the Plan.</w:t>
      </w:r>
    </w:p>
    <w:p>
      <w:pPr>
        <w:spacing w:after="0" w:line="167" w:lineRule="exact"/>
        <w:rPr>
          <w:sz w:val="20"/>
          <w:szCs w:val="20"/>
          <w:color w:val="auto"/>
        </w:rPr>
      </w:pPr>
    </w:p>
    <w:p>
      <w:pPr>
        <w:ind w:right="18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Stock Award</w:t>
      </w:r>
      <w:r>
        <w:rPr>
          <w:rFonts w:ascii="Times New Roman" w:cs="Times New Roman" w:eastAsia="Times New Roman" w:hAnsi="Times New Roman"/>
          <w:sz w:val="22"/>
          <w:szCs w:val="22"/>
          <w:color w:val="auto"/>
        </w:rPr>
        <w:t>” means a grant of shares of Common Stock to an Eligible Employee under Section 8 hereof that are issued subject to such vesting and transfer restrictions as the Committee shall determine, and such other conditions, as are set forth in the Plan and the applicable Award Agreement.</w:t>
      </w:r>
    </w:p>
    <w:p>
      <w:pPr>
        <w:spacing w:after="0" w:line="167" w:lineRule="exact"/>
        <w:rPr>
          <w:sz w:val="20"/>
          <w:szCs w:val="20"/>
          <w:color w:val="auto"/>
        </w:rPr>
      </w:pPr>
    </w:p>
    <w:p>
      <w:pPr>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Stock Unit</w:t>
      </w:r>
      <w:r>
        <w:rPr>
          <w:rFonts w:ascii="Times New Roman" w:cs="Times New Roman" w:eastAsia="Times New Roman" w:hAnsi="Times New Roman"/>
          <w:sz w:val="22"/>
          <w:szCs w:val="22"/>
          <w:color w:val="auto"/>
        </w:rPr>
        <w:t>” means a contractual right granted to an Eligible Employee under Section 9 hereof representing notional unit interests equal in value to a share of Common Stock to be paid or distributed at such times, and subject to such conditions, as set forth in the Plan and the applicable Award Agreement.</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47" w:name="page148"/>
    <w:bookmarkEnd w:id="147"/>
    <w:p>
      <w:pPr>
        <w:ind w:right="54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means the Securities Act of 1933, as amended, and the rules and regulations promulgated thereunder, as the same may be amended from time to time.</w:t>
      </w:r>
    </w:p>
    <w:p>
      <w:pPr>
        <w:spacing w:after="0" w:line="150" w:lineRule="exact"/>
        <w:rPr>
          <w:sz w:val="20"/>
          <w:szCs w:val="20"/>
          <w:color w:val="auto"/>
        </w:rPr>
      </w:pPr>
    </w:p>
    <w:p>
      <w:pPr>
        <w:ind w:right="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Service</w:t>
      </w:r>
      <w:r>
        <w:rPr>
          <w:rFonts w:ascii="Times New Roman" w:cs="Times New Roman" w:eastAsia="Times New Roman" w:hAnsi="Times New Roman"/>
          <w:sz w:val="22"/>
          <w:szCs w:val="22"/>
          <w:color w:val="auto"/>
        </w:rPr>
        <w:t>” means a Participant’s employment with the Company or any Subsidiary or a Participant’s service as a Non-Employee Director, Consultant or other service provider with the Company or any Subsidiary, as applicable.</w:t>
      </w:r>
    </w:p>
    <w:p>
      <w:pPr>
        <w:spacing w:after="0" w:line="150" w:lineRule="exact"/>
        <w:rPr>
          <w:sz w:val="20"/>
          <w:szCs w:val="20"/>
          <w:color w:val="auto"/>
        </w:rPr>
      </w:pPr>
    </w:p>
    <w:p>
      <w:pPr>
        <w:jc w:val="both"/>
        <w:ind w:right="200"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Stock Appreciation Right</w:t>
      </w:r>
      <w:r>
        <w:rPr>
          <w:rFonts w:ascii="Times New Roman" w:cs="Times New Roman" w:eastAsia="Times New Roman" w:hAnsi="Times New Roman"/>
          <w:sz w:val="22"/>
          <w:szCs w:val="22"/>
          <w:color w:val="auto"/>
        </w:rPr>
        <w:t>” means a contractual right granted to an Eligible Employee under Section 7 hereof entitling such Eligible Employee to receive a payment, representing the excess of the Fair Market Value of a share of Common Stock over the base price per share of the right, at such time, and subject to such conditions, as are set forth in the Plan and the applicable Award Agreement.</w:t>
      </w:r>
    </w:p>
    <w:p>
      <w:pPr>
        <w:spacing w:after="0" w:line="172" w:lineRule="exact"/>
        <w:rPr>
          <w:sz w:val="20"/>
          <w:szCs w:val="20"/>
          <w:color w:val="auto"/>
        </w:rPr>
      </w:pPr>
    </w:p>
    <w:p>
      <w:pPr>
        <w:ind w:right="34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Stock-Based Award</w:t>
      </w:r>
      <w:r>
        <w:rPr>
          <w:rFonts w:ascii="Times New Roman" w:cs="Times New Roman" w:eastAsia="Times New Roman" w:hAnsi="Times New Roman"/>
          <w:sz w:val="22"/>
          <w:szCs w:val="22"/>
          <w:color w:val="auto"/>
        </w:rPr>
        <w:t>” means a grant of shares of Common Stock or any award that is valued by reference to shares of Common Stock to an Eligible Employee under Section 10 hereof.</w:t>
      </w:r>
    </w:p>
    <w:p>
      <w:pPr>
        <w:spacing w:after="0" w:line="150" w:lineRule="exact"/>
        <w:rPr>
          <w:sz w:val="20"/>
          <w:szCs w:val="20"/>
          <w:color w:val="auto"/>
        </w:rPr>
      </w:pPr>
    </w:p>
    <w:p>
      <w:pPr>
        <w:ind w:right="240"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Stock Option</w:t>
      </w:r>
      <w:r>
        <w:rPr>
          <w:rFonts w:ascii="Times New Roman" w:cs="Times New Roman" w:eastAsia="Times New Roman" w:hAnsi="Times New Roman"/>
          <w:sz w:val="22"/>
          <w:szCs w:val="22"/>
          <w:color w:val="auto"/>
        </w:rPr>
        <w:t>” means a contractual right granted to an Eligible Employee under Section 6 hereof to purchase shares of Common Stock at such time and price, and subject to such conditions, as are set forth in the Plan and the applicable Award Agreement. No Stock Option granted under the Plan shall qualify as an “incentive stock option” within the meaning of Section 422 of the Code.</w:t>
      </w:r>
    </w:p>
    <w:p>
      <w:pPr>
        <w:spacing w:after="0" w:line="172" w:lineRule="exact"/>
        <w:rPr>
          <w:sz w:val="20"/>
          <w:szCs w:val="20"/>
          <w:color w:val="auto"/>
        </w:rPr>
      </w:pPr>
    </w:p>
    <w:p>
      <w:pPr>
        <w:jc w:val="both"/>
        <w:ind w:right="42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Subsidiary</w:t>
      </w:r>
      <w:r>
        <w:rPr>
          <w:rFonts w:ascii="Times New Roman" w:cs="Times New Roman" w:eastAsia="Times New Roman" w:hAnsi="Times New Roman"/>
          <w:sz w:val="22"/>
          <w:szCs w:val="22"/>
          <w:color w:val="auto"/>
        </w:rPr>
        <w:t>” means an entity (whether or not a corporation) that is wholly or majority owned or controlled, directly or indirectly, by the Company or any other Affiliate of the Company that is so designated, from time to time, by the Committee, during the period of such Affiliated status.</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Treasury Regulations</w:t>
      </w:r>
      <w:r>
        <w:rPr>
          <w:rFonts w:ascii="Times New Roman" w:cs="Times New Roman" w:eastAsia="Times New Roman" w:hAnsi="Times New Roman"/>
          <w:sz w:val="22"/>
          <w:szCs w:val="22"/>
          <w:color w:val="auto"/>
        </w:rPr>
        <w:t>” means regulations promulgated by the United States Treasury Department.</w:t>
      </w:r>
    </w:p>
    <w:p>
      <w:pPr>
        <w:spacing w:after="0" w:line="210" w:lineRule="exact"/>
        <w:rPr>
          <w:sz w:val="20"/>
          <w:szCs w:val="20"/>
          <w:color w:val="auto"/>
        </w:rPr>
      </w:pPr>
    </w:p>
    <w:p>
      <w:pPr>
        <w:ind w:left="1020" w:hanging="263"/>
        <w:spacing w:after="0"/>
        <w:tabs>
          <w:tab w:leader="none" w:pos="10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3.1</w:t>
      </w:r>
      <w:r>
        <w:rPr>
          <w:rFonts w:ascii="Times New Roman" w:cs="Times New Roman" w:eastAsia="Times New Roman" w:hAnsi="Times New Roman"/>
          <w:sz w:val="22"/>
          <w:szCs w:val="22"/>
          <w:i w:val="1"/>
          <w:iCs w:val="1"/>
          <w:color w:val="auto"/>
        </w:rPr>
        <w:t>Committee Members</w:t>
      </w:r>
      <w:r>
        <w:rPr>
          <w:rFonts w:ascii="Times New Roman" w:cs="Times New Roman" w:eastAsia="Times New Roman" w:hAnsi="Times New Roman"/>
          <w:sz w:val="22"/>
          <w:szCs w:val="22"/>
          <w:color w:val="auto"/>
        </w:rPr>
        <w:t xml:space="preserve">. The Plan shall be administered by the Committee, subject to those constraints set forth in the Plan and the other constraints of the Inducement Award Rules. Each Committee member shall satisfy the requirements for (i) an “independent director” under rules adopted by the Nasdaq or other principal exchange on which the Common Stock is then listed and (ii) a “nonemployee director” within the meaning of Rule 16b-3 under the Exchange Act. The Board may exercise all powers of the Committee hereunder and may directly administer the Plan;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Awards may only be granted by either (i) a majority of the Company’s Independent Directors or (ii) the Independent Compensation Committee. Neither the Company nor any member of the Board or Committee shall be liable for any action or determination made in good faith by the Board or Committee with respect to the Plan or any Award thereunder.</w:t>
      </w:r>
    </w:p>
    <w:p>
      <w:pPr>
        <w:spacing w:after="0" w:line="178"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2"/>
          <w:szCs w:val="22"/>
          <w:color w:val="auto"/>
        </w:rPr>
        <w:t>3.2</w:t>
      </w:r>
      <w:r>
        <w:rPr>
          <w:rFonts w:ascii="Times New Roman" w:cs="Times New Roman" w:eastAsia="Times New Roman" w:hAnsi="Times New Roman"/>
          <w:sz w:val="22"/>
          <w:szCs w:val="22"/>
          <w:i w:val="1"/>
          <w:iCs w:val="1"/>
          <w:color w:val="auto"/>
        </w:rPr>
        <w:t>Committee Authority</w:t>
      </w:r>
      <w:r>
        <w:rPr>
          <w:rFonts w:ascii="Times New Roman" w:cs="Times New Roman" w:eastAsia="Times New Roman" w:hAnsi="Times New Roman"/>
          <w:sz w:val="22"/>
          <w:szCs w:val="22"/>
          <w:color w:val="auto"/>
        </w:rPr>
        <w:t>. Subject to, and within the limitations of, the express provisions of the Plan and the Inducement Award Rules, the Committee shall have all powers and discretion necessary or appropriate to administer the Plan and to control its operation,</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sectPr>
      </w:pPr>
    </w:p>
    <w:bookmarkStart w:id="148" w:name="page149"/>
    <w:bookmarkEnd w:id="148"/>
    <w:p>
      <w:pPr>
        <w:spacing w:after="0" w:line="232" w:lineRule="auto"/>
        <w:rPr>
          <w:sz w:val="20"/>
          <w:szCs w:val="20"/>
          <w:color w:val="auto"/>
        </w:rPr>
      </w:pPr>
      <w:r>
        <w:rPr>
          <w:rFonts w:ascii="Times New Roman" w:cs="Times New Roman" w:eastAsia="Times New Roman" w:hAnsi="Times New Roman"/>
          <w:sz w:val="22"/>
          <w:szCs w:val="22"/>
          <w:color w:val="auto"/>
        </w:rPr>
        <w:t xml:space="preserve">including, but not limited to, the power to (i) determine the Eligible Employees to whom Awards shall be granted under the Plan;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Awards may only be granted by either (a) a majority of the Company’s Independent Directors or (b)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Independent Compensation Committee, (ii) prescribe the restrictions, terms and conditions of all Awards, (iii) interpret the Plan and terms of the Awards, (iv) adopt rules for the administration, interpretation and application of the Plan as are consistent therewith, and interpret, amend or revoke any such rules, (v) make all determinations with respect to a Participant’s Service and the termination of such Service for purposes of any Award, (vi) correct any defect(s) or omission(s) or reconcile any ambiguity(ies) or inconsistency(ies) in the Plan or any Award thereunder, (vii) make all determinations it deems advisable for the administration of the Plan, (viii) decide all disputes arising in connection with the Plan and to otherwise supervise the administration of the Plan, (ix) subject to the terms of the Plan, amend the terms of an Award in any manner that is not inconsistent with the Plan, (x) accelerate the vesting or, to the extent applicable, exercisability of any Award at any time (including, but not limited to, upon a Change in Control or upon termination of Service of a Participant under certain circumstances (including, without limitation, upon retirement)) and (xi) adopt such procedures, modifications or subplans as are necessary or appropriate to permit participation in the Plan by Eligible Employees who are foreign nationals or provide services outside of the United States. The Committee’s determinations under the Plan need not be uniform and may be made by the Committee selectively among Participants and Eligible Employees, whether or not such Persons are similarly situated. The Committee shall, in its discretion, consider such factors as it deems relevant in making its interpretations, determinations and actions under the Plan including, without limitation, the recommendations or advice of any officer or Employee of the Company or board of directors of a Subsidiary or such attorneys, consultants, accountants or other advisors as it may select. All interpretations, determinations, and actions by the Committee shall be final, conclusive, and binding upon all parties.</w:t>
      </w:r>
    </w:p>
    <w:p>
      <w:pPr>
        <w:spacing w:after="0" w:line="187" w:lineRule="exact"/>
        <w:rPr>
          <w:sz w:val="20"/>
          <w:szCs w:val="20"/>
          <w:color w:val="auto"/>
        </w:rPr>
      </w:pPr>
    </w:p>
    <w:p>
      <w:pPr>
        <w:ind w:right="180" w:firstLine="749"/>
        <w:spacing w:after="0" w:line="238" w:lineRule="auto"/>
        <w:rPr>
          <w:sz w:val="20"/>
          <w:szCs w:val="20"/>
          <w:color w:val="auto"/>
        </w:rPr>
      </w:pPr>
      <w:r>
        <w:rPr>
          <w:rFonts w:ascii="Times New Roman" w:cs="Times New Roman" w:eastAsia="Times New Roman" w:hAnsi="Times New Roman"/>
          <w:sz w:val="22"/>
          <w:szCs w:val="22"/>
          <w:color w:val="auto"/>
        </w:rPr>
        <w:t>3.3</w:t>
      </w:r>
      <w:r>
        <w:rPr>
          <w:rFonts w:ascii="Times New Roman" w:cs="Times New Roman" w:eastAsia="Times New Roman" w:hAnsi="Times New Roman"/>
          <w:sz w:val="22"/>
          <w:szCs w:val="22"/>
          <w:u w:val="single" w:color="auto"/>
          <w:color w:val="auto"/>
        </w:rPr>
        <w:t>Rule 16b-3 Compliance</w:t>
      </w:r>
      <w:r>
        <w:rPr>
          <w:rFonts w:ascii="Times New Roman" w:cs="Times New Roman" w:eastAsia="Times New Roman" w:hAnsi="Times New Roman"/>
          <w:sz w:val="22"/>
          <w:szCs w:val="22"/>
          <w:color w:val="auto"/>
        </w:rPr>
        <w:t>. To the extent an Award is intended to qualify for the exemption from Section 16(b) of the Exchange Act that is available under Rule 16b-3 of the Exchange Act, the Award will be granted by a Committee that consists solely of two or more Non-Employee Directors, as determined under Rule 16b-3(b)(3) of the Exchange Act and thereafter any action establishing or modifying the terms of the Award will be approved by a Committee meeting such requirements to the extent necessary for such exemption to remain available.</w:t>
      </w:r>
    </w:p>
    <w:p>
      <w:pPr>
        <w:spacing w:after="0" w:line="177" w:lineRule="exact"/>
        <w:rPr>
          <w:sz w:val="20"/>
          <w:szCs w:val="20"/>
          <w:color w:val="auto"/>
        </w:rPr>
      </w:pPr>
    </w:p>
    <w:p>
      <w:pPr>
        <w:ind w:left="1020" w:hanging="263"/>
        <w:spacing w:after="0"/>
        <w:tabs>
          <w:tab w:leader="none" w:pos="10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Subject to the Plan</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right="80" w:firstLine="749"/>
        <w:spacing w:after="0" w:line="241" w:lineRule="auto"/>
        <w:rPr>
          <w:sz w:val="20"/>
          <w:szCs w:val="20"/>
          <w:color w:val="auto"/>
        </w:rPr>
      </w:pPr>
      <w:r>
        <w:rPr>
          <w:rFonts w:ascii="Times New Roman" w:cs="Times New Roman" w:eastAsia="Times New Roman" w:hAnsi="Times New Roman"/>
          <w:sz w:val="22"/>
          <w:szCs w:val="22"/>
          <w:color w:val="auto"/>
        </w:rPr>
        <w:t>4.1</w:t>
      </w:r>
      <w:r>
        <w:rPr>
          <w:rFonts w:ascii="Times New Roman" w:cs="Times New Roman" w:eastAsia="Times New Roman" w:hAnsi="Times New Roman"/>
          <w:sz w:val="22"/>
          <w:szCs w:val="22"/>
          <w:i w:val="1"/>
          <w:iCs w:val="1"/>
          <w:color w:val="auto"/>
        </w:rPr>
        <w:t>Number of Shares Reserved</w:t>
      </w:r>
      <w:r>
        <w:rPr>
          <w:rFonts w:ascii="Times New Roman" w:cs="Times New Roman" w:eastAsia="Times New Roman" w:hAnsi="Times New Roman"/>
          <w:sz w:val="22"/>
          <w:szCs w:val="22"/>
          <w:color w:val="auto"/>
        </w:rPr>
        <w:t>. Subject to adjustment as provided in Section 4.3 hereof, the total number of shares of Common Stock that are available for issuance under the Plan (the “</w:t>
      </w:r>
      <w:r>
        <w:rPr>
          <w:rFonts w:ascii="Times New Roman" w:cs="Times New Roman" w:eastAsia="Times New Roman" w:hAnsi="Times New Roman"/>
          <w:sz w:val="22"/>
          <w:szCs w:val="22"/>
          <w:i w:val="1"/>
          <w:iCs w:val="1"/>
          <w:color w:val="auto"/>
        </w:rPr>
        <w:t>Share Reserve</w:t>
      </w:r>
      <w:r>
        <w:rPr>
          <w:rFonts w:ascii="Times New Roman" w:cs="Times New Roman" w:eastAsia="Times New Roman" w:hAnsi="Times New Roman"/>
          <w:sz w:val="22"/>
          <w:szCs w:val="22"/>
          <w:color w:val="auto"/>
        </w:rPr>
        <w:t>”) shall equal 6,517,650 shares. Each share of Common Stock subject to an Award shall reduce the Share Reserve by one share. Any shares of Common Stock delivered under the Plan shall consist of authorized and unissued shares or treasury shares.</w:t>
      </w:r>
    </w:p>
    <w:p>
      <w:pPr>
        <w:spacing w:after="0" w:line="172" w:lineRule="exact"/>
        <w:rPr>
          <w:sz w:val="20"/>
          <w:szCs w:val="20"/>
          <w:color w:val="auto"/>
        </w:rPr>
      </w:pPr>
    </w:p>
    <w:p>
      <w:pPr>
        <w:jc w:val="both"/>
        <w:ind w:right="20" w:firstLine="749"/>
        <w:spacing w:after="0" w:line="263" w:lineRule="auto"/>
        <w:rPr>
          <w:sz w:val="20"/>
          <w:szCs w:val="20"/>
          <w:color w:val="auto"/>
        </w:rPr>
      </w:pPr>
      <w:r>
        <w:rPr>
          <w:rFonts w:ascii="Times New Roman" w:cs="Times New Roman" w:eastAsia="Times New Roman" w:hAnsi="Times New Roman"/>
          <w:sz w:val="21"/>
          <w:szCs w:val="21"/>
          <w:color w:val="auto"/>
        </w:rPr>
        <w:t>4.2</w:t>
      </w:r>
      <w:r>
        <w:rPr>
          <w:rFonts w:ascii="Times New Roman" w:cs="Times New Roman" w:eastAsia="Times New Roman" w:hAnsi="Times New Roman"/>
          <w:sz w:val="21"/>
          <w:szCs w:val="21"/>
          <w:i w:val="1"/>
          <w:iCs w:val="1"/>
          <w:color w:val="auto"/>
        </w:rPr>
        <w:t>Share Replenishment</w:t>
      </w:r>
      <w:r>
        <w:rPr>
          <w:rFonts w:ascii="Times New Roman" w:cs="Times New Roman" w:eastAsia="Times New Roman" w:hAnsi="Times New Roman"/>
          <w:sz w:val="21"/>
          <w:szCs w:val="21"/>
          <w:color w:val="auto"/>
        </w:rPr>
        <w:t>. Following the Effective Date, to the extent that an Award granted under this Plan is canceled, expired, repurchased, forfeited, surrendered, exchanged for cash, settled in cash or by delivery of fewer shares of Common Stock than the number underlying the Award, or otherwise terminated without delivery of the shares of Common Stock</w:t>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49" w:name="page150"/>
    <w:bookmarkEnd w:id="149"/>
    <w:p>
      <w:pPr>
        <w:spacing w:after="0" w:line="235" w:lineRule="auto"/>
        <w:rPr>
          <w:sz w:val="20"/>
          <w:szCs w:val="20"/>
          <w:color w:val="auto"/>
        </w:rPr>
      </w:pPr>
      <w:r>
        <w:rPr>
          <w:rFonts w:ascii="Times New Roman" w:cs="Times New Roman" w:eastAsia="Times New Roman" w:hAnsi="Times New Roman"/>
          <w:sz w:val="22"/>
          <w:szCs w:val="22"/>
          <w:color w:val="auto"/>
        </w:rPr>
        <w:t>to the Participant under the Plan, the unissued shares of Common Stock will (i) not be deemed to have been delivered under the Plan, (ii) be available for future Awards under the Plan, and (iii) increase the Share Reserve by one share for each share that is retained by or returned to the Company. Shares of Common Stock that are withheld from any Award granted under this Plan in payment of the exercise, base or purchase price or taxes relating to such an Award shall be available for future Awards under the Plan, and shall increase the Share Reserve by one share for each share that is retained by or returned to the Company. Shares of Common Stock repurchased by the Company on the open market with the proceeds of a Stock Option, will be deemed to have been delivered under the Plan and will not be available for future Awards under the Plan. The payment of dividend equivalents in cash in conjunction with any outstanding Award shall not count against the Share Reserve.</w:t>
      </w:r>
    </w:p>
    <w:p>
      <w:pPr>
        <w:spacing w:after="0" w:line="174"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4.3</w:t>
      </w:r>
      <w:r>
        <w:rPr>
          <w:rFonts w:ascii="Times New Roman" w:cs="Times New Roman" w:eastAsia="Times New Roman" w:hAnsi="Times New Roman"/>
          <w:sz w:val="22"/>
          <w:szCs w:val="22"/>
          <w:i w:val="1"/>
          <w:iCs w:val="1"/>
          <w:color w:val="auto"/>
        </w:rPr>
        <w:t>Adjustments</w:t>
      </w:r>
      <w:r>
        <w:rPr>
          <w:rFonts w:ascii="Times New Roman" w:cs="Times New Roman" w:eastAsia="Times New Roman" w:hAnsi="Times New Roman"/>
          <w:sz w:val="22"/>
          <w:szCs w:val="22"/>
          <w:color w:val="auto"/>
        </w:rPr>
        <w:t>. If there shall occur any change with respect to the outstanding shares of Common Stock by reason of any recapitalization, reclassification, stock dividend, extraordinary cash dividend, stock split, reverse stock split or other distribution with respect to the shares of Common Stock or any merger, reorganization, consolidation, combination, spin-off or other corporate event or transaction or any other change affecting the Common Stock (other than regular cash dividends to stockholders of the Company), the Committee shall, in the manner and to the extent it considers appropriate and equitable to the Participants and consistent with the terms of the Plan, cause an adjustment to be made to (i) the maximum number and kind of shares of Common Stock or other securities provided in Section 4.1 hereof, (ii) the number and kind of shares of Common Stock, units or other securities or rights subject to then outstanding Awards, (iii) the exercise, base or purchase price for each share or unit or other security or right subject to then outstanding Awards, (iv) other value determinations applicable to the Plan and/or outstanding Awards, and/or (v) any other terms of an Award that are affected by the event. Notwithstanding the foregoing, any such adjustments shall, to the extent necessary to avoid additional taxes, be made in a manner consistent with the requirements of Section 409A of the Code, unless otherwise determined by the Committee.</w:t>
      </w:r>
    </w:p>
    <w:p>
      <w:pPr>
        <w:spacing w:after="0" w:line="189" w:lineRule="exact"/>
        <w:rPr>
          <w:sz w:val="20"/>
          <w:szCs w:val="20"/>
          <w:color w:val="auto"/>
        </w:rPr>
      </w:pPr>
    </w:p>
    <w:p>
      <w:pPr>
        <w:ind w:left="1020" w:hanging="263"/>
        <w:spacing w:after="0"/>
        <w:tabs>
          <w:tab w:leader="none" w:pos="10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 and Awards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right="160" w:firstLine="749"/>
        <w:spacing w:after="0" w:line="234" w:lineRule="auto"/>
        <w:rPr>
          <w:sz w:val="20"/>
          <w:szCs w:val="20"/>
          <w:color w:val="auto"/>
        </w:rPr>
      </w:pPr>
      <w:r>
        <w:rPr>
          <w:rFonts w:ascii="Times New Roman" w:cs="Times New Roman" w:eastAsia="Times New Roman" w:hAnsi="Times New Roman"/>
          <w:sz w:val="22"/>
          <w:szCs w:val="22"/>
          <w:color w:val="auto"/>
        </w:rPr>
        <w:t>5.1</w:t>
      </w:r>
      <w:r>
        <w:rPr>
          <w:rFonts w:ascii="Times New Roman" w:cs="Times New Roman" w:eastAsia="Times New Roman" w:hAnsi="Times New Roman"/>
          <w:sz w:val="22"/>
          <w:szCs w:val="22"/>
          <w:i w:val="1"/>
          <w:iCs w:val="1"/>
          <w:color w:val="auto"/>
        </w:rPr>
        <w:t>Designation of Participants</w:t>
      </w:r>
      <w:r>
        <w:rPr>
          <w:rFonts w:ascii="Times New Roman" w:cs="Times New Roman" w:eastAsia="Times New Roman" w:hAnsi="Times New Roman"/>
          <w:sz w:val="22"/>
          <w:szCs w:val="22"/>
          <w:color w:val="auto"/>
        </w:rPr>
        <w:t xml:space="preserve">. Awards may only be granted to persons who are Eligible Employees described in Section 1.1 of the Plan, where the Award is an inducement material to the individual’s entering into employment with the Company or an Affiliate within the meaning of Rule 5635(c)(4) of the Nasdaq Marketplace Rules or is otherwise permitted pursuant to Rule 5635(c) of the Nasdaq Marketplace Rules The Committee has the authority, in its discretion, to determine and designate from time to time those Eligible Employees who are to be granted Awards, the types of Awards to be granted, the number of shares of Common Stock or units subject to Awards to be granted and the terms and conditions of such Awards consistent with the terms of the Plan;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Awards may only be granted by either (a) a majority of the Company’s Independent Directors or (b) the Independent Compensation Committee. In selecting Eligible Employees to be Participants, and in determining the type and amount of Awards to be granted under the Plan, the Committee shall consider any and all factors that it deems relevant or appropriate.</w:t>
      </w:r>
    </w:p>
    <w:p>
      <w:pPr>
        <w:spacing w:after="0" w:line="179" w:lineRule="exact"/>
        <w:rPr>
          <w:sz w:val="20"/>
          <w:szCs w:val="20"/>
          <w:color w:val="auto"/>
        </w:rPr>
      </w:pPr>
    </w:p>
    <w:p>
      <w:pPr>
        <w:ind w:right="760" w:firstLine="749"/>
        <w:spacing w:after="0" w:line="262" w:lineRule="auto"/>
        <w:rPr>
          <w:sz w:val="20"/>
          <w:szCs w:val="20"/>
          <w:color w:val="auto"/>
        </w:rPr>
      </w:pPr>
      <w:r>
        <w:rPr>
          <w:rFonts w:ascii="Times New Roman" w:cs="Times New Roman" w:eastAsia="Times New Roman" w:hAnsi="Times New Roman"/>
          <w:sz w:val="22"/>
          <w:szCs w:val="22"/>
          <w:color w:val="auto"/>
        </w:rPr>
        <w:t>5.2</w:t>
      </w:r>
      <w:r>
        <w:rPr>
          <w:rFonts w:ascii="Times New Roman" w:cs="Times New Roman" w:eastAsia="Times New Roman" w:hAnsi="Times New Roman"/>
          <w:sz w:val="22"/>
          <w:szCs w:val="22"/>
          <w:i w:val="1"/>
          <w:iCs w:val="1"/>
          <w:color w:val="auto"/>
        </w:rPr>
        <w:t>Determination of Awards</w:t>
      </w:r>
      <w:r>
        <w:rPr>
          <w:rFonts w:ascii="Times New Roman" w:cs="Times New Roman" w:eastAsia="Times New Roman" w:hAnsi="Times New Roman"/>
          <w:sz w:val="22"/>
          <w:szCs w:val="22"/>
          <w:color w:val="auto"/>
        </w:rPr>
        <w:t>. The Committee shall determine the terms and conditions of all Awards granted to Participants in accordance with its authority under Section</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50" w:name="page151"/>
    <w:bookmarkEnd w:id="150"/>
    <w:p>
      <w:pPr>
        <w:ind w:right="220"/>
        <w:spacing w:after="0" w:line="258" w:lineRule="auto"/>
        <w:rPr>
          <w:sz w:val="20"/>
          <w:szCs w:val="20"/>
          <w:color w:val="auto"/>
        </w:rPr>
      </w:pPr>
      <w:r>
        <w:rPr>
          <w:rFonts w:ascii="Times New Roman" w:cs="Times New Roman" w:eastAsia="Times New Roman" w:hAnsi="Times New Roman"/>
          <w:sz w:val="22"/>
          <w:szCs w:val="22"/>
          <w:color w:val="auto"/>
        </w:rPr>
        <w:t>3.2 hereof. An Award may consist of one type of right or benefit hereunder or of two or more such rights or benefits granted in tandem.</w:t>
      </w:r>
    </w:p>
    <w:p>
      <w:pPr>
        <w:spacing w:after="0" w:line="154"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2"/>
          <w:szCs w:val="22"/>
          <w:color w:val="auto"/>
        </w:rPr>
        <w:t>5.3</w:t>
      </w:r>
      <w:r>
        <w:rPr>
          <w:rFonts w:ascii="Times New Roman" w:cs="Times New Roman" w:eastAsia="Times New Roman" w:hAnsi="Times New Roman"/>
          <w:sz w:val="22"/>
          <w:szCs w:val="22"/>
          <w:i w:val="1"/>
          <w:iCs w:val="1"/>
          <w:color w:val="auto"/>
        </w:rPr>
        <w:t>Award Agreements</w:t>
      </w:r>
      <w:r>
        <w:rPr>
          <w:rFonts w:ascii="Times New Roman" w:cs="Times New Roman" w:eastAsia="Times New Roman" w:hAnsi="Times New Roman"/>
          <w:sz w:val="22"/>
          <w:szCs w:val="22"/>
          <w:color w:val="auto"/>
        </w:rPr>
        <w:t>. Each Award granted to an Eligible Employee shall be represented by an Award Agreement. The terms of the Award, as determined by the Committee, will be set forth in the applicable Award Agreements as described in Section 14.2 hereof.</w:t>
      </w:r>
    </w:p>
    <w:p>
      <w:pPr>
        <w:spacing w:after="0" w:line="167" w:lineRule="exact"/>
        <w:rPr>
          <w:sz w:val="20"/>
          <w:szCs w:val="20"/>
          <w:color w:val="auto"/>
        </w:rPr>
      </w:pPr>
    </w:p>
    <w:p>
      <w:pPr>
        <w:jc w:val="both"/>
        <w:ind w:right="160" w:firstLine="749"/>
        <w:spacing w:after="0" w:line="246" w:lineRule="auto"/>
        <w:rPr>
          <w:sz w:val="20"/>
          <w:szCs w:val="20"/>
          <w:color w:val="auto"/>
        </w:rPr>
      </w:pPr>
      <w:r>
        <w:rPr>
          <w:rFonts w:ascii="Times New Roman" w:cs="Times New Roman" w:eastAsia="Times New Roman" w:hAnsi="Times New Roman"/>
          <w:sz w:val="22"/>
          <w:szCs w:val="22"/>
          <w:color w:val="auto"/>
        </w:rPr>
        <w:t>5.4</w:t>
      </w:r>
      <w:r>
        <w:rPr>
          <w:rFonts w:ascii="Times New Roman" w:cs="Times New Roman" w:eastAsia="Times New Roman" w:hAnsi="Times New Roman"/>
          <w:sz w:val="22"/>
          <w:szCs w:val="22"/>
          <w:i w:val="1"/>
          <w:iCs w:val="1"/>
          <w:color w:val="auto"/>
        </w:rPr>
        <w:t>Limitations on Stock Options and Stock Appreciation Rights</w:t>
      </w:r>
      <w:r>
        <w:rPr>
          <w:rFonts w:ascii="Times New Roman" w:cs="Times New Roman" w:eastAsia="Times New Roman" w:hAnsi="Times New Roman"/>
          <w:sz w:val="22"/>
          <w:szCs w:val="22"/>
          <w:color w:val="auto"/>
        </w:rPr>
        <w:t>. Stock Options and Stock Appreciation Rights may not be granted to Employees unless the stock underlying such Awards is treated as “service recipient stock” under Section 409A of the Code or unless such Awards otherwise comply with the requirements of Section 409A of the Code.</w:t>
      </w:r>
    </w:p>
    <w:p>
      <w:pPr>
        <w:spacing w:after="0" w:line="167"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5.5</w:t>
      </w:r>
      <w:r>
        <w:rPr>
          <w:rFonts w:ascii="Times New Roman" w:cs="Times New Roman" w:eastAsia="Times New Roman" w:hAnsi="Times New Roman"/>
          <w:sz w:val="22"/>
          <w:szCs w:val="22"/>
          <w:i w:val="1"/>
          <w:iCs w:val="1"/>
          <w:color w:val="auto"/>
        </w:rPr>
        <w:t>Approval Requirements</w:t>
      </w:r>
      <w:r>
        <w:rPr>
          <w:rFonts w:ascii="Times New Roman" w:cs="Times New Roman" w:eastAsia="Times New Roman" w:hAnsi="Times New Roman"/>
          <w:sz w:val="22"/>
          <w:szCs w:val="22"/>
          <w:color w:val="auto"/>
        </w:rPr>
        <w:t>. All Awards must be granted either by a majority of the Company’s Independent Directors or the Independent Compensation Committee.</w:t>
      </w:r>
    </w:p>
    <w:p>
      <w:pPr>
        <w:spacing w:after="0" w:line="154" w:lineRule="exact"/>
        <w:rPr>
          <w:sz w:val="20"/>
          <w:szCs w:val="20"/>
          <w:color w:val="auto"/>
        </w:rPr>
      </w:pPr>
    </w:p>
    <w:p>
      <w:pPr>
        <w:ind w:left="1020" w:hanging="263"/>
        <w:spacing w:after="0"/>
        <w:tabs>
          <w:tab w:leader="none" w:pos="10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right="260" w:firstLine="749"/>
        <w:spacing w:after="0" w:line="246" w:lineRule="auto"/>
        <w:rPr>
          <w:sz w:val="20"/>
          <w:szCs w:val="20"/>
          <w:color w:val="auto"/>
        </w:rPr>
      </w:pPr>
      <w:r>
        <w:rPr>
          <w:rFonts w:ascii="Times New Roman" w:cs="Times New Roman" w:eastAsia="Times New Roman" w:hAnsi="Times New Roman"/>
          <w:sz w:val="22"/>
          <w:szCs w:val="22"/>
          <w:color w:val="auto"/>
        </w:rPr>
        <w:t>6.1</w:t>
      </w:r>
      <w:r>
        <w:rPr>
          <w:rFonts w:ascii="Times New Roman" w:cs="Times New Roman" w:eastAsia="Times New Roman" w:hAnsi="Times New Roman"/>
          <w:sz w:val="22"/>
          <w:szCs w:val="22"/>
          <w:i w:val="1"/>
          <w:iCs w:val="1"/>
          <w:color w:val="auto"/>
        </w:rPr>
        <w:t>Grant of Stock Options</w:t>
      </w:r>
      <w:r>
        <w:rPr>
          <w:rFonts w:ascii="Times New Roman" w:cs="Times New Roman" w:eastAsia="Times New Roman" w:hAnsi="Times New Roman"/>
          <w:sz w:val="22"/>
          <w:szCs w:val="22"/>
          <w:color w:val="auto"/>
        </w:rPr>
        <w:t>. A Stock Option may be granted to any Eligible Employee selected by the Committee. All Stock Options granted under the Plan are intended to comply with or be exempt from the requirements of Section 409A of the Code, to the extent applicable.</w:t>
      </w:r>
    </w:p>
    <w:p>
      <w:pPr>
        <w:spacing w:after="0" w:line="167" w:lineRule="exact"/>
        <w:rPr>
          <w:sz w:val="20"/>
          <w:szCs w:val="20"/>
          <w:color w:val="auto"/>
        </w:rPr>
      </w:pPr>
    </w:p>
    <w:p>
      <w:pPr>
        <w:ind w:right="120" w:firstLine="749"/>
        <w:spacing w:after="0" w:line="241" w:lineRule="auto"/>
        <w:rPr>
          <w:sz w:val="20"/>
          <w:szCs w:val="20"/>
          <w:color w:val="auto"/>
        </w:rPr>
      </w:pPr>
      <w:r>
        <w:rPr>
          <w:rFonts w:ascii="Times New Roman" w:cs="Times New Roman" w:eastAsia="Times New Roman" w:hAnsi="Times New Roman"/>
          <w:sz w:val="22"/>
          <w:szCs w:val="22"/>
          <w:color w:val="auto"/>
        </w:rPr>
        <w:t>6.2</w:t>
      </w:r>
      <w:r>
        <w:rPr>
          <w:rFonts w:ascii="Times New Roman" w:cs="Times New Roman" w:eastAsia="Times New Roman" w:hAnsi="Times New Roman"/>
          <w:sz w:val="22"/>
          <w:szCs w:val="22"/>
          <w:i w:val="1"/>
          <w:iCs w:val="1"/>
          <w:color w:val="auto"/>
        </w:rPr>
        <w:t>Exercise Price.</w:t>
      </w:r>
      <w:r>
        <w:rPr>
          <w:rFonts w:ascii="Times New Roman" w:cs="Times New Roman" w:eastAsia="Times New Roman" w:hAnsi="Times New Roman"/>
          <w:sz w:val="22"/>
          <w:szCs w:val="22"/>
          <w:color w:val="auto"/>
        </w:rPr>
        <w:t xml:space="preserve"> Unless otherwise determined by the Committee, the exercise price per share of a Stock Option (other than a Stock Option substituted or assumed under Section 14.10) shall not be less than one hundred percent (100%) of the Fair Market Value of a share of Common Stock on the Date of Grant. The Committee may in its discretion specify an exercise price per share that is higher than the Fair Market Value of a share of Common Stock on the Date of Grant.</w:t>
      </w:r>
    </w:p>
    <w:p>
      <w:pPr>
        <w:spacing w:after="0" w:line="172"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2"/>
          <w:szCs w:val="22"/>
          <w:color w:val="auto"/>
        </w:rPr>
        <w:t>6.3</w:t>
      </w:r>
      <w:r>
        <w:rPr>
          <w:rFonts w:ascii="Times New Roman" w:cs="Times New Roman" w:eastAsia="Times New Roman" w:hAnsi="Times New Roman"/>
          <w:sz w:val="22"/>
          <w:szCs w:val="22"/>
          <w:i w:val="1"/>
          <w:iCs w:val="1"/>
          <w:color w:val="auto"/>
        </w:rPr>
        <w:t>Vesting of Stock Options</w:t>
      </w:r>
      <w:r>
        <w:rPr>
          <w:rFonts w:ascii="Times New Roman" w:cs="Times New Roman" w:eastAsia="Times New Roman" w:hAnsi="Times New Roman"/>
          <w:sz w:val="22"/>
          <w:szCs w:val="22"/>
          <w:color w:val="auto"/>
        </w:rPr>
        <w:t>. The Committee shall, in its discretion, prescribe in an award agreement the time or times at which or the conditions upon which, a Stock Option or portion thereof shall become vested and/or exercisable. The requirements for vesting and exercisability of a Stock Option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Stock Option are not satisfied, the Award shall be forfeited.</w:t>
      </w:r>
    </w:p>
    <w:p>
      <w:pPr>
        <w:spacing w:after="0" w:line="175"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6.4</w:t>
      </w:r>
      <w:r>
        <w:rPr>
          <w:rFonts w:ascii="Times New Roman" w:cs="Times New Roman" w:eastAsia="Times New Roman" w:hAnsi="Times New Roman"/>
          <w:sz w:val="22"/>
          <w:szCs w:val="22"/>
          <w:i w:val="1"/>
          <w:iCs w:val="1"/>
          <w:color w:val="auto"/>
        </w:rPr>
        <w:t>Term of Stock Options</w:t>
      </w:r>
      <w:r>
        <w:rPr>
          <w:rFonts w:ascii="Times New Roman" w:cs="Times New Roman" w:eastAsia="Times New Roman" w:hAnsi="Times New Roman"/>
          <w:sz w:val="22"/>
          <w:szCs w:val="22"/>
          <w:color w:val="auto"/>
        </w:rPr>
        <w:t xml:space="preserve">. The Committee shall in its discretion prescribe in an Award Agreement the period during which a vested Stock Option may be exercised;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maximum term of a Stock Option shall be ten (10) years from the Date of Grant. If the Fair Market Value of a share of Common Stock exceeds the Exercise Price on the last day that the Stock Option may be exercised under an Award Agreement, the affected Participant shall be deemed to have exercised the vested portion of such Stock Option in a net exercise under Section 6.5(ii)(C) below and net share withholding for taxes (unless otherwise agreed) without the requirement of any further action. The Committee may provide that a Stock Option will cease to be exercisable upon or at the end of a specified time period following a termination of Service for any reason as set forth in the Award Agreement or otherwise. A Stock</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1" w:name="page152"/>
    <w:bookmarkEnd w:id="151"/>
    <w:p>
      <w:pPr>
        <w:ind w:right="40"/>
        <w:spacing w:after="0" w:line="238" w:lineRule="auto"/>
        <w:rPr>
          <w:sz w:val="20"/>
          <w:szCs w:val="20"/>
          <w:color w:val="auto"/>
        </w:rPr>
      </w:pPr>
      <w:r>
        <w:rPr>
          <w:rFonts w:ascii="Times New Roman" w:cs="Times New Roman" w:eastAsia="Times New Roman" w:hAnsi="Times New Roman"/>
          <w:sz w:val="22"/>
          <w:szCs w:val="22"/>
          <w:color w:val="auto"/>
        </w:rPr>
        <w:t>Option may be earlier terminated as specified by the Committee and set forth in an Award Agreement upon or following the termination of a Participant’s Service with the Company or any Subsidiary, including by reason of voluntary resignation, death, Disability, termination for Cause or any other reason. Subject to compliance with Section 409A of the Code, as applicable, and the provisions of this Section 6, the Committee may extend at any time the period in which a Stock Option may be exercised, but not beyond ten (10) years from the Date of Grant.</w:t>
      </w:r>
    </w:p>
    <w:p>
      <w:pPr>
        <w:spacing w:after="0" w:line="173" w:lineRule="exact"/>
        <w:rPr>
          <w:sz w:val="20"/>
          <w:szCs w:val="20"/>
          <w:color w:val="auto"/>
        </w:rPr>
      </w:pPr>
    </w:p>
    <w:p>
      <w:pPr>
        <w:ind w:right="140" w:firstLine="749"/>
        <w:spacing w:after="0" w:line="248" w:lineRule="auto"/>
        <w:rPr>
          <w:sz w:val="20"/>
          <w:szCs w:val="20"/>
          <w:color w:val="auto"/>
        </w:rPr>
      </w:pPr>
      <w:r>
        <w:rPr>
          <w:rFonts w:ascii="Times New Roman" w:cs="Times New Roman" w:eastAsia="Times New Roman" w:hAnsi="Times New Roman"/>
          <w:sz w:val="21"/>
          <w:szCs w:val="21"/>
          <w:color w:val="auto"/>
        </w:rPr>
        <w:t>6.5</w:t>
      </w:r>
      <w:r>
        <w:rPr>
          <w:rFonts w:ascii="Times New Roman" w:cs="Times New Roman" w:eastAsia="Times New Roman" w:hAnsi="Times New Roman"/>
          <w:sz w:val="21"/>
          <w:szCs w:val="21"/>
          <w:i w:val="1"/>
          <w:iCs w:val="1"/>
          <w:color w:val="auto"/>
        </w:rPr>
        <w:t>Stock Option Exercise; Tax Withholding</w:t>
      </w:r>
      <w:r>
        <w:rPr>
          <w:rFonts w:ascii="Times New Roman" w:cs="Times New Roman" w:eastAsia="Times New Roman" w:hAnsi="Times New Roman"/>
          <w:sz w:val="21"/>
          <w:szCs w:val="21"/>
          <w:color w:val="auto"/>
        </w:rPr>
        <w:t>. Subject to such terms and conditions as specified in an Award Agreement (including applicable vesting requirements), a Stock Option may be exercised in whole or in part at any time during the term thereof by notice in the form required by the Company, together with payment of the aggregate exercise price and applicable withholding tax. Payment of the exercise price may be made: (i) in cash or by cash equivalent acceptable to the Committee, or,</w:t>
      </w:r>
    </w:p>
    <w:p>
      <w:pPr>
        <w:spacing w:after="0" w:line="2" w:lineRule="exact"/>
        <w:rPr>
          <w:sz w:val="20"/>
          <w:szCs w:val="20"/>
          <w:color w:val="auto"/>
        </w:rPr>
      </w:pPr>
    </w:p>
    <w:p>
      <w:pPr>
        <w:ind w:firstLine="8"/>
        <w:spacing w:after="0" w:line="241" w:lineRule="auto"/>
        <w:tabs>
          <w:tab w:leader="none" w:pos="318"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the Committee in its sole discretion in an Award Agreement or otherwise (A) in shares of Common Stock valued at the Fair Market Value of such shares on the date of exercise, (B) through an open-market, broker-assisted sales transaction pursuant to which the Company is promptly delivered the amount of proceeds necessary to satisfy the exercise price,</w:t>
      </w:r>
    </w:p>
    <w:p>
      <w:pPr>
        <w:spacing w:after="0" w:line="1" w:lineRule="exact"/>
        <w:rPr>
          <w:rFonts w:ascii="Times New Roman" w:cs="Times New Roman" w:eastAsia="Times New Roman" w:hAnsi="Times New Roman"/>
          <w:sz w:val="21"/>
          <w:szCs w:val="21"/>
          <w:color w:val="auto"/>
        </w:rPr>
      </w:pPr>
    </w:p>
    <w:p>
      <w:pPr>
        <w:ind w:right="100"/>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by reducing the number of shares of Common Stock otherwise deliverable upon the exercise of the Stock Option by the number of shares of Common Stock having a Fair Market Value on the date of exercise equal to the exercise price, (D) by a combination of the methods described above or (E) by such other method as may be approved by the Committee. In accordance with Section 14.11 hereof, and in addition to and at the time of payment of the exercise price, the Participant shall pay to the Company the full amount of any and all applicable income tax, employment tax and other amounts required to be withheld in connection with such exercise, payable under such of the methods described above for the payment of the exercise price as may be approved by the Committee and set forth in the Award Agreement.</w:t>
      </w:r>
    </w:p>
    <w:p>
      <w:pPr>
        <w:spacing w:after="0" w:line="177"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6.6</w:t>
      </w:r>
      <w:r>
        <w:rPr>
          <w:rFonts w:ascii="Times New Roman" w:cs="Times New Roman" w:eastAsia="Times New Roman" w:hAnsi="Times New Roman"/>
          <w:sz w:val="22"/>
          <w:szCs w:val="22"/>
          <w:i w:val="1"/>
          <w:iCs w:val="1"/>
          <w:color w:val="auto"/>
        </w:rPr>
        <w:t>Limited Transferability of Stock Options</w:t>
      </w:r>
      <w:r>
        <w:rPr>
          <w:rFonts w:ascii="Times New Roman" w:cs="Times New Roman" w:eastAsia="Times New Roman" w:hAnsi="Times New Roman"/>
          <w:sz w:val="22"/>
          <w:szCs w:val="22"/>
          <w:color w:val="auto"/>
        </w:rPr>
        <w:t>. All Stock Options shall be nontransferable except (i) upon the Participant’s death, in accordance with Section 14.3 hereof or (ii) for the transfer of all or part of the Stock Option to a Participant’s “family member” (as defined for purposes of the Form S-8 registration statement under the Securities Act), or as otherwise permitted by the Committee to the extent also permitted by the general instructions of the Form S-8 registration statement, as may be amended from time to time, in each case as may be approved by the Committee in its discretion at the time of proposed transfer; provided, in each case, that any permitted transfer shall be for no consideration. The transfer of a Stock Option may be subject to such terms and conditions as the Committee may in its discretion impose from time to time. Subsequent transfers of a Stock Option shall be prohibited other than in accordance with Section 14.3 hereof.</w:t>
      </w:r>
    </w:p>
    <w:p>
      <w:pPr>
        <w:spacing w:after="0" w:line="178"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21"/>
          <w:szCs w:val="21"/>
          <w:color w:val="auto"/>
        </w:rPr>
        <w:t>6.7</w:t>
      </w:r>
      <w:r>
        <w:rPr>
          <w:rFonts w:ascii="Times New Roman" w:cs="Times New Roman" w:eastAsia="Times New Roman" w:hAnsi="Times New Roman"/>
          <w:sz w:val="21"/>
          <w:szCs w:val="21"/>
          <w:i w:val="1"/>
          <w:iCs w:val="1"/>
          <w:color w:val="auto"/>
        </w:rPr>
        <w:t>Repricing Prohibited.</w:t>
      </w:r>
      <w:r>
        <w:rPr>
          <w:rFonts w:ascii="Times New Roman" w:cs="Times New Roman" w:eastAsia="Times New Roman" w:hAnsi="Times New Roman"/>
          <w:sz w:val="21"/>
          <w:szCs w:val="21"/>
          <w:color w:val="auto"/>
        </w:rPr>
        <w:t xml:space="preserve"> Subject to the adjustment provisions contained in Section 4.3 hereof and other than in connection with a Change in Control, without the prior approval of the Company’s stockholders, neither the Committee nor the Board shall cancel a Stock Option when the exercise price per share exceeds the Fair Market Value of one share of Common Stock in exchange for cash or another Award or cause the cancellation, substitution or amendment of a Stock Option that would have the effect of reducing the exercise price of such a Stock Option previously granted under the Plan or otherwise approve any modification to such a Stock Option, that would be treated as a “repricing” under the then applicable rules, regulations or listing</w:t>
      </w: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2"/>
          <w:szCs w:val="22"/>
          <w:color w:val="auto"/>
        </w:rPr>
        <w:t>requirements adopted by the Nasdaq or other principal exchange on which the Common Stock is then listed.</w:t>
      </w:r>
    </w:p>
    <w:p>
      <w:pPr>
        <w:spacing w:after="0" w:line="202"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2"/>
          <w:szCs w:val="22"/>
          <w:color w:val="auto"/>
        </w:rPr>
        <w:t>6.8</w:t>
      </w:r>
      <w:r>
        <w:rPr>
          <w:rFonts w:ascii="Times New Roman" w:cs="Times New Roman" w:eastAsia="Times New Roman" w:hAnsi="Times New Roman"/>
          <w:sz w:val="22"/>
          <w:szCs w:val="22"/>
          <w:i w:val="1"/>
          <w:iCs w:val="1"/>
          <w:color w:val="auto"/>
        </w:rPr>
        <w:t>No Rights as Stockholder</w:t>
      </w:r>
      <w:r>
        <w:rPr>
          <w:rFonts w:ascii="Times New Roman" w:cs="Times New Roman" w:eastAsia="Times New Roman" w:hAnsi="Times New Roman"/>
          <w:sz w:val="22"/>
          <w:szCs w:val="22"/>
          <w:color w:val="auto"/>
        </w:rPr>
        <w:t>. The Participant shall not have any rights as a stockholder with respect to the shares underlying a Stock Option until such time as shares or Common Stock are delivered to the Participant pursuant to the terms of the Award Agreement.</w:t>
      </w:r>
    </w:p>
    <w:p>
      <w:pPr>
        <w:spacing w:after="0" w:line="171" w:lineRule="exact"/>
        <w:rPr>
          <w:sz w:val="20"/>
          <w:szCs w:val="20"/>
          <w:color w:val="auto"/>
        </w:rPr>
      </w:pPr>
    </w:p>
    <w:p>
      <w:pPr>
        <w:ind w:left="1020" w:hanging="263"/>
        <w:spacing w:after="0"/>
        <w:tabs>
          <w:tab w:leader="none" w:pos="10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Appreciation Rights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21"/>
          <w:szCs w:val="21"/>
          <w:color w:val="auto"/>
        </w:rPr>
        <w:t>7.1</w:t>
      </w:r>
      <w:r>
        <w:rPr>
          <w:rFonts w:ascii="Times New Roman" w:cs="Times New Roman" w:eastAsia="Times New Roman" w:hAnsi="Times New Roman"/>
          <w:sz w:val="21"/>
          <w:szCs w:val="21"/>
          <w:i w:val="1"/>
          <w:iCs w:val="1"/>
          <w:color w:val="auto"/>
        </w:rPr>
        <w:t>Grant of Stock Appreciation Rights</w:t>
      </w:r>
      <w:r>
        <w:rPr>
          <w:rFonts w:ascii="Times New Roman" w:cs="Times New Roman" w:eastAsia="Times New Roman" w:hAnsi="Times New Roman"/>
          <w:sz w:val="21"/>
          <w:szCs w:val="21"/>
          <w:color w:val="auto"/>
        </w:rPr>
        <w:t>. Stock Appreciation Rights may be granted to any Eligible Employee selected by the Committee. Stock Appreciation Rights may be granted on a basis that allows for the exercise of the right by the Participant, or that provides for the automatic exercise or payment of the right upon a specified date or event. Stock Appreciation Rights shall be non-transferable, except as provided in Section 14.3 hereof. All Stock Appreciation Rights granted under the Plan are intended to comply with or otherwise be exempt from the requirements of Section 409A of the Code, to the extent applicable.</w:t>
      </w:r>
    </w:p>
    <w:p>
      <w:pPr>
        <w:spacing w:after="0" w:line="163" w:lineRule="exact"/>
        <w:rPr>
          <w:sz w:val="20"/>
          <w:szCs w:val="20"/>
          <w:color w:val="auto"/>
        </w:rPr>
      </w:pPr>
    </w:p>
    <w:p>
      <w:pPr>
        <w:ind w:firstLine="749"/>
        <w:spacing w:after="0" w:line="232" w:lineRule="auto"/>
        <w:rPr>
          <w:sz w:val="20"/>
          <w:szCs w:val="20"/>
          <w:color w:val="auto"/>
        </w:rPr>
      </w:pPr>
      <w:r>
        <w:rPr>
          <w:rFonts w:ascii="Times New Roman" w:cs="Times New Roman" w:eastAsia="Times New Roman" w:hAnsi="Times New Roman"/>
          <w:sz w:val="22"/>
          <w:szCs w:val="22"/>
          <w:color w:val="auto"/>
        </w:rPr>
        <w:t>7.2</w:t>
      </w:r>
      <w:r>
        <w:rPr>
          <w:rFonts w:ascii="Times New Roman" w:cs="Times New Roman" w:eastAsia="Times New Roman" w:hAnsi="Times New Roman"/>
          <w:sz w:val="22"/>
          <w:szCs w:val="22"/>
          <w:i w:val="1"/>
          <w:iCs w:val="1"/>
          <w:color w:val="auto"/>
        </w:rPr>
        <w:t>Terms of Stock Appreciation Rights</w:t>
      </w:r>
      <w:r>
        <w:rPr>
          <w:rFonts w:ascii="Times New Roman" w:cs="Times New Roman" w:eastAsia="Times New Roman" w:hAnsi="Times New Roman"/>
          <w:sz w:val="22"/>
          <w:szCs w:val="22"/>
          <w:color w:val="auto"/>
        </w:rPr>
        <w:t xml:space="preserve">. The Committee shall in its discretion provide in an Award Agreement the time or times at which or the conditions upon which, a Stock Appreciation Right or portion thereof shall become vested and/or exercisable. If the Fair Market Value of a share of Common Stock exceeds the base price on the last day that the Stock Appreciation Right may be exercised under an Award Agreement, the affected Participant shall be deemed to have exercised the vested portion of such Stock Appreciation Right and net share withholding for taxes (unless otherwise agreed) without the requirement of any further action. The requirements for vesting and exercisability of a Stock Appreciation Right may be based on the continued Service of a Participant with the Company or a Subsidiary for a specified time period (or periods), on the attainment of a specified performance goal(s) and/or on such other terms and conditions as approved by the Committee in its discretion. If the vesting requirements of a Stock Appreciation Right are not satisfied, the Award shall be forfeited. A Stock Appreciation Right will be exercisable or payable at such time or times as determined by the Committee;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maximum term of a Stock Appreciation Right shall be ten (10) years from the Date of Grant. Subject to compliance with Section 409A of the Code, as applicable, and the provisions of this Section 7.2, the Committee may extend at any time the period in which a Stock Appreciation Right may be exercised, but not beyond ten (10) years from the Date of Grant. The Committee may provide that a Stock Appreciation Right will cease to be exercisable upon or at the end of a period following a termination of Service for any reason. The base price of a Stock Appreciation Right shall be determined by the Committee in its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base price per share shall not be less than one hundred percent (100%) of the Fair Market Value of a share of Common Stock on the Date of Grant (other than with respect to a Stock Appreciation Right substituted or assumed under Section 14.10).</w:t>
      </w:r>
    </w:p>
    <w:p>
      <w:pPr>
        <w:spacing w:after="0" w:line="188" w:lineRule="exact"/>
        <w:rPr>
          <w:sz w:val="20"/>
          <w:szCs w:val="20"/>
          <w:color w:val="auto"/>
        </w:rPr>
      </w:pPr>
    </w:p>
    <w:p>
      <w:pPr>
        <w:ind w:right="60" w:firstLine="749"/>
        <w:spacing w:after="0" w:line="241" w:lineRule="auto"/>
        <w:rPr>
          <w:sz w:val="20"/>
          <w:szCs w:val="20"/>
          <w:color w:val="auto"/>
        </w:rPr>
      </w:pPr>
      <w:r>
        <w:rPr>
          <w:rFonts w:ascii="Times New Roman" w:cs="Times New Roman" w:eastAsia="Times New Roman" w:hAnsi="Times New Roman"/>
          <w:sz w:val="22"/>
          <w:szCs w:val="22"/>
          <w:color w:val="auto"/>
        </w:rPr>
        <w:t>7.3</w:t>
      </w:r>
      <w:r>
        <w:rPr>
          <w:rFonts w:ascii="Times New Roman" w:cs="Times New Roman" w:eastAsia="Times New Roman" w:hAnsi="Times New Roman"/>
          <w:sz w:val="22"/>
          <w:szCs w:val="22"/>
          <w:i w:val="1"/>
          <w:iCs w:val="1"/>
          <w:color w:val="auto"/>
        </w:rPr>
        <w:t>Payment of Stock Appreciation Rights</w:t>
      </w:r>
      <w:r>
        <w:rPr>
          <w:rFonts w:ascii="Times New Roman" w:cs="Times New Roman" w:eastAsia="Times New Roman" w:hAnsi="Times New Roman"/>
          <w:sz w:val="22"/>
          <w:szCs w:val="22"/>
          <w:color w:val="auto"/>
        </w:rPr>
        <w:t>. A Stock Appreciation Right will entitle the holder, upon exercise or other payment of the Stock Appreciation Right, as applicable, to receive an amount determined by multiplying: (i) the excess of the Fair Market Value of a share of Common Stock on the date of exercise or payment of the Stock Appreciation Right over the base price of such Stock Appreciation Right, by (ii) the number of shares as to which such Stock</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3" w:name="page154"/>
    <w:bookmarkEnd w:id="153"/>
    <w:p>
      <w:pPr>
        <w:jc w:val="both"/>
        <w:ind w:right="140"/>
        <w:spacing w:after="0" w:line="239" w:lineRule="auto"/>
        <w:rPr>
          <w:sz w:val="20"/>
          <w:szCs w:val="20"/>
          <w:color w:val="auto"/>
        </w:rPr>
      </w:pPr>
      <w:r>
        <w:rPr>
          <w:rFonts w:ascii="Times New Roman" w:cs="Times New Roman" w:eastAsia="Times New Roman" w:hAnsi="Times New Roman"/>
          <w:sz w:val="22"/>
          <w:szCs w:val="22"/>
          <w:color w:val="auto"/>
        </w:rPr>
        <w:t>Appreciation Right is exercised or paid. Payment of the amount determined under the foregoing may be made, as approved by the Committee and set forth in the Award Agreement, in shares of Common Stock valued at their Fair Market Value on the date of exercise or payment, in cash or in a combination of shares of Common Stock and cash, subject to applicable tax withholding requirements.</w:t>
      </w:r>
    </w:p>
    <w:p>
      <w:pPr>
        <w:spacing w:after="0" w:line="176" w:lineRule="exact"/>
        <w:rPr>
          <w:sz w:val="20"/>
          <w:szCs w:val="20"/>
          <w:color w:val="auto"/>
        </w:rPr>
      </w:pPr>
    </w:p>
    <w:p>
      <w:pPr>
        <w:ind w:right="160" w:firstLine="749"/>
        <w:spacing w:after="0" w:line="235" w:lineRule="auto"/>
        <w:rPr>
          <w:sz w:val="20"/>
          <w:szCs w:val="20"/>
          <w:color w:val="auto"/>
        </w:rPr>
      </w:pPr>
      <w:r>
        <w:rPr>
          <w:rFonts w:ascii="Times New Roman" w:cs="Times New Roman" w:eastAsia="Times New Roman" w:hAnsi="Times New Roman"/>
          <w:sz w:val="22"/>
          <w:szCs w:val="22"/>
          <w:color w:val="auto"/>
        </w:rPr>
        <w:t>7.4</w:t>
      </w:r>
      <w:r>
        <w:rPr>
          <w:rFonts w:ascii="Times New Roman" w:cs="Times New Roman" w:eastAsia="Times New Roman" w:hAnsi="Times New Roman"/>
          <w:sz w:val="22"/>
          <w:szCs w:val="22"/>
          <w:i w:val="1"/>
          <w:iCs w:val="1"/>
          <w:color w:val="auto"/>
        </w:rPr>
        <w:t>Repricing Prohibited</w:t>
      </w:r>
      <w:r>
        <w:rPr>
          <w:rFonts w:ascii="Times New Roman" w:cs="Times New Roman" w:eastAsia="Times New Roman" w:hAnsi="Times New Roman"/>
          <w:sz w:val="22"/>
          <w:szCs w:val="22"/>
          <w:color w:val="auto"/>
        </w:rPr>
        <w:t>. Subject to the adjustment provisions contained in Section 4.3 hereof and other than in connection with a Change in Control, without the prior approval of the Company’s stockholders, neither the Committee nor the Board shall cancel a Stock Appreciation Right when the base price per share exceeds the Fair Market Value of one share of Common Stock in exchange for cash or another Award or cause the cancellation, substitution or amendment of a Stock Appreciation Right that would have the effect of reducing the base price of such a Stock Appreciation Right previously granted under the Plan or otherwise approve any modification to such Stock Appreciation Right that would be treated as a “repricing” under the then applicable rules, regulations or listing requirements adopted by the Nasdaq or other principal exchange on which the Common Stock is then listed.</w:t>
      </w:r>
    </w:p>
    <w:p>
      <w:pPr>
        <w:spacing w:after="0" w:line="178" w:lineRule="exact"/>
        <w:rPr>
          <w:sz w:val="20"/>
          <w:szCs w:val="20"/>
          <w:color w:val="auto"/>
        </w:rPr>
      </w:pPr>
    </w:p>
    <w:p>
      <w:pPr>
        <w:ind w:right="380" w:firstLine="749"/>
        <w:spacing w:after="0" w:line="246" w:lineRule="auto"/>
        <w:rPr>
          <w:sz w:val="20"/>
          <w:szCs w:val="20"/>
          <w:color w:val="auto"/>
        </w:rPr>
      </w:pPr>
      <w:r>
        <w:rPr>
          <w:rFonts w:ascii="Times New Roman" w:cs="Times New Roman" w:eastAsia="Times New Roman" w:hAnsi="Times New Roman"/>
          <w:sz w:val="22"/>
          <w:szCs w:val="22"/>
          <w:color w:val="auto"/>
        </w:rPr>
        <w:t>7.5</w:t>
      </w:r>
      <w:r>
        <w:rPr>
          <w:rFonts w:ascii="Times New Roman" w:cs="Times New Roman" w:eastAsia="Times New Roman" w:hAnsi="Times New Roman"/>
          <w:sz w:val="22"/>
          <w:szCs w:val="22"/>
          <w:i w:val="1"/>
          <w:iCs w:val="1"/>
          <w:color w:val="auto"/>
        </w:rPr>
        <w:t>No Rights as Stockholder</w:t>
      </w:r>
      <w:r>
        <w:rPr>
          <w:rFonts w:ascii="Times New Roman" w:cs="Times New Roman" w:eastAsia="Times New Roman" w:hAnsi="Times New Roman"/>
          <w:sz w:val="22"/>
          <w:szCs w:val="22"/>
          <w:color w:val="auto"/>
        </w:rPr>
        <w:t>. The Participant shall not have any rights as a stockholder with respect to the shares underlying a Stock Appreciation Right unless and until such time as shares or Common Stock are delivered to the Participant pursuant to the terms of the Award Agreement.</w:t>
      </w:r>
    </w:p>
    <w:p>
      <w:pPr>
        <w:spacing w:after="0" w:line="171" w:lineRule="exact"/>
        <w:rPr>
          <w:sz w:val="20"/>
          <w:szCs w:val="20"/>
          <w:color w:val="auto"/>
        </w:rPr>
      </w:pPr>
    </w:p>
    <w:p>
      <w:pPr>
        <w:ind w:left="1020" w:hanging="263"/>
        <w:spacing w:after="0"/>
        <w:tabs>
          <w:tab w:leader="none" w:pos="10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Awards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right="60" w:firstLine="749"/>
        <w:spacing w:after="0" w:line="246" w:lineRule="auto"/>
        <w:rPr>
          <w:sz w:val="20"/>
          <w:szCs w:val="20"/>
          <w:color w:val="auto"/>
        </w:rPr>
      </w:pPr>
      <w:r>
        <w:rPr>
          <w:rFonts w:ascii="Times New Roman" w:cs="Times New Roman" w:eastAsia="Times New Roman" w:hAnsi="Times New Roman"/>
          <w:sz w:val="22"/>
          <w:szCs w:val="22"/>
          <w:color w:val="auto"/>
        </w:rPr>
        <w:t>8.1</w:t>
      </w:r>
      <w:r>
        <w:rPr>
          <w:rFonts w:ascii="Times New Roman" w:cs="Times New Roman" w:eastAsia="Times New Roman" w:hAnsi="Times New Roman"/>
          <w:sz w:val="22"/>
          <w:szCs w:val="22"/>
          <w:i w:val="1"/>
          <w:iCs w:val="1"/>
          <w:color w:val="auto"/>
        </w:rPr>
        <w:t>Grant of Restricted Stock Awards</w:t>
      </w:r>
      <w:r>
        <w:rPr>
          <w:rFonts w:ascii="Times New Roman" w:cs="Times New Roman" w:eastAsia="Times New Roman" w:hAnsi="Times New Roman"/>
          <w:sz w:val="22"/>
          <w:szCs w:val="22"/>
          <w:color w:val="auto"/>
        </w:rPr>
        <w:t>. A Restricted Stock Award may be granted to any Eligible Employee selected by the Committee. The Committee may require the payment by the Participant of a specified purchase price in connection with any Restricted Stock Award.</w:t>
      </w:r>
    </w:p>
    <w:p>
      <w:pPr>
        <w:spacing w:after="0" w:line="167"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21"/>
          <w:szCs w:val="21"/>
          <w:color w:val="auto"/>
        </w:rPr>
        <w:t>8.2</w:t>
      </w:r>
      <w:r>
        <w:rPr>
          <w:rFonts w:ascii="Times New Roman" w:cs="Times New Roman" w:eastAsia="Times New Roman" w:hAnsi="Times New Roman"/>
          <w:sz w:val="21"/>
          <w:szCs w:val="21"/>
          <w:i w:val="1"/>
          <w:iCs w:val="1"/>
          <w:color w:val="auto"/>
        </w:rPr>
        <w:t>Vesting Requirements</w:t>
      </w:r>
      <w:r>
        <w:rPr>
          <w:rFonts w:ascii="Times New Roman" w:cs="Times New Roman" w:eastAsia="Times New Roman" w:hAnsi="Times New Roman"/>
          <w:sz w:val="21"/>
          <w:szCs w:val="21"/>
          <w:color w:val="auto"/>
        </w:rPr>
        <w:t>. The restrictions imposed on shares granted under a Restricted Stock Award shall lapse in accordance with the vesting requirements specified by the Committee in the Award Agreement. The requirements for vesting of a Restricted Stock Award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Restricted Stock Award are not satisfied, the Award shall be forfeited and the shares of Common Stock subject to the Award shall be returned to the Company.</w:t>
      </w:r>
    </w:p>
    <w:p>
      <w:pPr>
        <w:spacing w:after="0" w:line="165"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8.3</w:t>
      </w:r>
      <w:r>
        <w:rPr>
          <w:rFonts w:ascii="Times New Roman" w:cs="Times New Roman" w:eastAsia="Times New Roman" w:hAnsi="Times New Roman"/>
          <w:sz w:val="22"/>
          <w:szCs w:val="22"/>
          <w:i w:val="1"/>
          <w:iCs w:val="1"/>
          <w:color w:val="auto"/>
        </w:rPr>
        <w:t>Transfer Restrictions</w:t>
      </w:r>
      <w:r>
        <w:rPr>
          <w:rFonts w:ascii="Times New Roman" w:cs="Times New Roman" w:eastAsia="Times New Roman" w:hAnsi="Times New Roman"/>
          <w:sz w:val="22"/>
          <w:szCs w:val="22"/>
          <w:color w:val="auto"/>
        </w:rPr>
        <w:t>. Shares granted under any Restricted Stock Award may not be transferred, assigned or subject to any encumbrance, pledge or charge until all applicable restrictions are removed or have expired, except as provided in Section 14.3 hereof. Failure to satisfy any applicable restrictions shall result in the subject shares of the Restricted Stock Award being forfeited and returned to the Company. The Committee may require in an Award Agreement that certificates (if any) representing the shares granted under a Restricted Stock Award bear a legend making appropriate reference to the restrictions imposed, and that certificates (if any) representing the shares granted or sold under a Restricted Stock Award will remain in the physical custody of an escrow holder until all restrictions are removed or have expired.</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54" w:name="page155"/>
    <w:bookmarkEnd w:id="154"/>
    <w:p>
      <w:pPr>
        <w:ind w:firstLine="749"/>
        <w:spacing w:after="0" w:line="247" w:lineRule="auto"/>
        <w:rPr>
          <w:sz w:val="20"/>
          <w:szCs w:val="20"/>
          <w:color w:val="auto"/>
        </w:rPr>
      </w:pPr>
      <w:r>
        <w:rPr>
          <w:rFonts w:ascii="Times New Roman" w:cs="Times New Roman" w:eastAsia="Times New Roman" w:hAnsi="Times New Roman"/>
          <w:sz w:val="21"/>
          <w:szCs w:val="21"/>
          <w:color w:val="auto"/>
        </w:rPr>
        <w:t>8.4</w:t>
      </w:r>
      <w:r>
        <w:rPr>
          <w:rFonts w:ascii="Times New Roman" w:cs="Times New Roman" w:eastAsia="Times New Roman" w:hAnsi="Times New Roman"/>
          <w:sz w:val="21"/>
          <w:szCs w:val="21"/>
          <w:i w:val="1"/>
          <w:iCs w:val="1"/>
          <w:color w:val="auto"/>
        </w:rPr>
        <w:t>Rights as Stockholder</w:t>
      </w:r>
      <w:r>
        <w:rPr>
          <w:rFonts w:ascii="Times New Roman" w:cs="Times New Roman" w:eastAsia="Times New Roman" w:hAnsi="Times New Roman"/>
          <w:sz w:val="21"/>
          <w:szCs w:val="21"/>
          <w:color w:val="auto"/>
        </w:rPr>
        <w:t>. Subject to the foregoing provisions of this Section 8 and the applicable Award Agreement, the Participant shall have all rights of a stockholder with respect to the shares granted to the Participant under a Restricted Stock Award, including the right to vote the shares and receive all dividends and other distributions paid or made with respect thereto, unless the Committee determines otherwise at the time the Restricted Stock Award is granted. The Committee shall determine and set forth in a Participant’s Award Agreement whether or not a Participant holding a Restricted Stock Award granted hereunder shall have the right to exercise voting rights with respect to the period during which the Restricted Stock Award is subject to forfeiture (the “</w:t>
      </w:r>
      <w:r>
        <w:rPr>
          <w:rFonts w:ascii="Times New Roman" w:cs="Times New Roman" w:eastAsia="Times New Roman" w:hAnsi="Times New Roman"/>
          <w:sz w:val="21"/>
          <w:szCs w:val="21"/>
          <w:i w:val="1"/>
          <w:iCs w:val="1"/>
          <w:color w:val="auto"/>
        </w:rPr>
        <w:t>Restriction Period</w:t>
      </w:r>
      <w:r>
        <w:rPr>
          <w:rFonts w:ascii="Times New Roman" w:cs="Times New Roman" w:eastAsia="Times New Roman" w:hAnsi="Times New Roman"/>
          <w:sz w:val="21"/>
          <w:szCs w:val="21"/>
          <w:color w:val="auto"/>
        </w:rPr>
        <w:t xml:space="preserve">”), and have the right to receive dividends on the Restricted Stock Award during the Restriction Period (and, if so, on what terms)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 Participant has the right to receive dividends paid with respect to the Restricted Stock Award, such dividends shall be subject to the same vesting terms as the related Restricted Stock Award.</w:t>
      </w:r>
    </w:p>
    <w:p>
      <w:pPr>
        <w:spacing w:after="0" w:line="166"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8.5</w:t>
      </w:r>
      <w:r>
        <w:rPr>
          <w:rFonts w:ascii="Times New Roman" w:cs="Times New Roman" w:eastAsia="Times New Roman" w:hAnsi="Times New Roman"/>
          <w:sz w:val="22"/>
          <w:szCs w:val="22"/>
          <w:i w:val="1"/>
          <w:iCs w:val="1"/>
          <w:color w:val="auto"/>
        </w:rPr>
        <w:t>Section 83(b) Election</w:t>
      </w:r>
      <w:r>
        <w:rPr>
          <w:rFonts w:ascii="Times New Roman" w:cs="Times New Roman" w:eastAsia="Times New Roman" w:hAnsi="Times New Roman"/>
          <w:sz w:val="22"/>
          <w:szCs w:val="22"/>
          <w:color w:val="auto"/>
        </w:rPr>
        <w:t>. If a Participant makes an election pursuant to Section 83(b) of the Code with respect to a Restricted Stock Award, the Participant shall file, within thirty (30) days following the Date of Grant, a copy of such election with the Company and with the Internal Revenue Service, in accordance with the regulations under Section 83 of the Code. The Committee may provide in an Award Agreement that the Restricted Stock Award is conditioned upon the Participant’s making or refraining from making an election with respect to the Award under Section 83(b) of the Code.</w:t>
      </w:r>
    </w:p>
    <w:p>
      <w:pPr>
        <w:spacing w:after="0" w:line="181" w:lineRule="exact"/>
        <w:rPr>
          <w:sz w:val="20"/>
          <w:szCs w:val="20"/>
          <w:color w:val="auto"/>
        </w:rPr>
      </w:pPr>
    </w:p>
    <w:p>
      <w:pPr>
        <w:ind w:left="1020" w:hanging="263"/>
        <w:spacing w:after="0"/>
        <w:tabs>
          <w:tab w:leader="none" w:pos="10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right="260" w:firstLine="749"/>
        <w:spacing w:after="0" w:line="238" w:lineRule="auto"/>
        <w:rPr>
          <w:sz w:val="20"/>
          <w:szCs w:val="20"/>
          <w:color w:val="auto"/>
        </w:rPr>
      </w:pPr>
      <w:r>
        <w:rPr>
          <w:rFonts w:ascii="Times New Roman" w:cs="Times New Roman" w:eastAsia="Times New Roman" w:hAnsi="Times New Roman"/>
          <w:sz w:val="22"/>
          <w:szCs w:val="22"/>
          <w:color w:val="auto"/>
        </w:rPr>
        <w:t>9.1</w:t>
      </w:r>
      <w:r>
        <w:rPr>
          <w:rFonts w:ascii="Times New Roman" w:cs="Times New Roman" w:eastAsia="Times New Roman" w:hAnsi="Times New Roman"/>
          <w:sz w:val="22"/>
          <w:szCs w:val="22"/>
          <w:i w:val="1"/>
          <w:iCs w:val="1"/>
          <w:color w:val="auto"/>
        </w:rPr>
        <w:t>Grant of Restricted Stock Units</w:t>
      </w:r>
      <w:r>
        <w:rPr>
          <w:rFonts w:ascii="Times New Roman" w:cs="Times New Roman" w:eastAsia="Times New Roman" w:hAnsi="Times New Roman"/>
          <w:sz w:val="22"/>
          <w:szCs w:val="22"/>
          <w:color w:val="auto"/>
        </w:rPr>
        <w:t>. A Restricted Stock Unit may be granted to any Eligible Employee selected by the Committee. The value of each Restricted Stock Unit is equal to the Fair Market Value of a share of Common Stock on the applicable date or time period of determination, as specified by the Committee. Restricted Stock Units shall be subject to such restrictions and conditions as the Committee shall determine. Restricted Stock Units shall be non-transferable, except as provided in Section 14.3 hereof.</w:t>
      </w:r>
    </w:p>
    <w:p>
      <w:pPr>
        <w:spacing w:after="0" w:line="177" w:lineRule="exact"/>
        <w:rPr>
          <w:sz w:val="20"/>
          <w:szCs w:val="20"/>
          <w:color w:val="auto"/>
        </w:rPr>
      </w:pPr>
    </w:p>
    <w:p>
      <w:pPr>
        <w:ind w:right="80" w:firstLine="749"/>
        <w:spacing w:after="0" w:line="237" w:lineRule="auto"/>
        <w:rPr>
          <w:sz w:val="20"/>
          <w:szCs w:val="20"/>
          <w:color w:val="auto"/>
        </w:rPr>
      </w:pPr>
      <w:r>
        <w:rPr>
          <w:rFonts w:ascii="Times New Roman" w:cs="Times New Roman" w:eastAsia="Times New Roman" w:hAnsi="Times New Roman"/>
          <w:sz w:val="22"/>
          <w:szCs w:val="22"/>
          <w:color w:val="auto"/>
        </w:rPr>
        <w:t>9.2</w:t>
      </w:r>
      <w:r>
        <w:rPr>
          <w:rFonts w:ascii="Times New Roman" w:cs="Times New Roman" w:eastAsia="Times New Roman" w:hAnsi="Times New Roman"/>
          <w:sz w:val="22"/>
          <w:szCs w:val="22"/>
          <w:i w:val="1"/>
          <w:iCs w:val="1"/>
          <w:color w:val="auto"/>
        </w:rPr>
        <w:t>Vesting of Restricted Stock Units</w:t>
      </w:r>
      <w:r>
        <w:rPr>
          <w:rFonts w:ascii="Times New Roman" w:cs="Times New Roman" w:eastAsia="Times New Roman" w:hAnsi="Times New Roman"/>
          <w:sz w:val="22"/>
          <w:szCs w:val="22"/>
          <w:color w:val="auto"/>
        </w:rPr>
        <w:t>. The Committee shall, in its discretion, determine any vesting requirements with respect to Restricted Stock Units, which shall be set forth in the Award Agreement. The requirements for vesting of a Restricted Stock Unit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Restricted Stock Unit Award are not satisfied, the Award shall be forfeited.</w:t>
      </w:r>
    </w:p>
    <w:p>
      <w:pPr>
        <w:spacing w:after="0" w:line="175" w:lineRule="exact"/>
        <w:rPr>
          <w:sz w:val="20"/>
          <w:szCs w:val="20"/>
          <w:color w:val="auto"/>
        </w:rPr>
      </w:pPr>
    </w:p>
    <w:p>
      <w:pPr>
        <w:ind w:right="40" w:firstLine="749"/>
        <w:spacing w:after="0" w:line="237" w:lineRule="auto"/>
        <w:rPr>
          <w:sz w:val="20"/>
          <w:szCs w:val="20"/>
          <w:color w:val="auto"/>
        </w:rPr>
      </w:pPr>
      <w:r>
        <w:rPr>
          <w:rFonts w:ascii="Times New Roman" w:cs="Times New Roman" w:eastAsia="Times New Roman" w:hAnsi="Times New Roman"/>
          <w:sz w:val="22"/>
          <w:szCs w:val="22"/>
          <w:color w:val="auto"/>
        </w:rPr>
        <w:t>9.3</w:t>
      </w:r>
      <w:r>
        <w:rPr>
          <w:rFonts w:ascii="Times New Roman" w:cs="Times New Roman" w:eastAsia="Times New Roman" w:hAnsi="Times New Roman"/>
          <w:sz w:val="22"/>
          <w:szCs w:val="22"/>
          <w:i w:val="1"/>
          <w:iCs w:val="1"/>
          <w:color w:val="auto"/>
        </w:rPr>
        <w:t>Payment of Restricted Stock Units</w:t>
      </w:r>
      <w:r>
        <w:rPr>
          <w:rFonts w:ascii="Times New Roman" w:cs="Times New Roman" w:eastAsia="Times New Roman" w:hAnsi="Times New Roman"/>
          <w:sz w:val="22"/>
          <w:szCs w:val="22"/>
          <w:color w:val="auto"/>
        </w:rPr>
        <w:t>. Restricted Stock Units shall become payable to a Participant at the time or times determined by the Committee and set forth in the Award Agreement, which may be upon or following the vesting of the Award. Payment of a Restricted Stock Unit may be made, as approved by the Committee and set forth in the Award Agreement, in cash or in shares of Common Stock or in a combination thereof, subject to applicable tax withholding requirements. Any cash payment of a Restricted Stock Unit shall be made based upon the Fair Market Value of a share of Common Stock, determined on such date or over such time period as determined by the Committee.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55" w:name="page156"/>
    <w:bookmarkEnd w:id="155"/>
    <w:p>
      <w:pPr>
        <w:ind w:right="60" w:firstLine="749"/>
        <w:spacing w:after="0" w:line="241" w:lineRule="auto"/>
        <w:rPr>
          <w:sz w:val="20"/>
          <w:szCs w:val="20"/>
          <w:color w:val="auto"/>
        </w:rPr>
      </w:pPr>
      <w:r>
        <w:rPr>
          <w:rFonts w:ascii="Times New Roman" w:cs="Times New Roman" w:eastAsia="Times New Roman" w:hAnsi="Times New Roman"/>
          <w:sz w:val="22"/>
          <w:szCs w:val="22"/>
          <w:color w:val="auto"/>
        </w:rPr>
        <w:t>9.4</w:t>
      </w:r>
      <w:r>
        <w:rPr>
          <w:rFonts w:ascii="Times New Roman" w:cs="Times New Roman" w:eastAsia="Times New Roman" w:hAnsi="Times New Roman"/>
          <w:sz w:val="22"/>
          <w:szCs w:val="22"/>
          <w:i w:val="1"/>
          <w:iCs w:val="1"/>
          <w:color w:val="auto"/>
        </w:rPr>
        <w:t>Dividend Equivalent Rights.</w:t>
      </w:r>
      <w:r>
        <w:rPr>
          <w:rFonts w:ascii="Times New Roman" w:cs="Times New Roman" w:eastAsia="Times New Roman" w:hAnsi="Times New Roman"/>
          <w:sz w:val="22"/>
          <w:szCs w:val="22"/>
          <w:color w:val="auto"/>
        </w:rPr>
        <w:t xml:space="preserve"> Dividends shall not be paid with respect to Restricted Stock Units. Dividend equivalent rights may be granted with respect to the Shares subject to Restricted Stock Units to the extent permitted by the Committee and set forth in the applicable Award Agreement; provided that any dividend equivalent rights granted shall be subject to the same vesting terms as the related Restricted Stock Units.</w:t>
      </w:r>
    </w:p>
    <w:p>
      <w:pPr>
        <w:spacing w:after="0" w:line="172"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color w:val="auto"/>
        </w:rPr>
        <w:t>9.5</w:t>
      </w:r>
      <w:r>
        <w:rPr>
          <w:rFonts w:ascii="Times New Roman" w:cs="Times New Roman" w:eastAsia="Times New Roman" w:hAnsi="Times New Roman"/>
          <w:sz w:val="22"/>
          <w:szCs w:val="22"/>
          <w:i w:val="1"/>
          <w:iCs w:val="1"/>
          <w:color w:val="auto"/>
        </w:rPr>
        <w:t>No Rights as Stockholder</w:t>
      </w:r>
      <w:r>
        <w:rPr>
          <w:rFonts w:ascii="Times New Roman" w:cs="Times New Roman" w:eastAsia="Times New Roman" w:hAnsi="Times New Roman"/>
          <w:sz w:val="22"/>
          <w:szCs w:val="22"/>
          <w:color w:val="auto"/>
        </w:rPr>
        <w:t>. The Participant shall not have any rights as a stockholder with respect to the shares subject to a Restricted Stock Unit until such time as shares of Common Stock are delivered to the Participant pursuant to the terms of the Award Agreement.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Stock-Based Awards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right="60" w:firstLine="749"/>
        <w:spacing w:after="0" w:line="237" w:lineRule="auto"/>
        <w:rPr>
          <w:sz w:val="20"/>
          <w:szCs w:val="20"/>
          <w:color w:val="auto"/>
        </w:rPr>
      </w:pPr>
      <w:r>
        <w:rPr>
          <w:rFonts w:ascii="Times New Roman" w:cs="Times New Roman" w:eastAsia="Times New Roman" w:hAnsi="Times New Roman"/>
          <w:sz w:val="22"/>
          <w:szCs w:val="22"/>
          <w:color w:val="auto"/>
        </w:rPr>
        <w:t>10.1</w:t>
      </w:r>
      <w:r>
        <w:rPr>
          <w:rFonts w:ascii="Times New Roman" w:cs="Times New Roman" w:eastAsia="Times New Roman" w:hAnsi="Times New Roman"/>
          <w:sz w:val="22"/>
          <w:szCs w:val="22"/>
          <w:i w:val="1"/>
          <w:iCs w:val="1"/>
          <w:color w:val="auto"/>
        </w:rPr>
        <w:t>Grant of Stock-Based Awards</w:t>
      </w:r>
      <w:r>
        <w:rPr>
          <w:rFonts w:ascii="Times New Roman" w:cs="Times New Roman" w:eastAsia="Times New Roman" w:hAnsi="Times New Roman"/>
          <w:sz w:val="22"/>
          <w:szCs w:val="22"/>
          <w:color w:val="auto"/>
        </w:rPr>
        <w:t>. A Stock-Based Award may be granted to any Eligible Employee selected by the Committee. A Stock-Based Award may be granted for past Services, in lieu of bonus or other cash compensation, as directors’ compensation or for any other valid purpose as determined by the Committee, and shall be based upon or calculated by reference to the Common Stock. The Committee shall determine the terms and conditions of such Awards, and such Awards may be made without vesting requirements. In addition, the Committee may, in connection with any Stock-Based Award, require the payment of a specified purchase price.</w:t>
      </w:r>
    </w:p>
    <w:p>
      <w:pPr>
        <w:spacing w:after="0" w:line="175"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auto"/>
        </w:rPr>
        <w:t>10.2</w:t>
      </w:r>
      <w:r>
        <w:rPr>
          <w:rFonts w:ascii="Times New Roman" w:cs="Times New Roman" w:eastAsia="Times New Roman" w:hAnsi="Times New Roman"/>
          <w:sz w:val="22"/>
          <w:szCs w:val="22"/>
          <w:i w:val="1"/>
          <w:iCs w:val="1"/>
          <w:color w:val="auto"/>
        </w:rPr>
        <w:t>Rights as Stockholder</w:t>
      </w:r>
      <w:r>
        <w:rPr>
          <w:rFonts w:ascii="Times New Roman" w:cs="Times New Roman" w:eastAsia="Times New Roman" w:hAnsi="Times New Roman"/>
          <w:sz w:val="22"/>
          <w:szCs w:val="22"/>
          <w:color w:val="auto"/>
        </w:rPr>
        <w:t>. The Participant shall not have any rights as a stockholder with respect to the shares of Common Stock, including the right to vote the shares and receive all dividends and other distributions paid or made with respect thereto, until such time as shares of Common Stock, if any, are issued to the Participant pursuant to the terms of the Award Agreement. If a Participant has the right to receive dividends paid with respect to the Stock-Based Award, such dividends shall be subject to the same vesting terms as the related Stock-Based Award, if applicable.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right="40" w:firstLine="749"/>
        <w:spacing w:after="0" w:line="234" w:lineRule="auto"/>
        <w:rPr>
          <w:sz w:val="20"/>
          <w:szCs w:val="20"/>
          <w:color w:val="auto"/>
        </w:rPr>
      </w:pPr>
      <w:r>
        <w:rPr>
          <w:rFonts w:ascii="Times New Roman" w:cs="Times New Roman" w:eastAsia="Times New Roman" w:hAnsi="Times New Roman"/>
          <w:sz w:val="22"/>
          <w:szCs w:val="22"/>
          <w:color w:val="auto"/>
        </w:rPr>
        <w:t>11.1</w:t>
      </w:r>
      <w:r>
        <w:rPr>
          <w:rFonts w:ascii="Times New Roman" w:cs="Times New Roman" w:eastAsia="Times New Roman" w:hAnsi="Times New Roman"/>
          <w:sz w:val="22"/>
          <w:szCs w:val="22"/>
          <w:i w:val="1"/>
          <w:iCs w:val="1"/>
          <w:color w:val="auto"/>
        </w:rPr>
        <w:t>Effect on Awards</w:t>
      </w:r>
      <w:r>
        <w:rPr>
          <w:rFonts w:ascii="Times New Roman" w:cs="Times New Roman" w:eastAsia="Times New Roman" w:hAnsi="Times New Roman"/>
          <w:sz w:val="22"/>
          <w:szCs w:val="22"/>
          <w:color w:val="auto"/>
        </w:rPr>
        <w:t>. Upon the occurrence of a Change in Control, all outstanding Awards shall either be (a) continued or assumed by the Company (if it is the surviving company or corporation) or by the surviving company or corporation or its parent (with such continuation or assumption including conversion into the right to receive securities, cash or a combination of both), or (b) substituted by the surviving company or corporation or its parent for awards (with such substitution including conversion into the right to receive securities, cash or a combination of both), with substantially similar terms for outstanding Awards (with appropriate adjustments to the type of consideration payable upon settlement of the Awards or other relevant factors, and with any applicable performance conditions deemed achieved (i) for any completed performance period, based on actual performance, or (ii) for any partial or future performance period, at the greater of the target level or actual performance, in each case as determined by the Committee (with the Award remaining subject only to time vesting), unless otherwise provided in an Award Agreement).</w:t>
      </w:r>
    </w:p>
    <w:p>
      <w:pPr>
        <w:spacing w:after="0" w:line="179"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11.2</w:t>
      </w:r>
      <w:r>
        <w:rPr>
          <w:rFonts w:ascii="Times New Roman" w:cs="Times New Roman" w:eastAsia="Times New Roman" w:hAnsi="Times New Roman"/>
          <w:sz w:val="22"/>
          <w:szCs w:val="22"/>
          <w:i w:val="1"/>
          <w:iCs w:val="1"/>
          <w:color w:val="auto"/>
        </w:rPr>
        <w:t>Certain Adjustments</w:t>
      </w:r>
      <w:r>
        <w:rPr>
          <w:rFonts w:ascii="Times New Roman" w:cs="Times New Roman" w:eastAsia="Times New Roman" w:hAnsi="Times New Roman"/>
          <w:sz w:val="22"/>
          <w:szCs w:val="22"/>
          <w:color w:val="auto"/>
        </w:rPr>
        <w:t>. Notwithstanding Section 11.1, to the extent that outstanding Awards are not continued, assumed or substituted pursuant to Section 11.1 upon the occurrence of</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6" w:name="page157"/>
    <w:bookmarkEnd w:id="156"/>
    <w:p>
      <w:pPr>
        <w:spacing w:after="0" w:line="258" w:lineRule="auto"/>
        <w:rPr>
          <w:sz w:val="20"/>
          <w:szCs w:val="20"/>
          <w:color w:val="auto"/>
        </w:rPr>
      </w:pPr>
      <w:r>
        <w:rPr>
          <w:rFonts w:ascii="Times New Roman" w:cs="Times New Roman" w:eastAsia="Times New Roman" w:hAnsi="Times New Roman"/>
          <w:sz w:val="22"/>
          <w:szCs w:val="22"/>
          <w:color w:val="auto"/>
        </w:rPr>
        <w:t>a Change in Control, the Committee is authorized (but not obligated) to make adjustments in the terms and conditions of outstanding Awards, including without limitation the following (or any combination thereof):</w:t>
      </w:r>
    </w:p>
    <w:p>
      <w:pPr>
        <w:spacing w:after="0" w:line="158" w:lineRule="exact"/>
        <w:rPr>
          <w:sz w:val="20"/>
          <w:szCs w:val="20"/>
          <w:color w:val="auto"/>
        </w:rPr>
      </w:pPr>
    </w:p>
    <w:p>
      <w:pPr>
        <w:ind w:firstLine="1505"/>
        <w:spacing w:after="0" w:line="258" w:lineRule="auto"/>
        <w:tabs>
          <w:tab w:leader="none" w:pos="203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acceleration of exercisability, vesting and/or payment of outstanding Awards immediately prior to the occurrence of such event or upon or following such event;</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written notice, providing that any outstanding Stock Options and Stock Appreciation Rights are exercisable during a period of time immediately prior to the scheduled consummation of the event or such other period as determined by the Committee (contingent upon the consummation of the event), and at the end of such period, such Stock Options and Stock Appreciation Rights shall terminate to the extent not so exercised within the relevant period; and</w:t>
      </w:r>
    </w:p>
    <w:p>
      <w:pPr>
        <w:spacing w:after="0" w:line="180"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cancellation of all or any portion of outstanding Awards for fair value (in the form of cash, Common Shares, other property or any combination thereof) as determined in the sole discretion of the Committee;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in the case of Stock Options and Stock Appreciation Rights or similar Awards, the fair value may equal the excess, if any, of the value or amount of the consideration to be paid in the Change in Control transaction to holders of shares of Common Stock (or, if no such consideration is paid, Fair Market Value of the shares of Common Stock) over the aggregate exercise or base price, as applicable, with respect to such Awards or portion thereof being canceled, or if there is no such excess, zero;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any payments or other consideration are deferred and/or contingent as a result of escrows, earn outs, holdbacks or any other contingencies, payments under this provision may be made on substantially the same terms and conditions applicable to, and only to the extent actually paid to, the holders of Common Shares in connection with the Change in Control.</w:t>
      </w:r>
    </w:p>
    <w:p>
      <w:pPr>
        <w:spacing w:after="0" w:line="171"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11.3</w:t>
      </w:r>
      <w:r>
        <w:rPr>
          <w:rFonts w:ascii="Times New Roman" w:cs="Times New Roman" w:eastAsia="Times New Roman" w:hAnsi="Times New Roman"/>
          <w:sz w:val="21"/>
          <w:szCs w:val="21"/>
          <w:i w:val="1"/>
          <w:iCs w:val="1"/>
          <w:color w:val="auto"/>
        </w:rPr>
        <w:t>Certain Terminations of Service</w:t>
      </w:r>
      <w:r>
        <w:rPr>
          <w:rFonts w:ascii="Times New Roman" w:cs="Times New Roman" w:eastAsia="Times New Roman" w:hAnsi="Times New Roman"/>
          <w:sz w:val="21"/>
          <w:szCs w:val="21"/>
          <w:color w:val="auto"/>
        </w:rPr>
        <w:t>. Notwithstanding the provisions of Section 11.1, if a Participant’s Service with the Company and its Subsidiaries is terminated upon or within twenty four (24) months following a Change in Control by the Company without Cause or upon such other circumstances as determined by the Committee, the unvested portion (if any) of all outstanding Awards held by the Participant shall immediately vest (and, to the extent applicable, become exercisable) and be paid in full upon such termination, with any applicable performance conditions deemed achieved (i) for any completed performance period, based on actual performance, or (ii) for any partial or future performance period, at the greater of the target level or actual performance, in each case as determined by the Committee, unless otherwise provided in an Award Agreement.</w:t>
      </w:r>
    </w:p>
    <w:p>
      <w:pPr>
        <w:spacing w:after="0" w:line="170" w:lineRule="exact"/>
        <w:rPr>
          <w:sz w:val="20"/>
          <w:szCs w:val="20"/>
          <w:color w:val="auto"/>
        </w:rPr>
      </w:pPr>
    </w:p>
    <w:p>
      <w:pPr>
        <w:ind w:right="500" w:firstLine="749"/>
        <w:spacing w:after="0" w:line="262" w:lineRule="auto"/>
        <w:rPr>
          <w:sz w:val="20"/>
          <w:szCs w:val="20"/>
          <w:color w:val="auto"/>
        </w:rPr>
      </w:pPr>
      <w:r>
        <w:rPr>
          <w:rFonts w:ascii="Times New Roman" w:cs="Times New Roman" w:eastAsia="Times New Roman" w:hAnsi="Times New Roman"/>
          <w:sz w:val="22"/>
          <w:szCs w:val="22"/>
          <w:color w:val="auto"/>
        </w:rPr>
        <w:t>11.4</w:t>
      </w:r>
      <w:r>
        <w:rPr>
          <w:rFonts w:ascii="Times New Roman" w:cs="Times New Roman" w:eastAsia="Times New Roman" w:hAnsi="Times New Roman"/>
          <w:sz w:val="22"/>
          <w:szCs w:val="22"/>
          <w:i w:val="1"/>
          <w:iCs w:val="1"/>
          <w:color w:val="auto"/>
        </w:rPr>
        <w:t>Definition of Change in Control.</w:t>
      </w:r>
      <w:r>
        <w:rPr>
          <w:rFonts w:ascii="Times New Roman" w:cs="Times New Roman" w:eastAsia="Times New Roman" w:hAnsi="Times New Roman"/>
          <w:sz w:val="22"/>
          <w:szCs w:val="22"/>
          <w:color w:val="auto"/>
        </w:rPr>
        <w:t xml:space="preserve"> Unless otherwise defined in an Award Agreement or other written agreement approved by the Committee, “Change in Control” means, and shall occur, if:</w:t>
      </w:r>
    </w:p>
    <w:p>
      <w:pPr>
        <w:spacing w:after="0" w:line="154" w:lineRule="exact"/>
        <w:rPr>
          <w:sz w:val="20"/>
          <w:szCs w:val="20"/>
          <w:color w:val="auto"/>
        </w:rPr>
      </w:pPr>
    </w:p>
    <w:p>
      <w:pPr>
        <w:ind w:right="20" w:firstLine="1505"/>
        <w:spacing w:after="0" w:line="239" w:lineRule="auto"/>
        <w:tabs>
          <w:tab w:leader="none" w:pos="203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(other than the Company, any trustee or other fiduciary holding securities under any employee benefit plan of the Company, or any company owned, directly or indirectly, by the stockholders of the Company in substantially the same proportions as their ownership of shares of Common Stock), is or becomes the “beneficial owner” (as defined in Rule 13d-3 under the Exchange Act), directly or indirectly, of securities of the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2"/>
          <w:szCs w:val="22"/>
          <w:color w:val="auto"/>
        </w:rPr>
        <w:t>Company representing more than 50% of the combined voting power of the Company’s then outstanding securities;</w:t>
      </w:r>
    </w:p>
    <w:p>
      <w:pPr>
        <w:spacing w:after="0" w:line="202" w:lineRule="exact"/>
        <w:rPr>
          <w:sz w:val="20"/>
          <w:szCs w:val="20"/>
          <w:color w:val="auto"/>
        </w:rPr>
      </w:pPr>
    </w:p>
    <w:p>
      <w:pPr>
        <w:ind w:right="20" w:firstLine="1505"/>
        <w:spacing w:after="0" w:line="247" w:lineRule="auto"/>
        <w:tabs>
          <w:tab w:leader="none" w:pos="209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any period of two consecutive years (the “</w:t>
      </w:r>
      <w:r>
        <w:rPr>
          <w:rFonts w:ascii="Times New Roman" w:cs="Times New Roman" w:eastAsia="Times New Roman" w:hAnsi="Times New Roman"/>
          <w:sz w:val="21"/>
          <w:szCs w:val="21"/>
          <w:i w:val="1"/>
          <w:iCs w:val="1"/>
          <w:color w:val="auto"/>
        </w:rPr>
        <w:t>Board Measurement Period</w:t>
      </w:r>
      <w:r>
        <w:rPr>
          <w:rFonts w:ascii="Times New Roman" w:cs="Times New Roman" w:eastAsia="Times New Roman" w:hAnsi="Times New Roman"/>
          <w:sz w:val="21"/>
          <w:szCs w:val="21"/>
          <w:color w:val="auto"/>
        </w:rPr>
        <w:t>”) individuals who at the beginning of such period constitute the Board and any new director (other than a director designated by a Person who has entered into an agreement with the Company to effect a transaction described in paragraph (a), (c), or (d) of this section, or a director initially elected or nominated as a result of an actual or threatened election contest with respect to directors or as a result of any other actual or threatened solicitation of proxies by or on behalf of any Person other than the Board) whose election by the Board or nomination for election by the Company’s stockholders was approved by a vote of at least two-thirds of the directors then still in office who either were directors at the beginning of the Board Measurement Period or whose election or nomination for election was previously so approved, cease for any reason to constitute at least a majority of the Board;</w:t>
      </w:r>
    </w:p>
    <w:p>
      <w:pPr>
        <w:spacing w:after="0" w:line="175" w:lineRule="exact"/>
        <w:rPr>
          <w:rFonts w:ascii="Times New Roman" w:cs="Times New Roman" w:eastAsia="Times New Roman" w:hAnsi="Times New Roman"/>
          <w:sz w:val="21"/>
          <w:szCs w:val="21"/>
          <w:color w:val="auto"/>
        </w:rPr>
      </w:pPr>
    </w:p>
    <w:p>
      <w:pPr>
        <w:ind w:firstLine="1505"/>
        <w:spacing w:after="0" w:line="235" w:lineRule="auto"/>
        <w:tabs>
          <w:tab w:leader="none" w:pos="203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provided, however, that a merger or consolidation effected to implement a recapitalization of the Company (or similar transaction) in which no Person (other than those covered by the exceptions in (i) above) acquires more than 50% of the combined voting power of the Company’s then outstanding securities shall not constitute a Change in Control of the Company; or</w:t>
      </w:r>
    </w:p>
    <w:p>
      <w:pPr>
        <w:spacing w:after="0" w:line="178" w:lineRule="exact"/>
        <w:rPr>
          <w:rFonts w:ascii="Times New Roman" w:cs="Times New Roman" w:eastAsia="Times New Roman" w:hAnsi="Times New Roman"/>
          <w:sz w:val="22"/>
          <w:szCs w:val="22"/>
          <w:color w:val="auto"/>
        </w:rPr>
      </w:pPr>
    </w:p>
    <w:p>
      <w:pPr>
        <w:ind w:right="40" w:firstLine="1505"/>
        <w:spacing w:after="0" w:line="238" w:lineRule="auto"/>
        <w:tabs>
          <w:tab w:leader="none" w:pos="203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Company approve the consummation of the sale or disposition by the Company of all or substantially all of the Company’s assets other than (i) the sale or disposition of all or substantially all of the assets of the Company to a Person or Persons who beneficially own, directly or indirectly, more than 50% of the combined voting power of the outstanding voting securities of the Company at the time of the sale or disposition or (ii) pursuant to a spinoff type transaction, directly or indirectly, of such assets to the stockholders of the Company.</w:t>
      </w:r>
    </w:p>
    <w:p>
      <w:pPr>
        <w:spacing w:after="0" w:line="177"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Notwithstanding the foregoing, to the extent necessary to comply with Section 409A of the Code with respect to the payment of “nonqualified deferred compensation,” “Change in Control” shall be limited to a “change in control event” as defined under Section 409A of the Code.</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Forfeiture Events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21"/>
          <w:szCs w:val="21"/>
          <w:color w:val="auto"/>
        </w:rPr>
        <w:t>12.1</w:t>
      </w:r>
      <w:r>
        <w:rPr>
          <w:rFonts w:ascii="Times New Roman" w:cs="Times New Roman" w:eastAsia="Times New Roman" w:hAnsi="Times New Roman"/>
          <w:sz w:val="21"/>
          <w:szCs w:val="21"/>
          <w:i w:val="1"/>
          <w:iCs w:val="1"/>
          <w:color w:val="auto"/>
        </w:rPr>
        <w:t>General</w:t>
      </w:r>
      <w:r>
        <w:rPr>
          <w:rFonts w:ascii="Times New Roman" w:cs="Times New Roman" w:eastAsia="Times New Roman" w:hAnsi="Times New Roman"/>
          <w:sz w:val="21"/>
          <w:szCs w:val="21"/>
          <w:color w:val="auto"/>
        </w:rPr>
        <w:t>. The Committee may specify in an Award Agreement that the Participant’s rights, payments and benefits with respect to an Award are subject to reduction, cancellation, forfeiture or recoupment upon the occurrence of certain specified events, in addition to any otherwise applicable vesting or performance conditions of an Award. Such events may include, without limitation, termination of Service for Cause, violation of laws, regulations or material Company policies, breach of noncompetition, non-solicitation, confidentiality or other restrictive covenants that may apply to the Participant, application of a</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58" w:name="page159"/>
    <w:bookmarkEnd w:id="158"/>
    <w:p>
      <w:pPr>
        <w:ind w:right="100"/>
        <w:spacing w:after="0" w:line="258" w:lineRule="auto"/>
        <w:rPr>
          <w:sz w:val="20"/>
          <w:szCs w:val="20"/>
          <w:color w:val="auto"/>
        </w:rPr>
      </w:pPr>
      <w:r>
        <w:rPr>
          <w:rFonts w:ascii="Times New Roman" w:cs="Times New Roman" w:eastAsia="Times New Roman" w:hAnsi="Times New Roman"/>
          <w:sz w:val="22"/>
          <w:szCs w:val="22"/>
          <w:color w:val="auto"/>
        </w:rPr>
        <w:t>Company clawback policy relating to financial restatement, or other conduct by the Participant that is detrimental to the business or reputation of the Company.</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12.2</w:t>
      </w:r>
      <w:r>
        <w:rPr>
          <w:rFonts w:ascii="Times New Roman" w:cs="Times New Roman" w:eastAsia="Times New Roman" w:hAnsi="Times New Roman"/>
          <w:sz w:val="22"/>
          <w:szCs w:val="22"/>
          <w:i w:val="1"/>
          <w:iCs w:val="1"/>
          <w:color w:val="auto"/>
        </w:rPr>
        <w:t>Termination for Cause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00" w:firstLine="1505"/>
        <w:spacing w:after="0" w:line="248" w:lineRule="auto"/>
        <w:tabs>
          <w:tab w:leader="none" w:pos="2036"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Treatment of Awards</w:t>
      </w:r>
      <w:r>
        <w:rPr>
          <w:rFonts w:ascii="Times New Roman" w:cs="Times New Roman" w:eastAsia="Times New Roman" w:hAnsi="Times New Roman"/>
          <w:sz w:val="21"/>
          <w:szCs w:val="21"/>
          <w:color w:val="auto"/>
        </w:rPr>
        <w:t>. Unless otherwise provided by the Committee and set forth in an Award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if (i) a Participant’s Service with the Company or any Subsidiary shall be terminated for Cause or (ii) after termination of Service for any other reason, the Committee determines in its discretion either that, (1) during the Participant’s period of Service, the Participant engaged in an act or omission which would have warranted termination of Service for Cause or</w:t>
      </w:r>
    </w:p>
    <w:p>
      <w:pPr>
        <w:spacing w:after="0" w:line="1" w:lineRule="exact"/>
        <w:rPr>
          <w:rFonts w:ascii="Times New Roman" w:cs="Times New Roman" w:eastAsia="Times New Roman" w:hAnsi="Times New Roman"/>
          <w:sz w:val="21"/>
          <w:szCs w:val="21"/>
          <w:color w:val="auto"/>
        </w:rPr>
      </w:pPr>
    </w:p>
    <w:p>
      <w:pPr>
        <w:ind w:firstLine="8"/>
        <w:spacing w:after="0" w:line="231" w:lineRule="auto"/>
        <w:tabs>
          <w:tab w:leader="none" w:pos="30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termination, the Participant engages in conduct that violates any continuing obligation or duty of the Participant in respect of the Company or any Subsidiary, such Participant’s rights, payments and benefits with respect to an Award shall be subject to cancellation, forfeiture and/or recoupment, as provided in Section 12.3 below. The Company shall have the power to determine whether the Participant has been terminated for Cause, the date upon which such termination for Cause occurs, whether the Participant engaged in an act or omission which would have warranted termination of Service for Cause or engaged in conduct that violated any continuing obligation or duty of the Participant in respect of the Company or any Subsidiary. Any such determination shall be final, conclusive and binding upon all Persons. In addition, if the Company shall reasonably determine that a Participant has committed or may have committed any act which could constitute the basis for a termination of such Participant’s Service for Cause or violates any continuing obligation or duty of the Participant in respect of the Company or any Subsidiary, the Company may suspend the Participant’s rights to exercise any Stock Option or Stock Appreciation Right, receive any payment or vest in any right with respect to any Award pending a determination by the Company of whether an act or omission could constitute the basis for a termination for Cause as provided in this Section 12.2.</w:t>
      </w:r>
    </w:p>
    <w:p>
      <w:pPr>
        <w:spacing w:after="0" w:line="18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Definition of Cause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Cause</w:t>
      </w:r>
      <w:r>
        <w:rPr>
          <w:rFonts w:ascii="Times New Roman" w:cs="Times New Roman" w:eastAsia="Times New Roman" w:hAnsi="Times New Roman"/>
          <w:sz w:val="21"/>
          <w:szCs w:val="21"/>
          <w:color w:val="auto"/>
        </w:rPr>
        <w:t>” means with respect to a Participant’s termination of Service, the following:</w:t>
      </w:r>
    </w:p>
    <w:p>
      <w:pPr>
        <w:spacing w:after="0" w:line="29" w:lineRule="exact"/>
        <w:rPr>
          <w:rFonts w:ascii="Times New Roman" w:cs="Times New Roman" w:eastAsia="Times New Roman" w:hAnsi="Times New Roman"/>
          <w:sz w:val="21"/>
          <w:szCs w:val="21"/>
          <w:color w:val="auto"/>
        </w:rPr>
      </w:pPr>
    </w:p>
    <w:p>
      <w:pPr>
        <w:ind w:right="20"/>
        <w:spacing w:after="0" w:line="24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in the case where there is no employment agreement, consulting agreement, change in control agreement or similar agreement in effect between the Company or an Affiliate and the Participant (or where there is such an agreement but it does not define “cause” (or words of like import, which shall include but not be limited to “gross misconduct”)), termination due to a Participant’s (1) failure to substantially perform Participant’s duties or obey lawful directives that continues after receipt of written notice from the Company and a 10-day opportunity to cure; (2) gross misconduct or gross negligence in the performance of Participant’s duties; (3) fraud, embezzlement, theft, or any other act of material dishonesty or misconduct; (4) conviction of, indictment for, or plea of guilty or nolo contendere to, a felony or any crime involving moral turpitude; (5) material breach or violation of any agreement with the Company or its Affiliates, any restrictive covenant applicable to Participant, or any Company policy (including, without limitation, with respect to harassment); or (6) other conduct, acts or omissions that, in the good faith judgment of the Company, are likely to materially injure the reputation, business or a business relationship of the Company or any of its Affiliates; or (b) in the case where there is an employment agreement, consulting agreement, change in control agreement or similar agreement in effect between the Company or an Affiliate and the Participant that defines “cause” (or words of like import, which shall include but not be limited to “gross misconduct”), “cause” as defined under such agreement. With respect to a termination of Service for a Non-Employee Director, Cause means an act or failure to act that constitutes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9" w:name="page160"/>
    <w:bookmarkEnd w:id="159"/>
    <w:p>
      <w:pPr>
        <w:spacing w:after="0" w:line="258" w:lineRule="auto"/>
        <w:rPr>
          <w:sz w:val="20"/>
          <w:szCs w:val="20"/>
          <w:color w:val="auto"/>
        </w:rPr>
      </w:pPr>
      <w:r>
        <w:rPr>
          <w:rFonts w:ascii="Times New Roman" w:cs="Times New Roman" w:eastAsia="Times New Roman" w:hAnsi="Times New Roman"/>
          <w:sz w:val="22"/>
          <w:szCs w:val="22"/>
          <w:color w:val="auto"/>
        </w:rPr>
        <w:t>cause for removal of a director under applicable law. Any voluntary termination of Service by the Participant in anticipation of an involuntary termination of the Participant’s Service for Cause shall be deemed to be a termination for Cause.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12.3</w:t>
      </w:r>
      <w:r>
        <w:rPr>
          <w:rFonts w:ascii="Times New Roman" w:cs="Times New Roman" w:eastAsia="Times New Roman" w:hAnsi="Times New Roman"/>
          <w:sz w:val="22"/>
          <w:szCs w:val="22"/>
          <w:i w:val="1"/>
          <w:iCs w:val="1"/>
          <w:color w:val="auto"/>
        </w:rPr>
        <w:t>Right of Recapture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505"/>
        <w:spacing w:after="0" w:line="244" w:lineRule="auto"/>
        <w:tabs>
          <w:tab w:leader="none" w:pos="2036"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General</w:t>
      </w:r>
      <w:r>
        <w:rPr>
          <w:rFonts w:ascii="Times New Roman" w:cs="Times New Roman" w:eastAsia="Times New Roman" w:hAnsi="Times New Roman"/>
          <w:sz w:val="21"/>
          <w:szCs w:val="21"/>
          <w:color w:val="auto"/>
        </w:rPr>
        <w:t>. If at any time within one year (or such longer time specified in an Award Agreement or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with a Participant or policy applicable to the Participant) after the date on which a Participant exercises a Stock Option or Stock Appreciation Right or on which a Stock-Based Award, Restricted Stock Award or Restricted Stock Unit vests, is settled in shares or otherwise becomes payable, or on which income otherwise is realized or property is received by a Participant in connection with an Award, (i) a Participant’s Service is terminated for Cause, (ii) the Committee determines in its discretion that the Participant is subject to any recoupment of benefits pursuant to the Company’s compensation recovery, “clawback” or similar policy, as may be in effect from time to time, or (iii) after a Participant’s Service terminates for any other reason, the Committee determines in its discretion either that, (1) during the Participant’s period of Service, the Participant engaged in an act or omission which would have warranted termination of the Participant’s Service for Cause or (2) after a Participant’s termination of Service, the Participant engaged in conduct that violated any continuing obligation or duty of the Participant in respect of the Company or any Subsidiary, then, at the sole discretion of the Committee, any gain realized by the Participant from the exercise, vesting, payment, settlement or other realization of income or receipt of property by the Participant in connection with an Award, shall be repaid by the Participant to the Company upon notice from the Company, subject to applicable law. Such gain shall be determined as of the date or dates on which the gain is realized by the Participant, without regard to any subsequent change in the Fair Market Value of a share of Common Stock. To the extent not otherwise prohibited by law, the Company shall have the right to offset the amount of such repayment obligation against any amounts otherwise owed to the Participant by the Company (whether as wages, vacation pay or pursuant to any benefit plan or other compensatory arrangement).</w:t>
      </w:r>
    </w:p>
    <w:p>
      <w:pPr>
        <w:spacing w:after="0" w:line="173" w:lineRule="exact"/>
        <w:rPr>
          <w:rFonts w:ascii="Times New Roman" w:cs="Times New Roman" w:eastAsia="Times New Roman" w:hAnsi="Times New Roman"/>
          <w:sz w:val="21"/>
          <w:szCs w:val="21"/>
          <w:color w:val="auto"/>
        </w:rPr>
      </w:pPr>
    </w:p>
    <w:p>
      <w:pPr>
        <w:ind w:right="160" w:firstLine="1505"/>
        <w:spacing w:after="0" w:line="245" w:lineRule="auto"/>
        <w:tabs>
          <w:tab w:leader="none" w:pos="2036"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Accounting Restatement</w:t>
      </w:r>
      <w:r>
        <w:rPr>
          <w:rFonts w:ascii="Times New Roman" w:cs="Times New Roman" w:eastAsia="Times New Roman" w:hAnsi="Times New Roman"/>
          <w:sz w:val="21"/>
          <w:szCs w:val="21"/>
          <w:color w:val="auto"/>
        </w:rPr>
        <w:t>. If a Participant receives compensation pursuant to an Award under the Plan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based on financial statements that are subsequently restated in a way that would decrease the value of such compensation, the Participant will, to the extent not otherwise prohibited by law, upon the written request of the Company, forfeit and repay to the Company the difference between what the Participant received and what the Participant should have received based on the accounting restatement, in accordance with (i) any compensation recovery, “clawback” or similar policy, as may be in effect from time to time to which such Participant is subject and (ii) any compensation recovery, “clawback” or similar policy made applicable by law including the provisions of Section 954 of the Dodd-Frank Wall Street Reform and Consumer Protection Act and the rules, regulations and requirements adopted thereunder by the Securities and Exchange Commission and/or any national securities exchange on which the Company’s equity securities may be listed (the “</w:t>
      </w:r>
      <w:r>
        <w:rPr>
          <w:rFonts w:ascii="Times New Roman" w:cs="Times New Roman" w:eastAsia="Times New Roman" w:hAnsi="Times New Roman"/>
          <w:sz w:val="21"/>
          <w:szCs w:val="21"/>
          <w:i w:val="1"/>
          <w:iCs w:val="1"/>
          <w:color w:val="auto"/>
        </w:rPr>
        <w:t>Policy</w:t>
      </w:r>
      <w:r>
        <w:rPr>
          <w:rFonts w:ascii="Times New Roman" w:cs="Times New Roman" w:eastAsia="Times New Roman" w:hAnsi="Times New Roman"/>
          <w:sz w:val="21"/>
          <w:szCs w:val="21"/>
          <w:color w:val="auto"/>
        </w:rPr>
        <w:t>”). By accepting an Award hereunder, the Participant acknowledges and agrees that the Policy, whenever adopted, shall apply to such Award, and all incentive-based compensation payable pursuant to such Award shall be subject to forfeiture and repayment pursuant to the terms of the Policy.</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Transfer, Leave of Absence, Etc</w:t>
      </w:r>
      <w:r>
        <w:rPr>
          <w:rFonts w:ascii="Times New Roman" w:cs="Times New Roman" w:eastAsia="Times New Roman" w:hAnsi="Times New Roman"/>
          <w:sz w:val="22"/>
          <w:szCs w:val="22"/>
          <w:color w:val="auto"/>
        </w:rPr>
        <w:t>. For purposes of the Plan, except as otherwise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0" w:name="page161"/>
    <w:bookmarkEnd w:id="160"/>
    <w:p>
      <w:pPr>
        <w:ind w:right="200"/>
        <w:spacing w:after="0" w:line="238" w:lineRule="auto"/>
        <w:rPr>
          <w:sz w:val="20"/>
          <w:szCs w:val="20"/>
          <w:color w:val="auto"/>
        </w:rPr>
      </w:pPr>
      <w:r>
        <w:rPr>
          <w:rFonts w:ascii="Times New Roman" w:cs="Times New Roman" w:eastAsia="Times New Roman" w:hAnsi="Times New Roman"/>
          <w:sz w:val="22"/>
          <w:szCs w:val="22"/>
          <w:color w:val="auto"/>
        </w:rPr>
        <w:t>determined by the Committee, the following events shall not be deemed a termination of Service: (a) a transfer to the service of the Company from a Subsidiary or from the Company to a Subsidiary, or from one Subsidiary to another; or (b) an approved leave of absence for military service or sickness, a leave of absence where the Participant’s right to re-employment is protected either by a statute or by contract or under the policy pursuant to which the leave of absence was granted, a leave of absence for any other purpose approved by the Company or if the Committee otherwise so provides in writing.</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right="240" w:firstLine="749"/>
        <w:spacing w:after="0" w:line="262" w:lineRule="auto"/>
        <w:rPr>
          <w:sz w:val="20"/>
          <w:szCs w:val="20"/>
          <w:color w:val="auto"/>
        </w:rPr>
      </w:pPr>
      <w:r>
        <w:rPr>
          <w:rFonts w:ascii="Times New Roman" w:cs="Times New Roman" w:eastAsia="Times New Roman" w:hAnsi="Times New Roman"/>
          <w:sz w:val="22"/>
          <w:szCs w:val="22"/>
          <w:color w:val="auto"/>
        </w:rPr>
        <w:t>14.1</w:t>
      </w:r>
      <w:r>
        <w:rPr>
          <w:rFonts w:ascii="Times New Roman" w:cs="Times New Roman" w:eastAsia="Times New Roman" w:hAnsi="Times New Roman"/>
          <w:sz w:val="22"/>
          <w:szCs w:val="22"/>
          <w:i w:val="1"/>
          <w:iCs w:val="1"/>
          <w:color w:val="auto"/>
        </w:rPr>
        <w:t>Status of Plan</w:t>
      </w:r>
      <w:r>
        <w:rPr>
          <w:rFonts w:ascii="Times New Roman" w:cs="Times New Roman" w:eastAsia="Times New Roman" w:hAnsi="Times New Roman"/>
          <w:sz w:val="22"/>
          <w:szCs w:val="22"/>
          <w:color w:val="auto"/>
        </w:rPr>
        <w:t>. The Committee may authorize the creation of trusts or other arrangements to meet the Company’s obligations to deliver shares of Common Stock or make payments with respect to Awards.</w:t>
      </w:r>
    </w:p>
    <w:p>
      <w:pPr>
        <w:spacing w:after="0" w:line="150"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14.2</w:t>
      </w:r>
      <w:r>
        <w:rPr>
          <w:rFonts w:ascii="Times New Roman" w:cs="Times New Roman" w:eastAsia="Times New Roman" w:hAnsi="Times New Roman"/>
          <w:sz w:val="22"/>
          <w:szCs w:val="22"/>
          <w:i w:val="1"/>
          <w:iCs w:val="1"/>
          <w:color w:val="auto"/>
        </w:rPr>
        <w:t>Award Agreement</w:t>
      </w:r>
      <w:r>
        <w:rPr>
          <w:rFonts w:ascii="Times New Roman" w:cs="Times New Roman" w:eastAsia="Times New Roman" w:hAnsi="Times New Roman"/>
          <w:sz w:val="22"/>
          <w:szCs w:val="22"/>
          <w:color w:val="auto"/>
        </w:rPr>
        <w:t>. An Award under the Plan shall be evidenced by an Award Agreement in a written or electronic form approved by the Committee setting forth the number of shares of Common Stock or other amounts or securities subject to the Award, the exercise price, base price or purchase price of the Award, the time or times at which an Award will become vested, exercisable or payable and the term of the Award. The Award Agreement also may set forth the effect on an Award of a Change in Control and/or a termination of Service under certain circumstances. The Award Agreement shall be subject to and incorporate, by reference or otherwise, all of the applicable terms and conditions of the Plan, and also may set forth other terms and conditions applicable to the Award as determined by the Committee consistent with the limitations of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 The Committee need not require the execution of an Award Agreement by a Participant, in which case, acceptance of the Award by the Participant shall constitute agreement by the Participant to the terms, conditions, restrictions and limitations set forth in the Plan and the Award Agreement as well as the administrative guidelines of the Company in effect from time to time. In the event of any conflict between the provisions of the Plan and any Award Agreement, the provisions of the Plan shall prevail.</w:t>
      </w:r>
    </w:p>
    <w:p>
      <w:pPr>
        <w:spacing w:after="0" w:line="180" w:lineRule="exact"/>
        <w:rPr>
          <w:sz w:val="20"/>
          <w:szCs w:val="20"/>
          <w:color w:val="auto"/>
        </w:rPr>
      </w:pPr>
    </w:p>
    <w:p>
      <w:pPr>
        <w:ind w:right="40" w:firstLine="749"/>
        <w:spacing w:after="0" w:line="234" w:lineRule="auto"/>
        <w:rPr>
          <w:sz w:val="20"/>
          <w:szCs w:val="20"/>
          <w:color w:val="auto"/>
        </w:rPr>
      </w:pPr>
      <w:r>
        <w:rPr>
          <w:rFonts w:ascii="Times New Roman" w:cs="Times New Roman" w:eastAsia="Times New Roman" w:hAnsi="Times New Roman"/>
          <w:sz w:val="22"/>
          <w:szCs w:val="22"/>
          <w:color w:val="auto"/>
        </w:rPr>
        <w:t>14.3</w:t>
      </w:r>
      <w:r>
        <w:rPr>
          <w:rFonts w:ascii="Times New Roman" w:cs="Times New Roman" w:eastAsia="Times New Roman" w:hAnsi="Times New Roman"/>
          <w:sz w:val="22"/>
          <w:szCs w:val="22"/>
          <w:i w:val="1"/>
          <w:iCs w:val="1"/>
          <w:color w:val="auto"/>
        </w:rPr>
        <w:t>No Assignment or Transfer; Beneficiaries</w:t>
      </w:r>
      <w:r>
        <w:rPr>
          <w:rFonts w:ascii="Times New Roman" w:cs="Times New Roman" w:eastAsia="Times New Roman" w:hAnsi="Times New Roman"/>
          <w:sz w:val="22"/>
          <w:szCs w:val="22"/>
          <w:color w:val="auto"/>
        </w:rPr>
        <w:t>. Except as provided in Section 6.6 hereof or as otherwise provided by the Committee to the extent not prohibited under Section A.1.(5) of the general instructions of Form S-8, as may be amended from time to time, Awards under the Plan shall not be assignable or transferable by the Participant, and shall not be subject in any manner to assignment, alienation, pledge, encumbrance or charge. Notwithstanding the foregoing, in the event of the death of a Participant, except as otherwise provided by the Committee, an outstanding Award may be exercised by or shall become payable to the Participant’s beneficiary as determined under the Company 401(k) retirement plan or other applicable retirement or pension plan. In lieu of such determination, a Participant may, from time to time, name any beneficiary or beneficiaries to receive any benefit in case of the Participant’s death before the Participant receives any or all of such benefit. Each such designation shall revoke all prior designations by the same Participant and will be effective only when filed by the Participant in writing (in such form or manner as may be prescribed by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61" w:name="page162"/>
    <w:bookmarkEnd w:id="161"/>
    <w:p>
      <w:pPr>
        <w:ind w:right="100"/>
        <w:spacing w:after="0" w:line="235" w:lineRule="auto"/>
        <w:rPr>
          <w:sz w:val="20"/>
          <w:szCs w:val="20"/>
          <w:color w:val="auto"/>
        </w:rPr>
      </w:pPr>
      <w:r>
        <w:rPr>
          <w:rFonts w:ascii="Times New Roman" w:cs="Times New Roman" w:eastAsia="Times New Roman" w:hAnsi="Times New Roman"/>
          <w:sz w:val="22"/>
          <w:szCs w:val="22"/>
          <w:color w:val="auto"/>
        </w:rPr>
        <w:t>Committee) with the Company during the Participant’s lifetime. In the absence of a valid designation as provided above, if no validly designated beneficiary survives the Participant or if each surviving validly designated beneficiary is legally impaired or prohibited from receiving the benefits under an Award, the Participant’s beneficiary shall be the legatee or legatees of such Award designated under the Participant’s last will or by such Participant’s executors, personal representatives or distributees of such Award in accordance with the Participant’s will or the laws of descent and distribution. The Committee may provide in the terms of an Award Agreement or in any other manner prescribed by the Committee that the Participant shall have the right to designate a beneficiary or beneficiaries who shall be entitled to any rights, payments or other benefits specified under an Award following the Participant’s death. Any transfer permitted under this Section 14.3 shall be for no consideration.</w:t>
      </w:r>
    </w:p>
    <w:p>
      <w:pPr>
        <w:spacing w:after="0" w:line="174" w:lineRule="exact"/>
        <w:rPr>
          <w:sz w:val="20"/>
          <w:szCs w:val="20"/>
          <w:color w:val="auto"/>
        </w:rPr>
      </w:pPr>
    </w:p>
    <w:p>
      <w:pPr>
        <w:ind w:right="320" w:firstLine="749"/>
        <w:spacing w:after="0" w:line="256" w:lineRule="auto"/>
        <w:rPr>
          <w:sz w:val="20"/>
          <w:szCs w:val="20"/>
          <w:color w:val="auto"/>
        </w:rPr>
      </w:pPr>
      <w:r>
        <w:rPr>
          <w:rFonts w:ascii="Times New Roman" w:cs="Times New Roman" w:eastAsia="Times New Roman" w:hAnsi="Times New Roman"/>
          <w:sz w:val="21"/>
          <w:szCs w:val="21"/>
          <w:color w:val="auto"/>
        </w:rPr>
        <w:t>14.4</w:t>
      </w:r>
      <w:r>
        <w:rPr>
          <w:rFonts w:ascii="Times New Roman" w:cs="Times New Roman" w:eastAsia="Times New Roman" w:hAnsi="Times New Roman"/>
          <w:sz w:val="21"/>
          <w:szCs w:val="21"/>
          <w:i w:val="1"/>
          <w:iCs w:val="1"/>
          <w:color w:val="auto"/>
        </w:rPr>
        <w:t>No Right to Employment or Continued Service</w:t>
      </w:r>
      <w:r>
        <w:rPr>
          <w:rFonts w:ascii="Times New Roman" w:cs="Times New Roman" w:eastAsia="Times New Roman" w:hAnsi="Times New Roman"/>
          <w:sz w:val="21"/>
          <w:szCs w:val="21"/>
          <w:color w:val="auto"/>
        </w:rPr>
        <w:t>. Nothing in the Plan, in the grant of any Award or in any Award Agreement shall confer upon any Eligible Employee or any Participant any right to continue in the Service of the Company or any of its Subsidiaries or interfere in any way with the right of the Company or any of its Subsidiaries to terminate the employment or other service relationship of an Eligible Employee or a Participant for any reason or no reason at any time.</w:t>
      </w:r>
    </w:p>
    <w:p>
      <w:pPr>
        <w:spacing w:after="0" w:line="158"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14.5</w:t>
      </w:r>
      <w:r>
        <w:rPr>
          <w:rFonts w:ascii="Times New Roman" w:cs="Times New Roman" w:eastAsia="Times New Roman" w:hAnsi="Times New Roman"/>
          <w:sz w:val="22"/>
          <w:szCs w:val="22"/>
          <w:i w:val="1"/>
          <w:iCs w:val="1"/>
          <w:color w:val="auto"/>
        </w:rPr>
        <w:t>Rights as Stockholder</w:t>
      </w:r>
      <w:r>
        <w:rPr>
          <w:rFonts w:ascii="Times New Roman" w:cs="Times New Roman" w:eastAsia="Times New Roman" w:hAnsi="Times New Roman"/>
          <w:sz w:val="22"/>
          <w:szCs w:val="22"/>
          <w:color w:val="auto"/>
        </w:rPr>
        <w:t>. A Participant shall have no rights as a holder of shares of Common Stock with respect to any unissued securities covered by an Award until the date the Participant becomes the holder of record of such securities. Except as provided in Section 4.3 hereof, no adjustment or other provision shall be made for dividends or other stockholder rights, except to the extent that the Award Agreement provides for dividend payments or dividend equivalent rights. The Committee may determine in its discretion the manner of delivery of Common Stock to be issued under the Plan, which may be by delivery of stock certificates, electronic account entry into new or existing accounts or any other means as the Committee, in its discretion, deems appropriate. The Committee may require that the stock certificates (if any) be held in escrow by the Company for any shares of Common Stock or cause the shares to be legended in order to comply with the securities laws or other applicable restrictions. Should the shares of Common Stock be represented by book or electronic account entry rather than a certificate, the Committee may take such steps to restrict transfer of the shares of Common Stock as the Committee considers necessary or advisable.</w:t>
      </w:r>
    </w:p>
    <w:p>
      <w:pPr>
        <w:spacing w:after="0" w:line="176"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22"/>
          <w:szCs w:val="22"/>
          <w:color w:val="auto"/>
        </w:rPr>
        <w:t>14.6</w:t>
      </w:r>
      <w:r>
        <w:rPr>
          <w:rFonts w:ascii="Times New Roman" w:cs="Times New Roman" w:eastAsia="Times New Roman" w:hAnsi="Times New Roman"/>
          <w:sz w:val="22"/>
          <w:szCs w:val="22"/>
          <w:i w:val="1"/>
          <w:iCs w:val="1"/>
          <w:color w:val="auto"/>
        </w:rPr>
        <w:t>Trading Policy and Other Restrictions</w:t>
      </w:r>
      <w:r>
        <w:rPr>
          <w:rFonts w:ascii="Times New Roman" w:cs="Times New Roman" w:eastAsia="Times New Roman" w:hAnsi="Times New Roman"/>
          <w:sz w:val="22"/>
          <w:szCs w:val="22"/>
          <w:color w:val="auto"/>
        </w:rPr>
        <w:t>. Transactions involving Awards under the Plan shall be subject to the Company’s insider trading and other restrictions, terms, conditions and policies, established by the Committee from time to time or by applicable law.</w:t>
      </w:r>
    </w:p>
    <w:p>
      <w:pPr>
        <w:spacing w:after="0" w:line="167"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14.7</w:t>
      </w:r>
      <w:r>
        <w:rPr>
          <w:rFonts w:ascii="Times New Roman" w:cs="Times New Roman" w:eastAsia="Times New Roman" w:hAnsi="Times New Roman"/>
          <w:sz w:val="22"/>
          <w:szCs w:val="22"/>
          <w:i w:val="1"/>
          <w:iCs w:val="1"/>
          <w:color w:val="auto"/>
        </w:rPr>
        <w:t>Section 409A Compliance</w:t>
      </w:r>
      <w:r>
        <w:rPr>
          <w:rFonts w:ascii="Times New Roman" w:cs="Times New Roman" w:eastAsia="Times New Roman" w:hAnsi="Times New Roman"/>
          <w:sz w:val="22"/>
          <w:szCs w:val="22"/>
          <w:color w:val="auto"/>
        </w:rPr>
        <w:t>. To the extent applicable, it is intended that the Plan and all Awards hereunder comply with, or be exempt from, the requirements of Section 409A of the Code and the Treasury Regulations and other guidance issued thereunder, and that the Plan and all Award Agreements shall be interpreted and applied by the Committee in a manner consistent with this intent in order to avoid the imposition of any additional tax under Section 409A of the Code. In the event that any (i) provision of the Plan or an Award Agreement, (ii) Award, payment, transaction or (iii) other action or arrangement contemplated by the provisions of the Plan is determined by the Committee to not comply with the applicable requirements of Section 409A of the Code and the Treasury Regulations and other guidance issued thereunder,</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2" w:name="page163"/>
    <w:bookmarkEnd w:id="162"/>
    <w:p>
      <w:pPr>
        <w:ind w:right="60"/>
        <w:spacing w:after="0" w:line="233" w:lineRule="auto"/>
        <w:rPr>
          <w:sz w:val="20"/>
          <w:szCs w:val="20"/>
          <w:color w:val="auto"/>
        </w:rPr>
      </w:pPr>
      <w:r>
        <w:rPr>
          <w:rFonts w:ascii="Times New Roman" w:cs="Times New Roman" w:eastAsia="Times New Roman" w:hAnsi="Times New Roman"/>
          <w:sz w:val="22"/>
          <w:szCs w:val="22"/>
          <w:color w:val="auto"/>
        </w:rPr>
        <w:t>the Committee shall have the authority to take such actions and to make such changes to the Plan or an Award Agreement as the Committee deems necessary to comply with such requirements. No payment that constitutes deferred compensation under Section 409A of the Code that would otherwise be made under the Plan or an Award Agreement upon a termination of Service will be made or provided unless and until such termination is also a “separation from service,” as determined in accordance with Section 409A of the Code. Notwithstanding the foregoing or anything elsewhere in the Plan or an Award Agreement to the contrary, if a Participant is a “specified employee” as defined in Section 409A of the Code at the time of termination of Service with respect to an Award, then solely to the extent necessary to avoid the imposition of any additional tax under Section 409A of the Code, the commencement of any payments or benefits under the Award shall be deferred until the date that is six (6) months plus one (1) day following the date of the Participant’s termination of Service or, if earlier, the Participant’s death (or such other period as required to comply with Section 409A). For purposes of Section 409A of the Code, a Participant’s right to receive any installment payments pursuant to this Plan or any Award granted hereunder shall be treated as a right to receive a series of separate and distinct payments. For the avoidance of doubt, each applicable tranche of Common Shares subject to vesting under any Award shall be considered a right to receive a series of separate and distinct payments. In no event whatsoever shall the Company be liable for any additional tax, interest or penalties that may be imposed on a Participant by Section 409A of the Code or any damages for failing to comply with Section 409A of the Code.</w:t>
      </w:r>
    </w:p>
    <w:p>
      <w:pPr>
        <w:spacing w:after="0" w:line="173" w:lineRule="exact"/>
        <w:rPr>
          <w:sz w:val="20"/>
          <w:szCs w:val="20"/>
          <w:color w:val="auto"/>
        </w:rPr>
      </w:pPr>
    </w:p>
    <w:p>
      <w:pPr>
        <w:ind w:right="40" w:firstLine="749"/>
        <w:spacing w:after="0" w:line="234" w:lineRule="auto"/>
        <w:rPr>
          <w:sz w:val="20"/>
          <w:szCs w:val="20"/>
          <w:color w:val="auto"/>
        </w:rPr>
      </w:pPr>
      <w:r>
        <w:rPr>
          <w:rFonts w:ascii="Times New Roman" w:cs="Times New Roman" w:eastAsia="Times New Roman" w:hAnsi="Times New Roman"/>
          <w:sz w:val="22"/>
          <w:szCs w:val="22"/>
          <w:color w:val="auto"/>
        </w:rPr>
        <w:t>14.8</w:t>
      </w:r>
      <w:r>
        <w:rPr>
          <w:rFonts w:ascii="Times New Roman" w:cs="Times New Roman" w:eastAsia="Times New Roman" w:hAnsi="Times New Roman"/>
          <w:sz w:val="22"/>
          <w:szCs w:val="22"/>
          <w:i w:val="1"/>
          <w:iCs w:val="1"/>
          <w:color w:val="auto"/>
        </w:rPr>
        <w:t>Section 457A Compliance.</w:t>
      </w:r>
      <w:r>
        <w:rPr>
          <w:rFonts w:ascii="Times New Roman" w:cs="Times New Roman" w:eastAsia="Times New Roman" w:hAnsi="Times New Roman"/>
          <w:sz w:val="22"/>
          <w:szCs w:val="22"/>
          <w:color w:val="auto"/>
        </w:rPr>
        <w:t xml:space="preserve"> In the event any Award is subject to Section 457A of the Code (“</w:t>
      </w:r>
      <w:r>
        <w:rPr>
          <w:rFonts w:ascii="Times New Roman" w:cs="Times New Roman" w:eastAsia="Times New Roman" w:hAnsi="Times New Roman"/>
          <w:sz w:val="22"/>
          <w:szCs w:val="22"/>
          <w:i w:val="1"/>
          <w:iCs w:val="1"/>
          <w:color w:val="auto"/>
        </w:rPr>
        <w:t>Section 457A</w:t>
      </w:r>
      <w:r>
        <w:rPr>
          <w:rFonts w:ascii="Times New Roman" w:cs="Times New Roman" w:eastAsia="Times New Roman" w:hAnsi="Times New Roman"/>
          <w:sz w:val="22"/>
          <w:szCs w:val="22"/>
          <w:color w:val="auto"/>
        </w:rPr>
        <w:t>”), the Committee may, in its sole discretion and without a Participant’s prior consent, amend the Plan and/or Awards, adopt policies and procedures, or take any other actions (including amendments, policies, procedures and actions with retroactive effect) as are necessary or appropriate to (i) exempt the Plan and/or any Award from the application of Section 457A, (ii) preserve the intended tax treatment of any such Award, or (iii) comply with the requirements of Section 457A, including without limitation any such regulations, guidance, compliance programs and other interpretative authority that may be issued after the date of the grant. To the extent that an Award constitutes deferred compensation subject to Section 457A, such Award will be subject to taxation in accordance with Section 457A. In no event whatsoever shall the Company be liable for any additional tax, interest or penalties that may be imposed on a Participant by Section 457A of the Code or any damages for failing to comply with Section 457A of the Code.</w:t>
      </w:r>
    </w:p>
    <w:p>
      <w:pPr>
        <w:spacing w:after="0" w:line="179"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21"/>
          <w:szCs w:val="21"/>
          <w:color w:val="auto"/>
        </w:rPr>
        <w:t>14.9</w:t>
      </w:r>
      <w:r>
        <w:rPr>
          <w:rFonts w:ascii="Times New Roman" w:cs="Times New Roman" w:eastAsia="Times New Roman" w:hAnsi="Times New Roman"/>
          <w:sz w:val="21"/>
          <w:szCs w:val="21"/>
          <w:i w:val="1"/>
          <w:iCs w:val="1"/>
          <w:color w:val="auto"/>
        </w:rPr>
        <w:t>Securities Law Compliance</w:t>
      </w:r>
      <w:r>
        <w:rPr>
          <w:rFonts w:ascii="Times New Roman" w:cs="Times New Roman" w:eastAsia="Times New Roman" w:hAnsi="Times New Roman"/>
          <w:sz w:val="21"/>
          <w:szCs w:val="21"/>
          <w:color w:val="auto"/>
        </w:rPr>
        <w:t>. No shares of Common Stock will be issued or transferred pursuant to an Award unless and until all then applicable requirements imposed by Federal and state securities and other laws, rules and regulations and by any regulatory agencies having jurisdiction, and by any exchanges upon which the shares of Common Stock may be listed, have been fully met. As a condition precedent to the issuance of shares of Common Stock pursuant to the grant or exercise of an Award, the Company may require the Participant to take any action that the Company determines is necessary or advisable to meet such requirements. The Committee may impose such conditions on any shares of Common Stock issuable under the Plan as it may deem advisable, including, without limitation, restrictions under the Securities Act, under the requirements of any exchange upon which such shares of the same class are then listed, and under any blue sky or other securities laws applicable to such shares. The Committee may also require the Participant to represent and warrant at the time of issuance or transfer that</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3" w:name="page164"/>
    <w:bookmarkEnd w:id="163"/>
    <w:p>
      <w:pPr>
        <w:ind w:right="600"/>
        <w:spacing w:after="0" w:line="258" w:lineRule="auto"/>
        <w:rPr>
          <w:sz w:val="20"/>
          <w:szCs w:val="20"/>
          <w:color w:val="auto"/>
        </w:rPr>
      </w:pPr>
      <w:r>
        <w:rPr>
          <w:rFonts w:ascii="Times New Roman" w:cs="Times New Roman" w:eastAsia="Times New Roman" w:hAnsi="Times New Roman"/>
          <w:sz w:val="22"/>
          <w:szCs w:val="22"/>
          <w:color w:val="auto"/>
        </w:rPr>
        <w:t>the shares of Common Stock are being acquired solely for investment purposes and without any current intention to sell or distribute such shares.</w:t>
      </w:r>
    </w:p>
    <w:p>
      <w:pPr>
        <w:spacing w:after="0" w:line="154" w:lineRule="exact"/>
        <w:rPr>
          <w:sz w:val="20"/>
          <w:szCs w:val="20"/>
          <w:color w:val="auto"/>
        </w:rPr>
      </w:pPr>
    </w:p>
    <w:p>
      <w:pPr>
        <w:ind w:right="120" w:firstLine="749"/>
        <w:spacing w:after="0" w:line="247" w:lineRule="auto"/>
        <w:rPr>
          <w:sz w:val="20"/>
          <w:szCs w:val="20"/>
          <w:color w:val="auto"/>
        </w:rPr>
      </w:pPr>
      <w:r>
        <w:rPr>
          <w:rFonts w:ascii="Times New Roman" w:cs="Times New Roman" w:eastAsia="Times New Roman" w:hAnsi="Times New Roman"/>
          <w:sz w:val="21"/>
          <w:szCs w:val="21"/>
          <w:color w:val="auto"/>
        </w:rPr>
        <w:t>14.10</w:t>
      </w:r>
      <w:r>
        <w:rPr>
          <w:rFonts w:ascii="Times New Roman" w:cs="Times New Roman" w:eastAsia="Times New Roman" w:hAnsi="Times New Roman"/>
          <w:sz w:val="21"/>
          <w:szCs w:val="21"/>
          <w:i w:val="1"/>
          <w:iCs w:val="1"/>
          <w:color w:val="auto"/>
        </w:rPr>
        <w:t>Substitution or Assumption of Awards in Corporate Transactions</w:t>
      </w:r>
      <w:r>
        <w:rPr>
          <w:rFonts w:ascii="Times New Roman" w:cs="Times New Roman" w:eastAsia="Times New Roman" w:hAnsi="Times New Roman"/>
          <w:sz w:val="21"/>
          <w:szCs w:val="21"/>
          <w:color w:val="auto"/>
        </w:rPr>
        <w:t>. The Committee may grant Awards under the Plan in connection with the acquisition, whether by purchase, merger, consolidation or other corporate transaction, of the business or assets of any corporation or other entity, in substitution for awards previously granted by such corporation or other entity or otherwise. The Committee may also assume any previously granted awards of a former employee or a current employee, director, consultant or other service provider of another corporation or entity that becomes an Eligible Employee by reason of such corporation transaction. The terms and conditions of the substituted or assumed awards may vary from the terms and conditions that would otherwise be required by the Plan solely to the extent the Committee deems necessary for such purpose. To the extent permitted by applicable law and the listing requirements of the Nasdaq or other exchange or securities market on which the Common Shares are listed, any such substituted or assumed awards shall not reduce the Share Reserve.</w:t>
      </w:r>
    </w:p>
    <w:p>
      <w:pPr>
        <w:spacing w:after="0" w:line="166"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14.11</w:t>
      </w:r>
      <w:r>
        <w:rPr>
          <w:rFonts w:ascii="Times New Roman" w:cs="Times New Roman" w:eastAsia="Times New Roman" w:hAnsi="Times New Roman"/>
          <w:sz w:val="22"/>
          <w:szCs w:val="22"/>
          <w:i w:val="1"/>
          <w:iCs w:val="1"/>
          <w:color w:val="auto"/>
        </w:rPr>
        <w:t>Tax Withholding</w:t>
      </w:r>
      <w:r>
        <w:rPr>
          <w:rFonts w:ascii="Times New Roman" w:cs="Times New Roman" w:eastAsia="Times New Roman" w:hAnsi="Times New Roman"/>
          <w:sz w:val="22"/>
          <w:szCs w:val="22"/>
          <w:color w:val="auto"/>
        </w:rPr>
        <w:t>. The Participant shall be responsible for payment of any taxes or similar charges required by law to be paid or withheld from an Award or an amount paid in satisfaction of an Award. Any required withholdings shall be paid by the Participant on or prior to the payment or other event that results in taxable income in respect of an Award. The Award Agreement may specify the manner in which the withholding obligation shall be satisfied with respect to the particular type of Award, which may include permitting the Participant to elect to satisfy the withholding obligation by tendering shares of Common Stock to the Company or having the Company withhold a number of shares of Common Stock having a value in each case up to the maximum statutory tax rates in the applicable jurisdiction or as the Committee may approve in its discretion (provided that such withholding does not result in adverse tax or accounting consequences to the Company), or similar charge required to be paid or withheld. In addition, to the extent permitted by the Committee in its sole discretion in an Award Agreement or otherwise, and subject to Section 16 of the Securities Act, withholding may be satisfied through an open-market, broker-assisted sales transaction pursuant to which the Company is promptly delivered the amount of proceeds necessary to satisfy the withholding amount, which shall be subject to any terms and conditions imposed by the Committee. The Company shall have the power and the right to require a Participant to remit to the Company the amount necessary to satisfy federal, state, provincial and local taxes, domestic or foreign, required by law or regulation to be withheld, and to deduct or withhold from any shares of Common Stock deliverable under an Award to satisfy such withholding obligation.</w:t>
      </w:r>
    </w:p>
    <w:p>
      <w:pPr>
        <w:spacing w:after="0" w:line="177"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14.12</w:t>
      </w:r>
      <w:r>
        <w:rPr>
          <w:rFonts w:ascii="Times New Roman" w:cs="Times New Roman" w:eastAsia="Times New Roman" w:hAnsi="Times New Roman"/>
          <w:sz w:val="22"/>
          <w:szCs w:val="22"/>
          <w:i w:val="1"/>
          <w:iCs w:val="1"/>
          <w:color w:val="auto"/>
        </w:rPr>
        <w:t>Unfunded Plan</w:t>
      </w:r>
      <w:r>
        <w:rPr>
          <w:rFonts w:ascii="Times New Roman" w:cs="Times New Roman" w:eastAsia="Times New Roman" w:hAnsi="Times New Roman"/>
          <w:sz w:val="22"/>
          <w:szCs w:val="22"/>
          <w:color w:val="auto"/>
        </w:rPr>
        <w:t>. The adoption of the Plan and any reservation of shares of Common Stock or cash amounts by the Company to discharge its obligations hereunder shall not be deemed to create a trust or other funded arrangement. Except upon the issuance of shares of Common Stock pursuant to an Award, any rights of a Participant under the Plan shall be those of a general unsecured creditor of the Company, and neither a Participant nor the Participant’s permitted transferees or estate shall have any other interest in any assets of the Company by virtue of the Plan. Notwithstanding the foregoing, the Company shall have the right to implement or set aside funds in a grantor trust, subject to the claims of the Company’s creditors or otherwise, to discharge its obligations under the Plan.</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64" w:name="page165"/>
    <w:bookmarkEnd w:id="164"/>
    <w:p>
      <w:pPr>
        <w:ind w:firstLine="749"/>
        <w:spacing w:after="0" w:line="236" w:lineRule="auto"/>
        <w:rPr>
          <w:sz w:val="20"/>
          <w:szCs w:val="20"/>
          <w:color w:val="auto"/>
        </w:rPr>
      </w:pPr>
      <w:r>
        <w:rPr>
          <w:rFonts w:ascii="Times New Roman" w:cs="Times New Roman" w:eastAsia="Times New Roman" w:hAnsi="Times New Roman"/>
          <w:sz w:val="22"/>
          <w:szCs w:val="22"/>
          <w:color w:val="auto"/>
        </w:rPr>
        <w:t>14.13</w:t>
      </w:r>
      <w:r>
        <w:rPr>
          <w:rFonts w:ascii="Times New Roman" w:cs="Times New Roman" w:eastAsia="Times New Roman" w:hAnsi="Times New Roman"/>
          <w:sz w:val="22"/>
          <w:szCs w:val="22"/>
          <w:i w:val="1"/>
          <w:iCs w:val="1"/>
          <w:color w:val="auto"/>
        </w:rPr>
        <w:t>Other Compensation and Benefit Plans</w:t>
      </w:r>
      <w:r>
        <w:rPr>
          <w:rFonts w:ascii="Times New Roman" w:cs="Times New Roman" w:eastAsia="Times New Roman" w:hAnsi="Times New Roman"/>
          <w:sz w:val="22"/>
          <w:szCs w:val="22"/>
          <w:color w:val="auto"/>
        </w:rPr>
        <w:t>. The adoption of the Plan shall not affect any other share incentive or other compensation plans in effect for the Company or any Subsidiary, nor shall the Plan preclude the Company from establishing any other forms of share incentive or other compensation or benefit program for employees of the Company or any Subsidiary. The amount of any compensation deemed to be received by a Participant pursuant to an Award shall not constitute includable compensation for purposes of determining the amount of benefits to which a Participant is entitled under any other compensation or benefit plan or program of the Company or a Subsidiary, including, without limitation, under any pension or severance benefits plan, except to the extent specifically provided by the terms of any such plan.</w:t>
      </w:r>
    </w:p>
    <w:p>
      <w:pPr>
        <w:spacing w:after="0" w:line="176" w:lineRule="exact"/>
        <w:rPr>
          <w:sz w:val="20"/>
          <w:szCs w:val="20"/>
          <w:color w:val="auto"/>
        </w:rPr>
      </w:pPr>
    </w:p>
    <w:p>
      <w:pPr>
        <w:ind w:right="340" w:firstLine="749"/>
        <w:spacing w:after="0" w:line="262" w:lineRule="auto"/>
        <w:rPr>
          <w:sz w:val="20"/>
          <w:szCs w:val="20"/>
          <w:color w:val="auto"/>
        </w:rPr>
      </w:pPr>
      <w:r>
        <w:rPr>
          <w:rFonts w:ascii="Times New Roman" w:cs="Times New Roman" w:eastAsia="Times New Roman" w:hAnsi="Times New Roman"/>
          <w:sz w:val="22"/>
          <w:szCs w:val="22"/>
          <w:color w:val="auto"/>
        </w:rPr>
        <w:t>14.14</w:t>
      </w:r>
      <w:r>
        <w:rPr>
          <w:rFonts w:ascii="Times New Roman" w:cs="Times New Roman" w:eastAsia="Times New Roman" w:hAnsi="Times New Roman"/>
          <w:sz w:val="22"/>
          <w:szCs w:val="22"/>
          <w:i w:val="1"/>
          <w:iCs w:val="1"/>
          <w:color w:val="auto"/>
        </w:rPr>
        <w:t>Plan Binding on Transferees</w:t>
      </w:r>
      <w:r>
        <w:rPr>
          <w:rFonts w:ascii="Times New Roman" w:cs="Times New Roman" w:eastAsia="Times New Roman" w:hAnsi="Times New Roman"/>
          <w:sz w:val="22"/>
          <w:szCs w:val="22"/>
          <w:color w:val="auto"/>
        </w:rPr>
        <w:t>. The Plan shall be binding upon the Company, its transferees and assigns, and the Participant, the Participant’s executor, administrator and permitted transferees and beneficiaries.</w:t>
      </w:r>
    </w:p>
    <w:p>
      <w:pPr>
        <w:spacing w:after="0" w:line="150" w:lineRule="exact"/>
        <w:rPr>
          <w:sz w:val="20"/>
          <w:szCs w:val="20"/>
          <w:color w:val="auto"/>
        </w:rPr>
      </w:pPr>
    </w:p>
    <w:p>
      <w:pPr>
        <w:ind w:right="780" w:firstLine="749"/>
        <w:spacing w:after="0" w:line="246" w:lineRule="auto"/>
        <w:rPr>
          <w:sz w:val="20"/>
          <w:szCs w:val="20"/>
          <w:color w:val="auto"/>
        </w:rPr>
      </w:pPr>
      <w:r>
        <w:rPr>
          <w:rFonts w:ascii="Times New Roman" w:cs="Times New Roman" w:eastAsia="Times New Roman" w:hAnsi="Times New Roman"/>
          <w:sz w:val="22"/>
          <w:szCs w:val="22"/>
          <w:color w:val="auto"/>
        </w:rPr>
        <w:t>14.15</w:t>
      </w: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67" w:lineRule="exact"/>
        <w:rPr>
          <w:sz w:val="20"/>
          <w:szCs w:val="20"/>
          <w:color w:val="auto"/>
        </w:rPr>
      </w:pPr>
    </w:p>
    <w:p>
      <w:pPr>
        <w:ind w:right="200" w:firstLine="749"/>
        <w:spacing w:after="0" w:line="248" w:lineRule="auto"/>
        <w:rPr>
          <w:sz w:val="20"/>
          <w:szCs w:val="20"/>
          <w:color w:val="auto"/>
        </w:rPr>
      </w:pPr>
      <w:r>
        <w:rPr>
          <w:rFonts w:ascii="Times New Roman" w:cs="Times New Roman" w:eastAsia="Times New Roman" w:hAnsi="Times New Roman"/>
          <w:sz w:val="21"/>
          <w:szCs w:val="21"/>
          <w:color w:val="auto"/>
        </w:rPr>
        <w:t>14.16</w:t>
      </w:r>
      <w:r>
        <w:rPr>
          <w:rFonts w:ascii="Times New Roman" w:cs="Times New Roman" w:eastAsia="Times New Roman" w:hAnsi="Times New Roman"/>
          <w:sz w:val="21"/>
          <w:szCs w:val="21"/>
          <w:i w:val="1"/>
          <w:iCs w:val="1"/>
          <w:color w:val="auto"/>
        </w:rPr>
        <w:t>Governing Law</w:t>
      </w:r>
      <w:r>
        <w:rPr>
          <w:rFonts w:ascii="Times New Roman" w:cs="Times New Roman" w:eastAsia="Times New Roman" w:hAnsi="Times New Roman"/>
          <w:sz w:val="21"/>
          <w:szCs w:val="21"/>
          <w:color w:val="auto"/>
        </w:rPr>
        <w:t>. The Plan, all Awards and all Award Agreements, and all claims or causes of action (whether in contract, tort or statute) that may be based upon, arise out of or relate to the Plan, any Award or Award Agreement, or the negotiation, execution or performance of any such documents or matter related thereto (including any claim or cause of action based upon, arising out of or related to any representation or warranty made in or in connection with the Plan, any Award or Award Agreement, or as an inducement to enter into any Award Agreement), shall be governed by, and enforced in accordance with, the internal laws of the State of Delaware, including its statutes of limitations and repose, but without regard to any borrowing statute that would result in the application of the statute of limitations or repose of any other jurisdiction.</w:t>
      </w:r>
    </w:p>
    <w:p>
      <w:pPr>
        <w:spacing w:after="0" w:line="170" w:lineRule="exact"/>
        <w:rPr>
          <w:sz w:val="20"/>
          <w:szCs w:val="20"/>
          <w:color w:val="auto"/>
        </w:rPr>
      </w:pPr>
    </w:p>
    <w:p>
      <w:pPr>
        <w:ind w:right="40" w:firstLine="749"/>
        <w:spacing w:after="0" w:line="241" w:lineRule="auto"/>
        <w:rPr>
          <w:sz w:val="20"/>
          <w:szCs w:val="20"/>
          <w:color w:val="auto"/>
        </w:rPr>
      </w:pPr>
      <w:r>
        <w:rPr>
          <w:rFonts w:ascii="Times New Roman" w:cs="Times New Roman" w:eastAsia="Times New Roman" w:hAnsi="Times New Roman"/>
          <w:sz w:val="22"/>
          <w:szCs w:val="22"/>
          <w:color w:val="auto"/>
        </w:rPr>
        <w:t>14.17</w:t>
      </w:r>
      <w:r>
        <w:rPr>
          <w:rFonts w:ascii="Times New Roman" w:cs="Times New Roman" w:eastAsia="Times New Roman" w:hAnsi="Times New Roman"/>
          <w:sz w:val="22"/>
          <w:szCs w:val="22"/>
          <w:i w:val="1"/>
          <w:iCs w:val="1"/>
          <w:color w:val="auto"/>
        </w:rPr>
        <w:t>No Fractional Shares</w:t>
      </w:r>
      <w:r>
        <w:rPr>
          <w:rFonts w:ascii="Times New Roman" w:cs="Times New Roman" w:eastAsia="Times New Roman" w:hAnsi="Times New Roman"/>
          <w:sz w:val="22"/>
          <w:szCs w:val="22"/>
          <w:color w:val="auto"/>
        </w:rPr>
        <w:t>. No fractional shares of Common Stock shall be issued or delivered pursuant to the Plan or any Award, and the Committee shall determine whether cash, other securities or other property shall be paid or transferred in lieu of any fractional shares of Common Stock or whether such fractional shares or any rights thereto shall be canceled, terminated or otherwise eliminated.</w:t>
      </w:r>
    </w:p>
    <w:p>
      <w:pPr>
        <w:spacing w:after="0" w:line="172"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color w:val="auto"/>
        </w:rPr>
        <w:t>14.18</w:t>
      </w:r>
      <w:r>
        <w:rPr>
          <w:rFonts w:ascii="Times New Roman" w:cs="Times New Roman" w:eastAsia="Times New Roman" w:hAnsi="Times New Roman"/>
          <w:sz w:val="22"/>
          <w:szCs w:val="22"/>
          <w:i w:val="1"/>
          <w:iCs w:val="1"/>
          <w:color w:val="auto"/>
        </w:rPr>
        <w:t>No Guarantees Regarding Tax Treatment</w:t>
      </w:r>
      <w:r>
        <w:rPr>
          <w:rFonts w:ascii="Times New Roman" w:cs="Times New Roman" w:eastAsia="Times New Roman" w:hAnsi="Times New Roman"/>
          <w:sz w:val="22"/>
          <w:szCs w:val="22"/>
          <w:color w:val="auto"/>
        </w:rPr>
        <w:t>. Neither the Company nor the Committee make any guarantees to any Person regarding the tax treatment of Awards or payments made under the Plan. Neither the Company nor the Committee has any obligation to take any action to prevent the assessment of any tax on any Person with respect to any Award under Section 409A of the Code, Section 4999 of the Code or otherwise and neither the Company nor the Committee shall have any liability to a Person with respect thereto.</w:t>
      </w:r>
    </w:p>
    <w:p>
      <w:pPr>
        <w:spacing w:after="0" w:line="177"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22"/>
          <w:szCs w:val="22"/>
          <w:color w:val="auto"/>
        </w:rPr>
        <w:t>14.19</w:t>
      </w:r>
      <w:r>
        <w:rPr>
          <w:rFonts w:ascii="Times New Roman" w:cs="Times New Roman" w:eastAsia="Times New Roman" w:hAnsi="Times New Roman"/>
          <w:sz w:val="22"/>
          <w:szCs w:val="22"/>
          <w:i w:val="1"/>
          <w:iCs w:val="1"/>
          <w:color w:val="auto"/>
        </w:rPr>
        <w:t>Data Protection</w:t>
      </w:r>
      <w:r>
        <w:rPr>
          <w:rFonts w:ascii="Times New Roman" w:cs="Times New Roman" w:eastAsia="Times New Roman" w:hAnsi="Times New Roman"/>
          <w:sz w:val="22"/>
          <w:szCs w:val="22"/>
          <w:color w:val="auto"/>
        </w:rPr>
        <w:t>. By participating in the Plan, each Participant consents to the collection, processing, transmission and storage by the Company, its Subsidiaries and any third party administrators of any data of a professional or personal nature for the purposes of</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65" w:name="page166"/>
    <w:bookmarkEnd w:id="165"/>
    <w:p>
      <w:pPr>
        <w:ind w:right="300"/>
        <w:spacing w:after="0" w:line="258" w:lineRule="auto"/>
        <w:rPr>
          <w:sz w:val="20"/>
          <w:szCs w:val="20"/>
          <w:color w:val="auto"/>
        </w:rPr>
      </w:pPr>
      <w:r>
        <w:rPr>
          <w:rFonts w:ascii="Times New Roman" w:cs="Times New Roman" w:eastAsia="Times New Roman" w:hAnsi="Times New Roman"/>
          <w:sz w:val="22"/>
          <w:szCs w:val="22"/>
          <w:color w:val="auto"/>
        </w:rPr>
        <w:t>administering the Plan and in connection with a Participant’s status as a stockholder of the Company upon the issuance of any shares of Common Stock pursuant to an Award.</w:t>
      </w:r>
    </w:p>
    <w:p>
      <w:pPr>
        <w:spacing w:after="0" w:line="154"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14.20</w:t>
      </w:r>
      <w:r>
        <w:rPr>
          <w:rFonts w:ascii="Times New Roman" w:cs="Times New Roman" w:eastAsia="Times New Roman" w:hAnsi="Times New Roman"/>
          <w:sz w:val="22"/>
          <w:szCs w:val="22"/>
          <w:i w:val="1"/>
          <w:iCs w:val="1"/>
          <w:color w:val="auto"/>
        </w:rPr>
        <w:t>Awards to Non-U.S. Participants.</w:t>
      </w:r>
      <w:r>
        <w:rPr>
          <w:rFonts w:ascii="Times New Roman" w:cs="Times New Roman" w:eastAsia="Times New Roman" w:hAnsi="Times New Roman"/>
          <w:sz w:val="22"/>
          <w:szCs w:val="22"/>
          <w:color w:val="auto"/>
        </w:rPr>
        <w:t xml:space="preserve"> To comply with the laws in countries other than the United States in which the Company or any of its Subsidiaries or Affiliates operates or has Eligible Employees, the Committee, in its sole discretion, shall have the power and authority to (i) modify the terms and conditions of any Award granted to Participants outside the United States to comply with applicable foreign laws, (ii) take any action, before or after an Award is made, that it deems advisable to obtain approval or comply with any necessary local government regulatory exemptions or approvals and (iii) establish subplans and modify exercise procedures and other terms and procedures, to the extent such actions may be necessary or advisable. Any subplans and modifications to Plan terms and procedures established under this Section 14.20 by the Committee shall be attached to this Plan document as appendices.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Term; Amendment and Termination; Stockholder Approval</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15.1</w:t>
      </w:r>
      <w:r>
        <w:rPr>
          <w:rFonts w:ascii="Times New Roman" w:cs="Times New Roman" w:eastAsia="Times New Roman" w:hAnsi="Times New Roman"/>
          <w:sz w:val="22"/>
          <w:szCs w:val="22"/>
          <w:i w:val="1"/>
          <w:iCs w:val="1"/>
          <w:color w:val="auto"/>
        </w:rPr>
        <w:t>Term</w:t>
      </w:r>
      <w:r>
        <w:rPr>
          <w:rFonts w:ascii="Times New Roman" w:cs="Times New Roman" w:eastAsia="Times New Roman" w:hAnsi="Times New Roman"/>
          <w:sz w:val="22"/>
          <w:szCs w:val="22"/>
          <w:color w:val="auto"/>
        </w:rPr>
        <w:t>. The Board has adopted this plan and the Plan shall be effective as of the Effective Date.</w:t>
      </w:r>
    </w:p>
    <w:p>
      <w:pPr>
        <w:spacing w:after="0" w:line="206" w:lineRule="exact"/>
        <w:rPr>
          <w:sz w:val="20"/>
          <w:szCs w:val="20"/>
          <w:color w:val="auto"/>
        </w:rPr>
      </w:pPr>
    </w:p>
    <w:p>
      <w:pPr>
        <w:ind w:right="60" w:firstLine="749"/>
        <w:spacing w:after="0" w:line="234" w:lineRule="auto"/>
        <w:rPr>
          <w:sz w:val="20"/>
          <w:szCs w:val="20"/>
          <w:color w:val="auto"/>
        </w:rPr>
      </w:pPr>
      <w:r>
        <w:rPr>
          <w:rFonts w:ascii="Times New Roman" w:cs="Times New Roman" w:eastAsia="Times New Roman" w:hAnsi="Times New Roman"/>
          <w:sz w:val="22"/>
          <w:szCs w:val="22"/>
          <w:color w:val="auto"/>
        </w:rPr>
        <w:t>15.2</w:t>
      </w:r>
      <w:r>
        <w:rPr>
          <w:rFonts w:ascii="Times New Roman" w:cs="Times New Roman" w:eastAsia="Times New Roman" w:hAnsi="Times New Roman"/>
          <w:sz w:val="22"/>
          <w:szCs w:val="22"/>
          <w:i w:val="1"/>
          <w:iCs w:val="1"/>
          <w:color w:val="auto"/>
        </w:rPr>
        <w:t>Amendment and Termination</w:t>
      </w:r>
      <w:r>
        <w:rPr>
          <w:rFonts w:ascii="Times New Roman" w:cs="Times New Roman" w:eastAsia="Times New Roman" w:hAnsi="Times New Roman"/>
          <w:sz w:val="22"/>
          <w:szCs w:val="22"/>
          <w:color w:val="auto"/>
        </w:rPr>
        <w:t xml:space="preserve">. The Board may from time to time and in any respect, amend, modify, suspend or terminate the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amendment, modification, suspension or termination of the Plan shall materially and adversely affect any Award theretofore granted without the consent of the Participant or the permitted transferee of the Award. The Board may seek the approval of any amendment, modification, suspension or termination by the Company’s stockholders to the extent it deems necessary in its discretion, and shall seek such approval to the extent it deems necessary in its discretion to comply with applicable law or listing requirements of Nasdaq or other exchange or securities market. Notwithstanding the foregoing, the Board shall have broad authority to amend the Plan or any Award under the Plan without the consent of a Participant to the extent it deems necessary or desirable in its discretion to comply with, take into account changes in, or interpretations of, applicable tax laws, securities laws, employment laws, accounting rules and other applicable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0"/>
          <w:szCs w:val="20"/>
          <w:b w:val="1"/>
          <w:bCs w:val="1"/>
          <w:color w:val="auto"/>
        </w:rPr>
        <w:t>Exhibit 10.38</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0" w:lineRule="exact"/>
        <w:rPr>
          <w:sz w:val="20"/>
          <w:szCs w:val="20"/>
          <w:color w:val="auto"/>
        </w:rPr>
      </w:pPr>
    </w:p>
    <w:p>
      <w:pPr>
        <w:spacing w:after="0" w:line="32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THIS EMPLOYMENT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by and between Definitive Healthcare, LLC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William Moschella (“</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You</w:t>
      </w:r>
      <w:r>
        <w:rPr>
          <w:rFonts w:ascii="Times New Roman" w:cs="Times New Roman" w:eastAsia="Times New Roman" w:hAnsi="Times New Roman"/>
          <w:sz w:val="21"/>
          <w:szCs w:val="21"/>
          <w:color w:val="auto"/>
        </w:rPr>
        <w:t>”) (collectively referred to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or individually referred to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of this Agreement will be the Closing Date as defined in that certain Agreement and Plan of Merger dated as of July 17, 2023 by and among Analytical Wizards, Inc., Populi, Inc. (the “</w:t>
      </w:r>
      <w:r>
        <w:rPr>
          <w:rFonts w:ascii="Times New Roman" w:cs="Times New Roman" w:eastAsia="Times New Roman" w:hAnsi="Times New Roman"/>
          <w:sz w:val="21"/>
          <w:szCs w:val="21"/>
          <w:u w:val="single" w:color="auto"/>
          <w:color w:val="auto"/>
        </w:rPr>
        <w:t>Seller</w:t>
      </w:r>
      <w:r>
        <w:rPr>
          <w:rFonts w:ascii="Times New Roman" w:cs="Times New Roman" w:eastAsia="Times New Roman" w:hAnsi="Times New Roman"/>
          <w:sz w:val="21"/>
          <w:szCs w:val="21"/>
          <w:color w:val="auto"/>
        </w:rPr>
        <w:t>”) and the other parties named therein (as amended, modified, or supplemented from time to time in accordance with its terms, the “</w:t>
      </w:r>
      <w:r>
        <w:rPr>
          <w:rFonts w:ascii="Times New Roman" w:cs="Times New Roman" w:eastAsia="Times New Roman" w:hAnsi="Times New Roman"/>
          <w:sz w:val="21"/>
          <w:szCs w:val="21"/>
          <w:u w:val="single" w:color="auto"/>
          <w:color w:val="auto"/>
        </w:rPr>
        <w:t>Merger Agreement</w:t>
      </w:r>
      <w:r>
        <w:rPr>
          <w:rFonts w:ascii="Times New Roman" w:cs="Times New Roman" w:eastAsia="Times New Roman" w:hAnsi="Times New Roman"/>
          <w:sz w:val="21"/>
          <w:szCs w:val="21"/>
          <w:color w:val="auto"/>
        </w:rPr>
        <w:t>”), and this Agreement and your employment are conditional upon the Closing (as defined in the Merger Agreement). If the Closing does not occur, this Agreement will have no effect (even if it has been executed), will not be binding on the Company (or any of its affiliates) or on you, and none of you, the Company or Seller (or any of their respective affiliates) shall have rights or obligations hereunder.</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 E C I T A L S</w:t>
      </w:r>
    </w:p>
    <w:p>
      <w:pPr>
        <w:spacing w:after="0" w:line="14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WHEREAS, the Company desires to employ Employee as its Executive Vice President and General Manager, Provider, and to enter into an agreement embodying the terms of such employment; and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WHEREAS, Employee desires to accept such employment and enter into such an agreement.</w:t>
      </w:r>
    </w:p>
    <w:p>
      <w:pPr>
        <w:spacing w:after="0" w:line="1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A G R E E M E N T</w:t>
      </w:r>
    </w:p>
    <w:p>
      <w:pPr>
        <w:spacing w:after="0" w:line="143" w:lineRule="exact"/>
        <w:rPr>
          <w:sz w:val="20"/>
          <w:szCs w:val="20"/>
          <w:color w:val="auto"/>
        </w:rPr>
      </w:pPr>
    </w:p>
    <w:p>
      <w:pPr>
        <w:ind w:right="1160"/>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mutual covenants herein and for other good and valuable consideration, the Parties agree as follows:</w:t>
      </w:r>
    </w:p>
    <w:p>
      <w:pPr>
        <w:spacing w:after="0" w:line="77" w:lineRule="exact"/>
        <w:rPr>
          <w:sz w:val="20"/>
          <w:szCs w:val="20"/>
          <w:color w:val="auto"/>
        </w:rPr>
      </w:pPr>
    </w:p>
    <w:p>
      <w:pPr>
        <w:ind w:left="440" w:hanging="432"/>
        <w:spacing w:after="0"/>
        <w:tabs>
          <w:tab w:leader="none" w:pos="4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and Scope of Employment.</w:t>
      </w:r>
    </w:p>
    <w:p>
      <w:pPr>
        <w:spacing w:after="0" w:line="138" w:lineRule="exact"/>
        <w:rPr>
          <w:rFonts w:ascii="Times New Roman" w:cs="Times New Roman" w:eastAsia="Times New Roman" w:hAnsi="Times New Roman"/>
          <w:sz w:val="22"/>
          <w:szCs w:val="22"/>
          <w:color w:val="auto"/>
        </w:rPr>
      </w:pPr>
    </w:p>
    <w:p>
      <w:pPr>
        <w:ind w:right="60" w:firstLine="757"/>
        <w:spacing w:after="0" w:line="238" w:lineRule="auto"/>
        <w:tabs>
          <w:tab w:leader="none" w:pos="1181"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Positions and Duties</w:t>
      </w:r>
      <w:r>
        <w:rPr>
          <w:rFonts w:ascii="Times New Roman" w:cs="Times New Roman" w:eastAsia="Times New Roman" w:hAnsi="Times New Roman"/>
          <w:sz w:val="22"/>
          <w:szCs w:val="22"/>
          <w:color w:val="auto"/>
        </w:rPr>
        <w:t>. As of the Effective Date, Employee will serve as Executive Vice President and General Manager, Provider of the Company. Employee will render such business and professional services in the performance of Employee’s duties, consistent with Employee's position within the Company, as shall reasonably be assigned to Employee by the Company’s President. The period of Employee’s at-will employment under the terms of this Agreement is referred to herein as the “</w:t>
      </w: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w:t>
      </w:r>
    </w:p>
    <w:p>
      <w:pPr>
        <w:spacing w:after="0" w:line="109" w:lineRule="exact"/>
        <w:rPr>
          <w:rFonts w:ascii="Times New Roman" w:cs="Times New Roman" w:eastAsia="Times New Roman" w:hAnsi="Times New Roman"/>
          <w:sz w:val="22"/>
          <w:szCs w:val="22"/>
          <w:color w:val="auto"/>
        </w:rPr>
      </w:pPr>
    </w:p>
    <w:p>
      <w:pPr>
        <w:ind w:right="300" w:firstLine="757"/>
        <w:spacing w:after="0" w:line="258" w:lineRule="auto"/>
        <w:tabs>
          <w:tab w:leader="none" w:pos="1181"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Location</w:t>
      </w:r>
      <w:r>
        <w:rPr>
          <w:rFonts w:ascii="Times New Roman" w:cs="Times New Roman" w:eastAsia="Times New Roman" w:hAnsi="Times New Roman"/>
          <w:sz w:val="22"/>
          <w:szCs w:val="22"/>
          <w:color w:val="auto"/>
        </w:rPr>
        <w:t>. Employee will work primarily from the Employee’s home office in Avon, Connecticut. Employee will also travel as business needs require.</w:t>
      </w:r>
    </w:p>
    <w:p>
      <w:pPr>
        <w:spacing w:after="0" w:line="77" w:lineRule="exact"/>
        <w:rPr>
          <w:rFonts w:ascii="Times New Roman" w:cs="Times New Roman" w:eastAsia="Times New Roman" w:hAnsi="Times New Roman"/>
          <w:sz w:val="22"/>
          <w:szCs w:val="22"/>
          <w:color w:val="auto"/>
        </w:rPr>
      </w:pPr>
    </w:p>
    <w:p>
      <w:pPr>
        <w:ind w:right="140" w:firstLine="757"/>
        <w:spacing w:after="0" w:line="239" w:lineRule="auto"/>
        <w:tabs>
          <w:tab w:leader="none" w:pos="1181"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During the Employment Term, Employee will perform Employee’s duties faithfully and to the best of Employee’s ability and will devote Employee’s full business efforts and time to the Company. For the duration of the Employment Term, Employee agrees not to actively engage in any other employment, occupation or consulting activity for any direct or indirect remuneration without the prior approval of the Company’s President.</w:t>
      </w:r>
    </w:p>
    <w:p>
      <w:pPr>
        <w:spacing w:after="0" w:line="112" w:lineRule="exact"/>
        <w:rPr>
          <w:rFonts w:ascii="Times New Roman" w:cs="Times New Roman" w:eastAsia="Times New Roman" w:hAnsi="Times New Roman"/>
          <w:sz w:val="22"/>
          <w:szCs w:val="22"/>
          <w:color w:val="auto"/>
        </w:rPr>
      </w:pPr>
    </w:p>
    <w:p>
      <w:pPr>
        <w:ind w:right="100" w:firstLine="8"/>
        <w:spacing w:after="0" w:line="258" w:lineRule="auto"/>
        <w:tabs>
          <w:tab w:leader="none" w:pos="43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Subject to Section 7 below, the Parties agree that Employee’s employment with the Company will be “at-will” employment and may be terminated at any time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67" w:name="page168"/>
    <w:bookmarkEnd w:id="167"/>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for any reason, with or without notice, for any reason or no reason. Employee understands and agrees that neither Employee’s job performance nor promotions, commendations, bonuses or the like from the Company give rise to or in any way serve as the basis for modification, amendment, or extension, by implication or otherwise, of Employee’s employment with the Company.</w:t>
      </w:r>
    </w:p>
    <w:p>
      <w:pPr>
        <w:spacing w:after="0" w:line="106" w:lineRule="exact"/>
        <w:rPr>
          <w:sz w:val="20"/>
          <w:szCs w:val="20"/>
          <w:color w:val="auto"/>
        </w:rPr>
      </w:pPr>
    </w:p>
    <w:p>
      <w:pPr>
        <w:ind w:left="440" w:hanging="432"/>
        <w:spacing w:after="0"/>
        <w:tabs>
          <w:tab w:leader="none" w:pos="4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125" w:lineRule="exact"/>
        <w:rPr>
          <w:rFonts w:ascii="Times New Roman" w:cs="Times New Roman" w:eastAsia="Times New Roman" w:hAnsi="Times New Roman"/>
          <w:sz w:val="22"/>
          <w:szCs w:val="22"/>
          <w:color w:val="auto"/>
        </w:rPr>
      </w:pPr>
    </w:p>
    <w:p>
      <w:pPr>
        <w:ind w:right="20" w:firstLine="757"/>
        <w:spacing w:after="0" w:line="235" w:lineRule="auto"/>
        <w:tabs>
          <w:tab w:leader="none" w:pos="1181"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Employment Term, the Company will pay Employee as compensation for Employee’s services a base salary at a rate of $300,000 per year, as modified from time to time at the good faith discretion of the Company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Base Salary will be paid in regular bi-weekly installments of $11,538.47 in accordance with the Company’s normal payroll practices (subject to required withholding). Any increase or decrease in Base Salary (together with the then existing Base Salary) shall serve as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for future employment under this Agreement. The first and last payment will be adjusted, if necessary, to reflect a commencement or termination date other than the first or last working day of a pay period.</w:t>
      </w:r>
    </w:p>
    <w:p>
      <w:pPr>
        <w:spacing w:after="0" w:line="115" w:lineRule="exact"/>
        <w:rPr>
          <w:rFonts w:ascii="Times New Roman" w:cs="Times New Roman" w:eastAsia="Times New Roman" w:hAnsi="Times New Roman"/>
          <w:sz w:val="22"/>
          <w:szCs w:val="22"/>
          <w:color w:val="auto"/>
        </w:rPr>
      </w:pPr>
    </w:p>
    <w:p>
      <w:pPr>
        <w:ind w:firstLine="757"/>
        <w:spacing w:after="0" w:line="234" w:lineRule="auto"/>
        <w:tabs>
          <w:tab w:leader="none" w:pos="1181"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Employee will also be eligible to earn an annual discretionary bonus with a target amount equal to 50% of the Base Salary. The amount of this bonus, if any, will be determined in the sole discretion of the Board of Directors of Definitive Healthcare Corp.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(or any authorized committee thereof) or the Company’s Chief Executive Officer or President, and based, in part, on Employee’s performance and the performance of the Company during the calendar year. The bonus, if any, will be subject to applicable payroll deductions and withholdings. The bonus is not earned until paid and no pro-rated amount will be paid if Employee’s employment terminates for any reason prior to the payment date. The Company will pay Employee this bonus, if any, on or around March 15, but in any event no later than April 15th of the following calendar year. Any bonus for Employee’s initial year of employment will be prorated based on the Closing Date. Employee’s eligibility for a bonus is subject to change in the discretion of the Board of Directors of Parent (or any authorized committee thereof) or the Company’s Chief Executive Officer or President.</w:t>
      </w:r>
    </w:p>
    <w:p>
      <w:pPr>
        <w:spacing w:after="0" w:line="111"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w:t>
      </w:r>
    </w:p>
    <w:p>
      <w:pPr>
        <w:spacing w:after="0" w:line="125" w:lineRule="exact"/>
        <w:rPr>
          <w:rFonts w:ascii="Times New Roman" w:cs="Times New Roman" w:eastAsia="Times New Roman" w:hAnsi="Times New Roman"/>
          <w:sz w:val="22"/>
          <w:szCs w:val="22"/>
          <w:color w:val="auto"/>
        </w:rPr>
      </w:pPr>
    </w:p>
    <w:p>
      <w:pPr>
        <w:ind w:right="20" w:firstLine="2254"/>
        <w:spacing w:after="0" w:line="234" w:lineRule="auto"/>
        <w:tabs>
          <w:tab w:leader="none" w:pos="2678"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As a material inducement to enter into and undertake employment pursuant to this Agreement, following the Effective Date and subject to the approval of the Compensation Committee or independent members of the Board of Directors of Parent, Employee will receive, no later than forty-five (45) days after the Effective Date, two awards of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with respect to shares of Parent’s Class A common stock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The first award will have an aggregate value at grant of $1,000,000, with the number of RSUs to be determined by dividing such grant value by the average closing price of a share of Common Stock over the 30 trading days including and immediately preceding the Closing Date, rounded up to the nearest whole share (the “</w:t>
      </w:r>
      <w:r>
        <w:rPr>
          <w:rFonts w:ascii="Times New Roman" w:cs="Times New Roman" w:eastAsia="Times New Roman" w:hAnsi="Times New Roman"/>
          <w:sz w:val="22"/>
          <w:szCs w:val="22"/>
          <w:u w:val="single" w:color="auto"/>
          <w:color w:val="auto"/>
        </w:rPr>
        <w:t>First Inducement Award</w:t>
      </w:r>
      <w:r>
        <w:rPr>
          <w:rFonts w:ascii="Times New Roman" w:cs="Times New Roman" w:eastAsia="Times New Roman" w:hAnsi="Times New Roman"/>
          <w:sz w:val="22"/>
          <w:szCs w:val="22"/>
          <w:color w:val="auto"/>
        </w:rPr>
        <w:t>”). Subject to Employee’s continued employment with the Company on each applicable vesting date, as described herein, the First Inducement Award will vest over two years from the date of grant as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8" w:name="page169"/>
    <w:bookmarkEnd w:id="168"/>
    <w:p>
      <w:pPr>
        <w:ind w:right="40"/>
        <w:spacing w:after="0" w:line="244" w:lineRule="auto"/>
        <w:rPr>
          <w:sz w:val="20"/>
          <w:szCs w:val="20"/>
          <w:color w:val="auto"/>
        </w:rPr>
      </w:pPr>
      <w:r>
        <w:rPr>
          <w:rFonts w:ascii="Times New Roman" w:cs="Times New Roman" w:eastAsia="Times New Roman" w:hAnsi="Times New Roman"/>
          <w:sz w:val="21"/>
          <w:szCs w:val="21"/>
          <w:color w:val="auto"/>
        </w:rPr>
        <w:t>follows: (i) 50% will vest at the one-year anniversary of the date of grant and (ii) 12.5% will vest at the end of each quarter after the one-year anniversary of the date of grant. The second award will have an aggregate value at grant of $1,200,000, with the number of RSUs to be determined by dividing such grant value by the average closing price of a share of Common Stock over the 30 trading days including and immediately preceding the Closing Date, rounded up to the nearest whole share (the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Inducement Award</w:t>
      </w:r>
      <w:r>
        <w:rPr>
          <w:rFonts w:ascii="Times New Roman" w:cs="Times New Roman" w:eastAsia="Times New Roman" w:hAnsi="Times New Roman"/>
          <w:sz w:val="21"/>
          <w:szCs w:val="21"/>
          <w:color w:val="auto"/>
        </w:rPr>
        <w:t>” and together with the First Inducement Award, the “</w:t>
      </w:r>
      <w:r>
        <w:rPr>
          <w:rFonts w:ascii="Times New Roman" w:cs="Times New Roman" w:eastAsia="Times New Roman" w:hAnsi="Times New Roman"/>
          <w:sz w:val="21"/>
          <w:szCs w:val="21"/>
          <w:u w:val="single" w:color="auto"/>
          <w:color w:val="auto"/>
        </w:rPr>
        <w:t>Time-Based RSU Inducement Awards</w:t>
      </w:r>
      <w:r>
        <w:rPr>
          <w:rFonts w:ascii="Times New Roman" w:cs="Times New Roman" w:eastAsia="Times New Roman" w:hAnsi="Times New Roman"/>
          <w:sz w:val="21"/>
          <w:szCs w:val="21"/>
          <w:color w:val="auto"/>
        </w:rPr>
        <w:t>”). Subject to Employee’s continued employment with the Company on each applicable vesting date, as described herein, the Second Inducement Award will vest as follows: (i) one-third will vest on January 1, 2024, (ii) one-third will vest on January 1, 2025, and</w:t>
      </w:r>
    </w:p>
    <w:p>
      <w:pPr>
        <w:spacing w:after="0" w:line="6" w:lineRule="exact"/>
        <w:rPr>
          <w:sz w:val="20"/>
          <w:szCs w:val="20"/>
          <w:color w:val="auto"/>
        </w:rPr>
      </w:pPr>
    </w:p>
    <w:p>
      <w:pPr>
        <w:ind w:right="200" w:firstLine="8"/>
        <w:spacing w:after="0" w:line="233" w:lineRule="auto"/>
        <w:tabs>
          <w:tab w:leader="none" w:pos="37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one-third will vest on January 1, 2026. The Company understands that Employee would not accept employment with the Company but for the granting of the Time-Based RSU Inducement Awards. The Time-Based RSU Inducement Awards will be granted pursuant to the “inducement grant exception” provided under Nasdaq Listing Rule 5635(c)(4) and Nasdaq IM-5635-1 and will be subject to the terms and conditions set forth in the applicable equity plan and award agreement governing the Time-Based RSU Inducement Awards.</w:t>
      </w:r>
    </w:p>
    <w:p>
      <w:pPr>
        <w:spacing w:after="0" w:line="111" w:lineRule="exact"/>
        <w:rPr>
          <w:rFonts w:ascii="Times New Roman" w:cs="Times New Roman" w:eastAsia="Times New Roman" w:hAnsi="Times New Roman"/>
          <w:sz w:val="22"/>
          <w:szCs w:val="22"/>
          <w:color w:val="auto"/>
        </w:rPr>
      </w:pPr>
    </w:p>
    <w:p>
      <w:pPr>
        <w:ind w:firstLine="3003"/>
        <w:spacing w:after="0" w:line="246" w:lineRule="auto"/>
        <w:tabs>
          <w:tab w:leader="none" w:pos="3427"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Acceleration Benefit</w:t>
      </w:r>
      <w:r>
        <w:rPr>
          <w:rFonts w:ascii="Times New Roman" w:cs="Times New Roman" w:eastAsia="Times New Roman" w:hAnsi="Times New Roman"/>
          <w:sz w:val="21"/>
          <w:szCs w:val="21"/>
          <w:color w:val="auto"/>
        </w:rPr>
        <w:t>. (a) Notwithstanding the vesting schedules set forth above, and subject to Employee’s timely signing and not revoking of the Company’s standard form of separation agreement and release of known and unknown claims related to Employee’s employment or separation from employment, such standard form to be provided by the Company, in the event that the Company terminates Employee for any reason other than Cause (as defined below) or Employee resigns for Good Reason (as defined below), 100% of the then-unvested and outstanding shares of the Time-Based RSU Inducement Awards shall vest as of the date of Employee’s separation from service and be settled within thirty (30) days following the date that the release becomes effective, provided that as follows: (i) if the release consideration period crosses two calendar years, the award will be settled in the second of the two years, and (ii) in any event, the award will be settled by no later than March 15 of the year following the year in which the separation from service occurs (the “Acceleration Benefit”). For the avoidance of doubt, the Acceleration Benefit shall only apply to the Time-Based RSU Inducement Awards.</w:t>
      </w:r>
    </w:p>
    <w:p>
      <w:pPr>
        <w:spacing w:after="0" w:line="89" w:lineRule="exact"/>
        <w:rPr>
          <w:rFonts w:ascii="Times New Roman" w:cs="Times New Roman" w:eastAsia="Times New Roman" w:hAnsi="Times New Roman"/>
          <w:sz w:val="21"/>
          <w:szCs w:val="21"/>
          <w:color w:val="auto"/>
        </w:rPr>
      </w:pPr>
    </w:p>
    <w:p>
      <w:pPr>
        <w:ind w:right="40" w:firstLine="3752"/>
        <w:spacing w:after="0" w:line="235" w:lineRule="auto"/>
        <w:tabs>
          <w:tab w:leader="none" w:pos="4176"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any of the following: (a) Employee’s failure to substantially perform Employee’s duties or obey lawful directives from the Company or its affiliates that continues after receipt of written notice from the Company and a thirty (30) day opportunity to cure; (b) gross misconduct or gross negligence in the performance of Employee’s duties; (c) fraud, embezzlement, theft, or any other act of material dishonesty or misconduct; (d) conviction of, indictment for, or plea of guilty or nolo contendere to, a felony or any crime involving moral turpitude; (e) a material breach of any agreement with the Company or any of its Affiliates, including any restrictive covenant applicable to Employee; or (f) a material violation of any Company policy (including, without limitation, with respect to harassment).</w:t>
      </w:r>
    </w:p>
    <w:p>
      <w:pPr>
        <w:spacing w:after="0" w:line="110" w:lineRule="exact"/>
        <w:rPr>
          <w:rFonts w:ascii="Times New Roman" w:cs="Times New Roman" w:eastAsia="Times New Roman" w:hAnsi="Times New Roman"/>
          <w:sz w:val="22"/>
          <w:szCs w:val="22"/>
          <w:color w:val="auto"/>
        </w:rPr>
      </w:pPr>
    </w:p>
    <w:p>
      <w:pPr>
        <w:ind w:right="760" w:firstLine="3752"/>
        <w:spacing w:after="0" w:line="258" w:lineRule="auto"/>
        <w:tabs>
          <w:tab w:leader="none" w:pos="4176"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Employee’s resignation within thirty (30) days following the expiration of any</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69" w:name="page170"/>
    <w:bookmarkEnd w:id="169"/>
    <w:p>
      <w:pPr>
        <w:spacing w:after="0" w:line="244" w:lineRule="auto"/>
        <w:rPr>
          <w:sz w:val="20"/>
          <w:szCs w:val="20"/>
          <w:color w:val="auto"/>
        </w:rPr>
      </w:pPr>
      <w:r>
        <w:rPr>
          <w:rFonts w:ascii="Times New Roman" w:cs="Times New Roman" w:eastAsia="Times New Roman" w:hAnsi="Times New Roman"/>
          <w:sz w:val="21"/>
          <w:szCs w:val="21"/>
          <w:color w:val="auto"/>
        </w:rPr>
        <w:t>Company cure period (discussed below) following the occurrence of one or more of the following, without Employee’s express written consent: (a) a material reduction in Employee’s base salary, which the parties agree is a reduction of 10% or more of Employee’s base salary (unless pursuant to an overall reduction program applicable generally to the Company’s similarly situated employees); (b) a material reduction in Employee’s target bonus, which the parties agree is a reduction of 10% or more of Employee’s target bonus (unless pursuant to an overall reduction program applicable generally to the Company’s similarly situated employees); (c) the Company’s or any of its Affiliates’ material breach of any material agreement between the Company or its Affiliates, on the one hand and the Employee, on the other hand; or (d) a material change in the geographic location of Employee’s primary work facility or location; provided, that a relocation of less than thirty (30) miles from Employee’s then present location will not be considered a material change in geographic location. Employee will not resign for Good Reason without first providing the Company or its Affiliate with written notice of the acts or omissions constituting the grounds for “Good Reason” within thirty (30) days of the initial existence of the grounds for “Good Reason” and a reasonable cure period of not less than thirty (30) days following the date of such notice if such act or omission is capable of cure, and such resignation shall not be considered to be for Good Reason if the grounds for Good Reason have been cured during such cure period.</w:t>
      </w:r>
    </w:p>
    <w:p>
      <w:pPr>
        <w:spacing w:after="0" w:line="116" w:lineRule="exact"/>
        <w:rPr>
          <w:sz w:val="20"/>
          <w:szCs w:val="20"/>
          <w:color w:val="auto"/>
        </w:rPr>
      </w:pPr>
    </w:p>
    <w:p>
      <w:pPr>
        <w:ind w:firstLine="2254"/>
        <w:spacing w:after="0" w:line="232" w:lineRule="auto"/>
        <w:tabs>
          <w:tab w:leader="none" w:pos="267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As a material inducement to enter into and undertake employment pursuant to this Agreement, following the Effective Date and subject to the approval of the Compensation Committee or independent members of the Board of Directors of Parent, Employee will receive two awards of performance-based restricted stock units (“PSUs”) with respect to shares of Common Stock. The first award shall have an aggregate value at grant of $1,020,000, representing the maximum number of PSUs that could be earned pursuant to the award, with such maximum number of PSUs to be determined by dividing such grant value by the average closing price of a share of Common Stock over the 30 trading days including and immediately preceding the Closing Date, rounded up to the nearest whole share (the “</w:t>
      </w:r>
      <w:r>
        <w:rPr>
          <w:rFonts w:ascii="Times New Roman" w:cs="Times New Roman" w:eastAsia="Times New Roman" w:hAnsi="Times New Roman"/>
          <w:sz w:val="22"/>
          <w:szCs w:val="22"/>
          <w:u w:val="single" w:color="auto"/>
          <w:color w:val="auto"/>
        </w:rPr>
        <w:t>Third Inducement Award</w:t>
      </w:r>
      <w:r>
        <w:rPr>
          <w:rFonts w:ascii="Times New Roman" w:cs="Times New Roman" w:eastAsia="Times New Roman" w:hAnsi="Times New Roman"/>
          <w:sz w:val="22"/>
          <w:szCs w:val="22"/>
          <w:color w:val="auto"/>
        </w:rPr>
        <w:t>”). The second award shall have an aggregate value at grant of $1,500,000, representing the maximum number of PSUs that could be earned pursuant to the award, with such maximum number of PSUs to be determined by dividing such grant value by the average closing price of a share of Common Stock over the 30 trading days including and immediately preceding the Closing Date, rounded up to the nearest whole share (the “</w:t>
      </w:r>
      <w:r>
        <w:rPr>
          <w:rFonts w:ascii="Times New Roman" w:cs="Times New Roman" w:eastAsia="Times New Roman" w:hAnsi="Times New Roman"/>
          <w:sz w:val="22"/>
          <w:szCs w:val="22"/>
          <w:u w:val="single" w:color="auto"/>
          <w:color w:val="auto"/>
        </w:rPr>
        <w:t>Fourth Inducement Award</w:t>
      </w:r>
      <w:r>
        <w:rPr>
          <w:rFonts w:ascii="Times New Roman" w:cs="Times New Roman" w:eastAsia="Times New Roman" w:hAnsi="Times New Roman"/>
          <w:sz w:val="22"/>
          <w:szCs w:val="22"/>
          <w:color w:val="auto"/>
        </w:rPr>
        <w:t>” and together with the Third Inducement Award, the “</w:t>
      </w:r>
      <w:r>
        <w:rPr>
          <w:rFonts w:ascii="Times New Roman" w:cs="Times New Roman" w:eastAsia="Times New Roman" w:hAnsi="Times New Roman"/>
          <w:sz w:val="22"/>
          <w:szCs w:val="22"/>
          <w:u w:val="single" w:color="auto"/>
          <w:color w:val="auto"/>
        </w:rPr>
        <w:t>Performance-Based PSU Inducement Awards</w:t>
      </w:r>
      <w:r>
        <w:rPr>
          <w:rFonts w:ascii="Times New Roman" w:cs="Times New Roman" w:eastAsia="Times New Roman" w:hAnsi="Times New Roman"/>
          <w:sz w:val="22"/>
          <w:szCs w:val="22"/>
          <w:color w:val="auto"/>
        </w:rPr>
        <w:t>”). Subject to Employee’s continued employment with the Company on each applicable vesting date, the Performance-Based PSU Inducement Awards will vest upon the Compensation Committee or the Board of Directors of Parent’s certification of achievement of specified performance criteria with respect to Parent’s provider vertical business, such performance targets as documented in the award agreement and consistent with the summary attached hereto as Exhibit A. The Company understands that Employee would not accept employment with the Company but for the granting of the Performance-Based PSU Inducement Awards. The Performance-Based PSU Inducement Awards will be granted pursuant to the “inducement grant exception” provided under Nasdaq Listing Rule 5635(c)(4) and Nasdaq</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0" w:name="page171"/>
    <w:bookmarkEnd w:id="170"/>
    <w:p>
      <w:pPr>
        <w:spacing w:after="0" w:line="258" w:lineRule="auto"/>
        <w:rPr>
          <w:sz w:val="20"/>
          <w:szCs w:val="20"/>
          <w:color w:val="auto"/>
        </w:rPr>
      </w:pPr>
      <w:r>
        <w:rPr>
          <w:rFonts w:ascii="Times New Roman" w:cs="Times New Roman" w:eastAsia="Times New Roman" w:hAnsi="Times New Roman"/>
          <w:sz w:val="22"/>
          <w:szCs w:val="22"/>
          <w:color w:val="auto"/>
        </w:rPr>
        <w:t>IM-5635-1 and will be subject to the terms and conditions set forth in the applicable equity plan and award agreements governing the Performance-Based PSU Inducement Awards.</w:t>
      </w:r>
    </w:p>
    <w:p>
      <w:pPr>
        <w:spacing w:after="0" w:line="91" w:lineRule="exact"/>
        <w:rPr>
          <w:sz w:val="20"/>
          <w:szCs w:val="20"/>
          <w:color w:val="auto"/>
        </w:rPr>
      </w:pPr>
    </w:p>
    <w:p>
      <w:pPr>
        <w:ind w:firstLine="8"/>
        <w:spacing w:after="0" w:line="255" w:lineRule="auto"/>
        <w:tabs>
          <w:tab w:leader="none" w:pos="43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 During the Employment Term, Employee will be eligible to participate in the employee benefit plans currently and hereafter maintained by the Company of general applicability to other senior executives of the Company, including, without limitation, the Company’s group medical, dental, vision, disability, life insurance, and flexible-spending account plans. The Company reserves the right to cancel or change the benefit plans and programs it offers to its employees at any time.</w:t>
      </w:r>
    </w:p>
    <w:p>
      <w:pPr>
        <w:spacing w:after="0" w:line="80" w:lineRule="exact"/>
        <w:rPr>
          <w:rFonts w:ascii="Times New Roman" w:cs="Times New Roman" w:eastAsia="Times New Roman" w:hAnsi="Times New Roman"/>
          <w:sz w:val="21"/>
          <w:szCs w:val="21"/>
          <w:color w:val="auto"/>
        </w:rPr>
      </w:pPr>
    </w:p>
    <w:p>
      <w:pPr>
        <w:ind w:right="20" w:firstLine="8"/>
        <w:spacing w:after="0" w:line="244" w:lineRule="auto"/>
        <w:tabs>
          <w:tab w:leader="none" w:pos="43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Employee will be eligible to participate in the Company’s unlimited time off policy, which shall be taken subject to the demands of the Company’s business and Employee’s obligations as an employee of the Company with a substantial degree of responsibility.</w:t>
      </w:r>
    </w:p>
    <w:p>
      <w:pPr>
        <w:spacing w:after="0" w:line="105" w:lineRule="exact"/>
        <w:rPr>
          <w:rFonts w:ascii="Times New Roman" w:cs="Times New Roman" w:eastAsia="Times New Roman" w:hAnsi="Times New Roman"/>
          <w:sz w:val="22"/>
          <w:szCs w:val="22"/>
          <w:color w:val="auto"/>
        </w:rPr>
      </w:pPr>
    </w:p>
    <w:p>
      <w:pPr>
        <w:jc w:val="both"/>
        <w:ind w:right="240" w:firstLine="8"/>
        <w:spacing w:after="0" w:line="249" w:lineRule="auto"/>
        <w:tabs>
          <w:tab w:leader="none" w:pos="43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Business Expenses</w:t>
      </w:r>
      <w:r>
        <w:rPr>
          <w:rFonts w:ascii="Times New Roman" w:cs="Times New Roman" w:eastAsia="Times New Roman" w:hAnsi="Times New Roman"/>
          <w:sz w:val="21"/>
          <w:szCs w:val="21"/>
          <w:color w:val="auto"/>
        </w:rPr>
        <w:t>. During the Employment Term, the Company will reimburse Employee for reasonable business travel, entertainment or other business expenses incurred by Employee in the furtherance of or in connection with the performance of Employee’s duties hereunder, in accordance with the Company’s expense reimbursement policy as in effect from time to time.</w:t>
      </w:r>
    </w:p>
    <w:p>
      <w:pPr>
        <w:spacing w:after="0" w:line="1" w:lineRule="exact"/>
        <w:rPr>
          <w:rFonts w:ascii="Times New Roman" w:cs="Times New Roman" w:eastAsia="Times New Roman" w:hAnsi="Times New Roman"/>
          <w:sz w:val="21"/>
          <w:szCs w:val="21"/>
          <w:color w:val="auto"/>
        </w:rPr>
      </w:pPr>
    </w:p>
    <w:p>
      <w:pPr>
        <w:ind w:right="100"/>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With respect to any such reimbursements hereunder: (a) any such reimbursements will be paid no later than December 31 of the year following the year in which the expense was incurred, (b) the amount of expenses reimbursed in one year will not affect the amount eligible for reimbursement in any subsequent year, (c) the right to reimbursement under this Agreement will not be subject to liquidation or exchange for another benefit, and (d) the Company shall have the right to deduct from all payments hereunder any taxes required by law to be withheld with respect to any such reimbursement payments.</w:t>
      </w:r>
    </w:p>
    <w:p>
      <w:pPr>
        <w:spacing w:after="0" w:line="111" w:lineRule="exact"/>
        <w:rPr>
          <w:rFonts w:ascii="Times New Roman" w:cs="Times New Roman" w:eastAsia="Times New Roman" w:hAnsi="Times New Roman"/>
          <w:sz w:val="21"/>
          <w:szCs w:val="21"/>
          <w:color w:val="auto"/>
        </w:rPr>
      </w:pPr>
    </w:p>
    <w:p>
      <w:pPr>
        <w:ind w:right="360" w:firstLine="8"/>
        <w:spacing w:after="0" w:line="244" w:lineRule="auto"/>
        <w:tabs>
          <w:tab w:leader="none" w:pos="43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 Severance</w:t>
      </w:r>
      <w:r>
        <w:rPr>
          <w:rFonts w:ascii="Times New Roman" w:cs="Times New Roman" w:eastAsia="Times New Roman" w:hAnsi="Times New Roman"/>
          <w:sz w:val="22"/>
          <w:szCs w:val="22"/>
          <w:color w:val="auto"/>
        </w:rPr>
        <w:t>. Employee is eligible for Change in Control severance benefits pursuant to the terms and conditions of the Definitive Healthcare Corp. Change in Control Severance Plan, as may be amended from time to time in the Company and Board of Directors of Parent’s sole discretion (the “CIC Severance Plan”).</w:t>
      </w:r>
    </w:p>
    <w:p>
      <w:pPr>
        <w:spacing w:after="0" w:line="92"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Matters</w:t>
      </w:r>
      <w:r>
        <w:rPr>
          <w:rFonts w:ascii="Times New Roman" w:cs="Times New Roman" w:eastAsia="Times New Roman" w:hAnsi="Times New Roman"/>
          <w:sz w:val="22"/>
          <w:szCs w:val="22"/>
          <w:color w:val="auto"/>
        </w:rPr>
        <w:t>.</w:t>
      </w:r>
    </w:p>
    <w:p>
      <w:pPr>
        <w:spacing w:after="0" w:line="138" w:lineRule="exact"/>
        <w:rPr>
          <w:rFonts w:ascii="Times New Roman" w:cs="Times New Roman" w:eastAsia="Times New Roman" w:hAnsi="Times New Roman"/>
          <w:sz w:val="22"/>
          <w:szCs w:val="22"/>
          <w:color w:val="auto"/>
        </w:rPr>
      </w:pPr>
    </w:p>
    <w:p>
      <w:pPr>
        <w:ind w:right="60" w:firstLine="757"/>
        <w:spacing w:after="0" w:line="236" w:lineRule="auto"/>
        <w:tabs>
          <w:tab w:leader="none" w:pos="118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Information and Inventions</w:t>
      </w:r>
      <w:r>
        <w:rPr>
          <w:rFonts w:ascii="Times New Roman" w:cs="Times New Roman" w:eastAsia="Times New Roman" w:hAnsi="Times New Roman"/>
          <w:sz w:val="22"/>
          <w:szCs w:val="22"/>
          <w:color w:val="auto"/>
        </w:rPr>
        <w:t>. In connection with Employee’s employment with the Company, Employee will receive and have access to Company confidential information and trade secrets. Accordingly, enclosed with this Agreement is an Employee Confidential Information and Inventions Assignment Agreement (the “</w:t>
      </w:r>
      <w:r>
        <w:rPr>
          <w:rFonts w:ascii="Times New Roman" w:cs="Times New Roman" w:eastAsia="Times New Roman" w:hAnsi="Times New Roman"/>
          <w:sz w:val="22"/>
          <w:szCs w:val="22"/>
          <w:u w:val="single" w:color="auto"/>
          <w:color w:val="auto"/>
        </w:rPr>
        <w:t>Confidential Information Agreement</w:t>
      </w:r>
      <w:r>
        <w:rPr>
          <w:rFonts w:ascii="Times New Roman" w:cs="Times New Roman" w:eastAsia="Times New Roman" w:hAnsi="Times New Roman"/>
          <w:sz w:val="22"/>
          <w:szCs w:val="22"/>
          <w:color w:val="auto"/>
        </w:rPr>
        <w:t>”) which contains restrictive covenants and prohibits unauthorized use or disclosure of the Company’s confidential information and trade secrets, among other obligations. Employee agrees to review the Confidential Information Agreement and only sign it after careful consideration.</w:t>
      </w:r>
    </w:p>
    <w:p>
      <w:pPr>
        <w:spacing w:after="0" w:line="113" w:lineRule="exact"/>
        <w:rPr>
          <w:rFonts w:ascii="Times New Roman" w:cs="Times New Roman" w:eastAsia="Times New Roman" w:hAnsi="Times New Roman"/>
          <w:sz w:val="22"/>
          <w:szCs w:val="22"/>
          <w:color w:val="auto"/>
        </w:rPr>
      </w:pPr>
    </w:p>
    <w:p>
      <w:pPr>
        <w:ind w:right="180" w:firstLine="757"/>
        <w:spacing w:after="0" w:line="244" w:lineRule="auto"/>
        <w:tabs>
          <w:tab w:leader="none" w:pos="118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on Termination</w:t>
      </w:r>
      <w:r>
        <w:rPr>
          <w:rFonts w:ascii="Times New Roman" w:cs="Times New Roman" w:eastAsia="Times New Roman" w:hAnsi="Times New Roman"/>
          <w:sz w:val="22"/>
          <w:szCs w:val="22"/>
          <w:color w:val="auto"/>
        </w:rPr>
        <w:t>. On termination of Employee’s employment, regardless of the reason for such termination, Employee shall immediately (and with contemporaneous effect) resign any directorships, offices or other positions that Employee may hold in the Company or any affiliate, unless otherwise agreed in writing by the Parties.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71" w:name="page172"/>
    <w:bookmarkEnd w:id="171"/>
    <w:p>
      <w:pPr>
        <w:ind w:right="320" w:firstLine="757"/>
        <w:spacing w:after="0" w:line="244" w:lineRule="auto"/>
        <w:tabs>
          <w:tab w:leader="none" w:pos="118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of New Employer</w:t>
      </w:r>
      <w:r>
        <w:rPr>
          <w:rFonts w:ascii="Times New Roman" w:cs="Times New Roman" w:eastAsia="Times New Roman" w:hAnsi="Times New Roman"/>
          <w:sz w:val="22"/>
          <w:szCs w:val="22"/>
          <w:color w:val="auto"/>
        </w:rPr>
        <w:t>. In the event that Employee leaves the employ of the Company, Employee grants consent to notification by the Company to Employee’s new employer about Employee’s rights and obligations under this Agreement and the Confidential Information Agreement.</w:t>
      </w:r>
    </w:p>
    <w:p>
      <w:pPr>
        <w:spacing w:after="0" w:line="105" w:lineRule="exact"/>
        <w:rPr>
          <w:rFonts w:ascii="Times New Roman" w:cs="Times New Roman" w:eastAsia="Times New Roman" w:hAnsi="Times New Roman"/>
          <w:sz w:val="22"/>
          <w:szCs w:val="22"/>
          <w:color w:val="auto"/>
        </w:rPr>
      </w:pPr>
    </w:p>
    <w:p>
      <w:pPr>
        <w:ind w:right="60" w:firstLine="8"/>
        <w:spacing w:after="0" w:line="244" w:lineRule="auto"/>
        <w:tabs>
          <w:tab w:leader="none" w:pos="43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xml:space="preserve">. To ensure the rapid and economical resolution of disputes that may arise in connection with your employment with the Company, you and the Company agree that any and all disputes, claims, or causes of action, in law or equity, including but not limited to the Massachusetts Antidiscrimination Act, Mass. Gen. Laws ch.151B and the Massachusetts Wage Act, Mass. Gen. Laws ch. 149, and any other statutory claims, arising from or relating to the enforcement, breach, performance, or interpretation of this agreement, your employment with the Company, or the termination of your employment, except as set forth in the enclosed </w:t>
      </w:r>
      <w:r>
        <w:rPr>
          <w:rFonts w:ascii="Times New Roman" w:cs="Times New Roman" w:eastAsia="Times New Roman" w:hAnsi="Times New Roman"/>
          <w:sz w:val="21"/>
          <w:szCs w:val="21"/>
          <w:u w:val="single" w:color="auto"/>
          <w:color w:val="auto"/>
        </w:rPr>
        <w:t>Confidential Information Agreement</w:t>
      </w:r>
      <w:r>
        <w:rPr>
          <w:rFonts w:ascii="Times New Roman" w:cs="Times New Roman" w:eastAsia="Times New Roman" w:hAnsi="Times New Roman"/>
          <w:sz w:val="21"/>
          <w:szCs w:val="21"/>
          <w:color w:val="auto"/>
        </w:rPr>
        <w:t>, shall be resolved pursuant to the Federal Arbitration Act, 9 U.S.C. § 1-16, to the fullest extent permitted by law, by final, binding and confidential arbitration conducted by JAMS or its successor, under</w:t>
      </w:r>
    </w:p>
    <w:p>
      <w:pPr>
        <w:spacing w:after="0" w:line="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 xml:space="preserve">JAMS’ then applicable rules and procedures for employment disputes before a single arbitrator (available upon request and also currently available at http://www.jamsadr.com/rules-employment-arbitration/). </w:t>
      </w:r>
      <w:r>
        <w:rPr>
          <w:rFonts w:ascii="Times New Roman" w:cs="Times New Roman" w:eastAsia="Times New Roman" w:hAnsi="Times New Roman"/>
          <w:sz w:val="21"/>
          <w:szCs w:val="21"/>
          <w:b w:val="1"/>
          <w:bCs w:val="1"/>
          <w:color w:val="auto"/>
        </w:rPr>
        <w:t>You acknowledge that by agreeing to 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arbitration procedure, both you and the Company waive the right to resolve any such dispute through a trial by jury or judge or administrative proceeding</w:t>
      </w:r>
      <w:r>
        <w:rPr>
          <w:rFonts w:ascii="Times New Roman" w:cs="Times New Roman" w:eastAsia="Times New Roman" w:hAnsi="Times New Roman"/>
          <w:sz w:val="21"/>
          <w:szCs w:val="21"/>
          <w:color w:val="auto"/>
        </w:rPr>
        <w:t>. In addition, all claims, disputes, or causes of action under this section, whether by you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to the extent such claims are not permitted by applicable law(s) to be submitted to mandatory arbitration and the applicable law(s) are not preempted by the Federal Arbitration Act or otherwise invalid (collectively, the “Excluded Claims”). In the event you intend to bring multiple claims, including one of the Excluded Claims listed above, the Excluded Claims may be filed with a court, while any other claims will remain subject to mandatory arbitration. You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be responsible for all JAMS’ arbitration fees, or such fees shall be paid in such other manner to the extent required by,</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72" w:name="page173"/>
    <w:bookmarkEnd w:id="172"/>
    <w:p>
      <w:pPr>
        <w:spacing w:after="0" w:line="238" w:lineRule="auto"/>
        <w:rPr>
          <w:sz w:val="20"/>
          <w:szCs w:val="20"/>
          <w:color w:val="auto"/>
        </w:rPr>
      </w:pPr>
      <w:r>
        <w:rPr>
          <w:rFonts w:ascii="Times New Roman" w:cs="Times New Roman" w:eastAsia="Times New Roman" w:hAnsi="Times New Roman"/>
          <w:sz w:val="22"/>
          <w:szCs w:val="22"/>
          <w:color w:val="auto"/>
        </w:rPr>
        <w:t>and in accordance with, applicable law to effectuate your and the Company’s agreement to arbitrate. Each Party is responsible for its own attorneys’ fees, except as expressly set forth in your Employee Confidential Information and Inventions Assignment Agreement. Nothing in this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09" w:lineRule="exact"/>
        <w:rPr>
          <w:sz w:val="20"/>
          <w:szCs w:val="20"/>
          <w:color w:val="auto"/>
        </w:rPr>
      </w:pPr>
    </w:p>
    <w:p>
      <w:pPr>
        <w:ind w:right="40" w:firstLine="8"/>
        <w:spacing w:after="0" w:line="235" w:lineRule="auto"/>
        <w:tabs>
          <w:tab w:leader="none" w:pos="43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will be binding upon and inure to the benefit of (a) the heirs, executors and legal representatives of Employee upon Employee’s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Employee to receive any form of compensation payable pursuant to this Agreement may be assigned or transferred except by will or the laws of descent and distribution. Any other attempted assignment, transfer, conveyance or other disposition of Employee’s right to compensation or other benefits will be null and void.</w:t>
      </w:r>
    </w:p>
    <w:p>
      <w:pPr>
        <w:spacing w:after="0" w:line="97" w:lineRule="exact"/>
        <w:rPr>
          <w:rFonts w:ascii="Times New Roman" w:cs="Times New Roman" w:eastAsia="Times New Roman" w:hAnsi="Times New Roman"/>
          <w:sz w:val="22"/>
          <w:szCs w:val="22"/>
          <w:color w:val="auto"/>
        </w:rPr>
      </w:pPr>
    </w:p>
    <w:p>
      <w:pPr>
        <w:ind w:right="20" w:firstLine="8"/>
        <w:spacing w:after="0" w:line="248" w:lineRule="auto"/>
        <w:tabs>
          <w:tab w:leader="none" w:pos="432"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requests, demands and other communications called for under this Agreement shall be in writing and shall be delivered via e-mail, personally by hand or by courier, mailed by United States first-class mail, postage prepaid, to the Party to be notified at the address or facsimile number indicated for such Party on the signature page to this Agreement, or at such other address as such Party may designate by ten (10) days’ advance written notice to the other Parties hereto. All such notices and other communications shall be deemed given upon personal delivery, five (5) days after the date of mailing, or upon confirmation of facsimile transfer or e-mail. Notices sent via e-mail under this Section shall be sent to either the e-mail address in this Agreement, or for e-mails sent by the Company to Employee, to the last e-mail address on file with the Company.</w:t>
      </w:r>
    </w:p>
    <w:p>
      <w:pPr>
        <w:spacing w:after="0" w:line="102" w:lineRule="exact"/>
        <w:rPr>
          <w:rFonts w:ascii="Times New Roman" w:cs="Times New Roman" w:eastAsia="Times New Roman" w:hAnsi="Times New Roman"/>
          <w:sz w:val="21"/>
          <w:szCs w:val="21"/>
          <w:color w:val="auto"/>
        </w:rPr>
      </w:pPr>
    </w:p>
    <w:p>
      <w:pPr>
        <w:ind w:right="80" w:firstLine="8"/>
        <w:spacing w:after="0" w:line="258" w:lineRule="auto"/>
        <w:tabs>
          <w:tab w:leader="none" w:pos="43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provision hereof becomes or is declared by a court of competent jurisdiction to be illegal, unenforceable or void, this Agreement will continue in full force and effect without said provision.</w:t>
      </w:r>
    </w:p>
    <w:p>
      <w:pPr>
        <w:spacing w:after="0" w:line="90" w:lineRule="exact"/>
        <w:rPr>
          <w:rFonts w:ascii="Times New Roman" w:cs="Times New Roman" w:eastAsia="Times New Roman" w:hAnsi="Times New Roman"/>
          <w:sz w:val="22"/>
          <w:szCs w:val="22"/>
          <w:color w:val="auto"/>
        </w:rPr>
      </w:pPr>
    </w:p>
    <w:p>
      <w:pPr>
        <w:ind w:right="160" w:firstLine="8"/>
        <w:spacing w:after="0" w:line="247" w:lineRule="auto"/>
        <w:tabs>
          <w:tab w:leader="none" w:pos="432"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Integration and Representation</w:t>
      </w:r>
      <w:r>
        <w:rPr>
          <w:rFonts w:ascii="Times New Roman" w:cs="Times New Roman" w:eastAsia="Times New Roman" w:hAnsi="Times New Roman"/>
          <w:sz w:val="21"/>
          <w:szCs w:val="21"/>
          <w:color w:val="auto"/>
        </w:rPr>
        <w:t>. This Agreement, together with the CIC Severance Plan, the applicable equity plan and award agreement(s), the Merger Agreement, the Holdback Agreement between Employee and Parent dated July 17, 2023 (the “</w:t>
      </w:r>
      <w:r>
        <w:rPr>
          <w:rFonts w:ascii="Times New Roman" w:cs="Times New Roman" w:eastAsia="Times New Roman" w:hAnsi="Times New Roman"/>
          <w:sz w:val="21"/>
          <w:szCs w:val="21"/>
          <w:u w:val="single" w:color="auto"/>
          <w:color w:val="auto"/>
        </w:rPr>
        <w:t>Holdback Agreement</w:t>
      </w:r>
      <w:r>
        <w:rPr>
          <w:rFonts w:ascii="Times New Roman" w:cs="Times New Roman" w:eastAsia="Times New Roman" w:hAnsi="Times New Roman"/>
          <w:sz w:val="21"/>
          <w:szCs w:val="21"/>
          <w:color w:val="auto"/>
        </w:rPr>
        <w:t>”), and the Confidential Information Agreement represents the entire agreement and understanding between the Parties as to the subject matter herein and is the complete, final and exclusive embodiment of the Parties’ agreement with regard to the subject matter. This Agreement supersedes all prior or contemporaneous agreements whether written or oral. No waiver, alteration, or modification of any of the provisions of this Agreement will be binding unless in writing and signed by duly authorized representatives of the Parties hereto. Employee acknowledges that Employee has not acted in reliance upon any representations or promises made by the Company other than those contained in writing herein.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73" w:name="page174"/>
    <w:bookmarkEnd w:id="173"/>
    <w:p>
      <w:pPr>
        <w:ind w:left="432" w:hanging="432"/>
        <w:spacing w:after="0"/>
        <w:tabs>
          <w:tab w:leader="none" w:pos="43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All payments made pursuant to this Agreement will be subject to withholding of applicable taxes.</w:t>
      </w:r>
    </w:p>
    <w:p>
      <w:pPr>
        <w:spacing w:after="0" w:line="138" w:lineRule="exact"/>
        <w:rPr>
          <w:rFonts w:ascii="Times New Roman" w:cs="Times New Roman" w:eastAsia="Times New Roman" w:hAnsi="Times New Roman"/>
          <w:sz w:val="22"/>
          <w:szCs w:val="22"/>
          <w:color w:val="auto"/>
        </w:rPr>
      </w:pPr>
    </w:p>
    <w:p>
      <w:pPr>
        <w:ind w:left="-8" w:right="60" w:firstLine="8"/>
        <w:spacing w:after="0" w:line="238" w:lineRule="auto"/>
        <w:tabs>
          <w:tab w:leader="none" w:pos="42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Party shall be deemed to have waived any right, power or privilege under this Agreement or any provisions hereof unless such waiver shall have been duly executed in writing and acknowledged by the Party to be charged with such waiver. The failure of any Party at any time to insist on performance of any of the provisions of this Agreement shall in no way be construed to be a waiver of such provisions, nor in any way to affect the validity of this Agreement or any part hereof. No waiver of any breach of this Agreement shall be held to be a waiver of any other subsequent breach</w:t>
      </w:r>
    </w:p>
    <w:p>
      <w:pPr>
        <w:spacing w:after="0" w:line="95" w:lineRule="exact"/>
        <w:rPr>
          <w:rFonts w:ascii="Times New Roman" w:cs="Times New Roman" w:eastAsia="Times New Roman" w:hAnsi="Times New Roman"/>
          <w:sz w:val="22"/>
          <w:szCs w:val="22"/>
          <w:color w:val="auto"/>
        </w:rPr>
      </w:pPr>
    </w:p>
    <w:p>
      <w:pPr>
        <w:ind w:left="-8" w:right="160" w:firstLine="8"/>
        <w:spacing w:after="0" w:line="258" w:lineRule="auto"/>
        <w:tabs>
          <w:tab w:leader="none" w:pos="42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governed by the laws of the State of Connecticut, without regard to its choice of law provisions.</w:t>
      </w:r>
    </w:p>
    <w:p>
      <w:pPr>
        <w:spacing w:after="0" w:line="90" w:lineRule="exact"/>
        <w:rPr>
          <w:rFonts w:ascii="Times New Roman" w:cs="Times New Roman" w:eastAsia="Times New Roman" w:hAnsi="Times New Roman"/>
          <w:sz w:val="22"/>
          <w:szCs w:val="22"/>
          <w:color w:val="auto"/>
        </w:rPr>
      </w:pPr>
    </w:p>
    <w:p>
      <w:pPr>
        <w:ind w:left="-8" w:firstLine="8"/>
        <w:spacing w:after="0" w:line="244" w:lineRule="auto"/>
        <w:tabs>
          <w:tab w:leader="none" w:pos="42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w:t>
      </w:r>
      <w:r>
        <w:rPr>
          <w:rFonts w:ascii="Times New Roman" w:cs="Times New Roman" w:eastAsia="Times New Roman" w:hAnsi="Times New Roman"/>
          <w:sz w:val="22"/>
          <w:szCs w:val="22"/>
          <w:color w:val="auto"/>
        </w:rPr>
        <w:t>. Employee acknowledges that Employee has had the opportunity to discuss this matter with and obtain advice from Employee’s legal counsel, has had sufficient time to, and has carefully read and fully understands all the provisions of this Agreement, and is knowingly and voluntarily entering into this Agreement.</w:t>
      </w:r>
    </w:p>
    <w:p>
      <w:pPr>
        <w:spacing w:after="0" w:line="105" w:lineRule="exact"/>
        <w:rPr>
          <w:rFonts w:ascii="Times New Roman" w:cs="Times New Roman" w:eastAsia="Times New Roman" w:hAnsi="Times New Roman"/>
          <w:sz w:val="22"/>
          <w:szCs w:val="22"/>
          <w:color w:val="auto"/>
        </w:rPr>
      </w:pPr>
    </w:p>
    <w:p>
      <w:pPr>
        <w:ind w:left="-8" w:right="120" w:firstLine="8"/>
        <w:spacing w:after="0" w:line="258" w:lineRule="auto"/>
        <w:tabs>
          <w:tab w:leader="none" w:pos="42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multiple counterparts, each of which shall be deemed to be an original, and all such counterparts shall constitute but one instrument.</w:t>
      </w:r>
    </w:p>
    <w:p>
      <w:pPr>
        <w:spacing w:after="0" w:line="77" w:lineRule="exact"/>
        <w:rPr>
          <w:rFonts w:ascii="Times New Roman" w:cs="Times New Roman" w:eastAsia="Times New Roman" w:hAnsi="Times New Roman"/>
          <w:sz w:val="22"/>
          <w:szCs w:val="22"/>
          <w:color w:val="auto"/>
        </w:rPr>
      </w:pPr>
    </w:p>
    <w:p>
      <w:pPr>
        <w:ind w:left="-8" w:right="40" w:firstLine="8"/>
        <w:spacing w:after="0" w:line="258" w:lineRule="auto"/>
        <w:tabs>
          <w:tab w:leader="none" w:pos="42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Headings</w:t>
      </w:r>
      <w:r>
        <w:rPr>
          <w:rFonts w:ascii="Times New Roman" w:cs="Times New Roman" w:eastAsia="Times New Roman" w:hAnsi="Times New Roman"/>
          <w:sz w:val="22"/>
          <w:szCs w:val="22"/>
          <w:color w:val="auto"/>
        </w:rPr>
        <w:t>. The section and subsection headings contained herein are for convenience only and shall not affect the construction hereof.</w:t>
      </w:r>
    </w:p>
    <w:p>
      <w:pPr>
        <w:spacing w:after="0" w:line="90" w:lineRule="exact"/>
        <w:rPr>
          <w:rFonts w:ascii="Times New Roman" w:cs="Times New Roman" w:eastAsia="Times New Roman" w:hAnsi="Times New Roman"/>
          <w:sz w:val="22"/>
          <w:szCs w:val="22"/>
          <w:color w:val="auto"/>
        </w:rPr>
      </w:pPr>
    </w:p>
    <w:p>
      <w:pPr>
        <w:ind w:left="-8" w:right="240" w:firstLine="8"/>
        <w:spacing w:after="0" w:line="258" w:lineRule="auto"/>
        <w:tabs>
          <w:tab w:leader="none" w:pos="42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 of Agreement</w:t>
      </w:r>
      <w:r>
        <w:rPr>
          <w:rFonts w:ascii="Times New Roman" w:cs="Times New Roman" w:eastAsia="Times New Roman" w:hAnsi="Times New Roman"/>
          <w:sz w:val="22"/>
          <w:szCs w:val="22"/>
          <w:color w:val="auto"/>
        </w:rPr>
        <w:t>. This Agreement has been negotiated by the respective Parties, and the language shall not be construed for or against either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22"/>
          <w:szCs w:val="22"/>
          <w:i w:val="1"/>
          <w:iCs w:val="1"/>
          <w:color w:val="auto"/>
        </w:rPr>
        <w:t>[Remainder of page is intentionally blank; Signature page follows]</w:t>
      </w:r>
    </w:p>
    <w:p>
      <w:pPr>
        <w:spacing w:after="0" w:line="200" w:lineRule="exact"/>
        <w:rPr>
          <w:sz w:val="20"/>
          <w:szCs w:val="20"/>
          <w:color w:val="auto"/>
        </w:rPr>
      </w:pPr>
    </w:p>
    <w:p>
      <w:pPr>
        <w:spacing w:after="0" w:line="384"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2"/>
          </w:cols>
          <w:pgMar w:left="328" w:top="1408" w:right="4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the Parties has executed this Agreement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Definitive Healthcare, LLC</w:t>
      </w:r>
    </w:p>
    <w:p>
      <w:pPr>
        <w:spacing w:after="0" w:line="233" w:lineRule="exact"/>
        <w:rPr>
          <w:sz w:val="20"/>
          <w:szCs w:val="20"/>
          <w:color w:val="auto"/>
        </w:rPr>
      </w:pPr>
    </w:p>
    <w:tbl>
      <w:tblPr>
        <w:tblLayout w:type="fixed"/>
        <w:tblInd w:w="5180" w:type="dxa"/>
        <w:tblCellMar>
          <w:top w:w="0" w:type="dxa"/>
          <w:left w:w="0" w:type="dxa"/>
          <w:bottom w:w="0" w:type="dxa"/>
          <w:right w:w="0" w:type="dxa"/>
        </w:tblCellMar>
      </w:tblPr>
      <w:tr>
        <w:trPr>
          <w:trHeight w:val="274"/>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/s/ </w:t>
            </w:r>
            <w:r>
              <w:rPr>
                <w:rFonts w:ascii="Times New Roman" w:cs="Times New Roman" w:eastAsia="Times New Roman" w:hAnsi="Times New Roman"/>
                <w:sz w:val="22"/>
                <w:szCs w:val="22"/>
                <w:color w:val="auto"/>
              </w:rPr>
              <w:t>Jason Krantz</w:t>
            </w:r>
          </w:p>
        </w:tc>
      </w:tr>
      <w:tr>
        <w:trPr>
          <w:trHeight w:val="209"/>
        </w:trPr>
        <w:tc>
          <w:tcPr>
            <w:tcW w:w="11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ind w:left="20"/>
              <w:spacing w:after="0" w:line="209" w:lineRule="exact"/>
              <w:rPr>
                <w:sz w:val="20"/>
                <w:szCs w:val="20"/>
                <w:color w:val="auto"/>
              </w:rPr>
            </w:pPr>
            <w:r>
              <w:rPr>
                <w:rFonts w:ascii="Times New Roman" w:cs="Times New Roman" w:eastAsia="Times New Roman" w:hAnsi="Times New Roman"/>
                <w:sz w:val="22"/>
                <w:szCs w:val="22"/>
                <w:color w:val="auto"/>
              </w:rPr>
              <w:t>Jason Krantz</w:t>
            </w: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President</w:t>
            </w:r>
          </w:p>
        </w:tc>
      </w:tr>
    </w:tbl>
    <w:p>
      <w:pPr>
        <w:spacing w:after="0" w:line="20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Address: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492 Old Connecticut Path</w:t>
      </w:r>
    </w:p>
    <w:p>
      <w:pPr>
        <w:ind w:left="5180"/>
        <w:spacing w:after="0"/>
        <w:rPr>
          <w:sz w:val="20"/>
          <w:szCs w:val="20"/>
          <w:color w:val="auto"/>
        </w:rPr>
      </w:pPr>
      <w:r>
        <w:rPr>
          <w:rFonts w:ascii="Times New Roman" w:cs="Times New Roman" w:eastAsia="Times New Roman" w:hAnsi="Times New Roman"/>
          <w:sz w:val="22"/>
          <w:szCs w:val="22"/>
          <w:color w:val="auto"/>
        </w:rPr>
        <w:t>Framingham, MA 01701</w:t>
      </w:r>
    </w:p>
    <w:p>
      <w:pPr>
        <w:spacing w:after="0" w:line="205" w:lineRule="exact"/>
        <w:rPr>
          <w:sz w:val="20"/>
          <w:szCs w:val="20"/>
          <w:color w:val="auto"/>
        </w:rPr>
      </w:pPr>
    </w:p>
    <w:p>
      <w:pPr>
        <w:jc w:val="both"/>
        <w:ind w:left="5180"/>
        <w:spacing w:after="0"/>
        <w:tabs>
          <w:tab w:leader="none" w:pos="62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2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William Moschella</w:t>
      </w:r>
    </w:p>
    <w:p>
      <w:pPr>
        <w:spacing w:after="0" w:line="233" w:lineRule="exact"/>
        <w:rPr>
          <w:sz w:val="20"/>
          <w:szCs w:val="20"/>
          <w:color w:val="auto"/>
        </w:rPr>
      </w:pPr>
    </w:p>
    <w:tbl>
      <w:tblPr>
        <w:tblLayout w:type="fixed"/>
        <w:tblInd w:w="5180" w:type="dxa"/>
        <w:tblCellMar>
          <w:top w:w="0" w:type="dxa"/>
          <w:left w:w="0" w:type="dxa"/>
          <w:bottom w:w="0" w:type="dxa"/>
          <w:right w:w="0" w:type="dxa"/>
        </w:tblCellMar>
      </w:tblPr>
      <w:tr>
        <w:trPr>
          <w:trHeight w:val="274"/>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/s/ </w:t>
            </w:r>
            <w:r>
              <w:rPr>
                <w:rFonts w:ascii="Times New Roman" w:cs="Times New Roman" w:eastAsia="Times New Roman" w:hAnsi="Times New Roman"/>
                <w:sz w:val="22"/>
                <w:szCs w:val="22"/>
                <w:color w:val="auto"/>
              </w:rPr>
              <w:t>William Moschella</w:t>
            </w:r>
          </w:p>
        </w:tc>
      </w:tr>
      <w:tr>
        <w:trPr>
          <w:trHeight w:val="276"/>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William Moschella</w:t>
            </w:r>
          </w:p>
        </w:tc>
      </w:tr>
    </w:tbl>
    <w:p>
      <w:pPr>
        <w:spacing w:after="0" w:line="17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Address: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w:t>
      </w:r>
    </w:p>
    <w:p>
      <w:pPr>
        <w:ind w:left="51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020" w:type="dxa"/>
            <w:vAlign w:val="bottom"/>
          </w:tcPr>
          <w:p>
            <w:pPr>
              <w:jc w:val="right"/>
              <w:ind w:right="181"/>
              <w:spacing w:after="0"/>
              <w:rPr>
                <w:sz w:val="20"/>
                <w:szCs w:val="20"/>
                <w:color w:val="auto"/>
              </w:rPr>
            </w:pPr>
            <w:r>
              <w:rPr>
                <w:rFonts w:ascii="Times New Roman" w:cs="Times New Roman" w:eastAsia="Times New Roman" w:hAnsi="Times New Roman"/>
                <w:sz w:val="22"/>
                <w:szCs w:val="22"/>
                <w:color w:val="auto"/>
              </w:rPr>
              <w:t>Email:</w:t>
            </w:r>
          </w:p>
        </w:tc>
        <w:tc>
          <w:tcPr>
            <w:tcW w:w="5220" w:type="dxa"/>
            <w:vAlign w:val="bottom"/>
          </w:tcPr>
          <w:p>
            <w:pPr>
              <w:jc w:val="right"/>
              <w:ind w:right="3072"/>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852"/>
        </w:trPr>
        <w:tc>
          <w:tcPr>
            <w:tcW w:w="6020" w:type="dxa"/>
            <w:vAlign w:val="bottom"/>
          </w:tcPr>
          <w:p>
            <w:pPr>
              <w:jc w:val="right"/>
              <w:ind w:right="261"/>
              <w:spacing w:after="0"/>
              <w:rPr>
                <w:sz w:val="20"/>
                <w:szCs w:val="20"/>
                <w:color w:val="auto"/>
              </w:rPr>
            </w:pPr>
            <w:r>
              <w:rPr>
                <w:rFonts w:ascii="Times New Roman" w:cs="Times New Roman" w:eastAsia="Times New Roman" w:hAnsi="Times New Roman"/>
                <w:sz w:val="18"/>
                <w:szCs w:val="18"/>
                <w:color w:val="auto"/>
              </w:rPr>
              <w:t>9</w:t>
            </w:r>
          </w:p>
        </w:tc>
        <w:tc>
          <w:tcPr>
            <w:tcW w:w="5220" w:type="dxa"/>
            <w:vAlign w:val="bottom"/>
          </w:tcPr>
          <w:p>
            <w:pPr>
              <w:spacing w:after="0"/>
              <w:rPr>
                <w:sz w:val="24"/>
                <w:szCs w:val="24"/>
                <w:color w:val="auto"/>
              </w:rPr>
            </w:pPr>
          </w:p>
        </w:tc>
      </w:tr>
      <w:tr>
        <w:trPr>
          <w:trHeight w:val="763"/>
        </w:trPr>
        <w:tc>
          <w:tcPr>
            <w:tcW w:w="60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0"/>
          <w:szCs w:val="20"/>
          <w:b w:val="1"/>
          <w:bCs w:val="1"/>
          <w:color w:val="auto"/>
        </w:rPr>
        <w:t>Exhibit 10.39</w:t>
      </w:r>
    </w:p>
    <w:p>
      <w:pPr>
        <w:spacing w:after="0" w:line="200" w:lineRule="exact"/>
        <w:rPr>
          <w:sz w:val="20"/>
          <w:szCs w:val="20"/>
          <w:color w:val="auto"/>
        </w:rPr>
      </w:pPr>
    </w:p>
    <w:p>
      <w:pPr>
        <w:spacing w:after="0" w:line="2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HOLDBACK AGREEMENT</w:t>
      </w:r>
    </w:p>
    <w:p>
      <w:pPr>
        <w:spacing w:after="0" w:line="202" w:lineRule="exact"/>
        <w:rPr>
          <w:sz w:val="20"/>
          <w:szCs w:val="20"/>
          <w:color w:val="auto"/>
        </w:rPr>
      </w:pPr>
    </w:p>
    <w:p>
      <w:pPr>
        <w:jc w:val="both"/>
        <w:ind w:right="120" w:firstLine="747"/>
        <w:spacing w:after="0" w:line="256" w:lineRule="auto"/>
        <w:rPr>
          <w:sz w:val="20"/>
          <w:szCs w:val="20"/>
          <w:color w:val="auto"/>
        </w:rPr>
      </w:pPr>
      <w:r>
        <w:rPr>
          <w:rFonts w:ascii="Times New Roman" w:cs="Times New Roman" w:eastAsia="Times New Roman" w:hAnsi="Times New Roman"/>
          <w:sz w:val="20"/>
          <w:szCs w:val="20"/>
          <w:color w:val="auto"/>
        </w:rPr>
        <w:t>This Holdback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dated as of July 17, 2023 is entered into by and between </w:t>
      </w:r>
      <w:r>
        <w:rPr>
          <w:rFonts w:ascii="Times New Roman" w:cs="Times New Roman" w:eastAsia="Times New Roman" w:hAnsi="Times New Roman"/>
          <w:sz w:val="20"/>
          <w:szCs w:val="20"/>
          <w:b w:val="1"/>
          <w:bCs w:val="1"/>
          <w:color w:val="auto"/>
        </w:rPr>
        <w:t>Analytical Wizards,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b w:val="1"/>
          <w:bCs w:val="1"/>
          <w:i w:val="1"/>
          <w:iCs w:val="1"/>
          <w:color w:val="auto"/>
        </w:rPr>
        <w:t>Parent</w:t>
      </w:r>
      <w:r>
        <w:rPr>
          <w:rFonts w:ascii="Times New Roman" w:cs="Times New Roman" w:eastAsia="Times New Roman" w:hAnsi="Times New Roman"/>
          <w:sz w:val="20"/>
          <w:szCs w:val="20"/>
          <w:color w:val="auto"/>
        </w:rPr>
        <w:t>”), and (ii)</w:t>
      </w:r>
      <w:r>
        <w:rPr>
          <w:rFonts w:ascii="Times New Roman" w:cs="Times New Roman" w:eastAsia="Times New Roman" w:hAnsi="Times New Roman"/>
          <w:sz w:val="20"/>
          <w:szCs w:val="20"/>
          <w:b w:val="1"/>
          <w:bCs w:val="1"/>
          <w:color w:val="auto"/>
        </w:rPr>
        <w:t xml:space="preserve"> Masheen, LLC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Holdback Stockholder</w:t>
      </w:r>
      <w:r>
        <w:rPr>
          <w:rFonts w:ascii="Times New Roman" w:cs="Times New Roman" w:eastAsia="Times New Roman" w:hAnsi="Times New Roman"/>
          <w:sz w:val="20"/>
          <w:szCs w:val="20"/>
          <w:color w:val="auto"/>
        </w:rPr>
        <w:t>” and, together with Parent,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each, individually,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06" w:lineRule="exact"/>
        <w:rPr>
          <w:sz w:val="20"/>
          <w:szCs w:val="20"/>
          <w:color w:val="auto"/>
        </w:rPr>
      </w:pPr>
    </w:p>
    <w:p>
      <w:pPr>
        <w:jc w:val="both"/>
        <w:ind w:right="120" w:firstLine="749"/>
        <w:spacing w:after="0" w:line="254" w:lineRule="auto"/>
        <w:rPr>
          <w:sz w:val="20"/>
          <w:szCs w:val="20"/>
          <w:color w:val="auto"/>
        </w:rPr>
      </w:pPr>
      <w:r>
        <w:rPr>
          <w:rFonts w:ascii="Times New Roman" w:cs="Times New Roman" w:eastAsia="Times New Roman" w:hAnsi="Times New Roman"/>
          <w:sz w:val="20"/>
          <w:szCs w:val="20"/>
          <w:color w:val="auto"/>
        </w:rPr>
        <w:t>WHEREAS, concurrently with the execution and delivery of this Agreement, Parent, Populi,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certain other parties are entering into a certain Agreement and Plan of Merger (the “</w:t>
      </w:r>
      <w:r>
        <w:rPr>
          <w:rFonts w:ascii="Times New Roman" w:cs="Times New Roman" w:eastAsia="Times New Roman" w:hAnsi="Times New Roman"/>
          <w:sz w:val="20"/>
          <w:szCs w:val="20"/>
          <w:b w:val="1"/>
          <w:bCs w:val="1"/>
          <w:i w:val="1"/>
          <w:iCs w:val="1"/>
          <w:color w:val="auto"/>
        </w:rPr>
        <w:t>Merger Agreement</w:t>
      </w:r>
      <w:r>
        <w:rPr>
          <w:rFonts w:ascii="Times New Roman" w:cs="Times New Roman" w:eastAsia="Times New Roman" w:hAnsi="Times New Roman"/>
          <w:sz w:val="20"/>
          <w:szCs w:val="20"/>
          <w:color w:val="auto"/>
        </w:rPr>
        <w:t>”), pursuant to which Parent will acquire the Company on the terms and conditions set forth in the Merger Agreement;</w:t>
      </w:r>
    </w:p>
    <w:p>
      <w:pPr>
        <w:spacing w:after="0" w:line="1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WHEREAS, capitalized terms used herein but not defined shall have the meanings ascribed to them in the Merger Agreement;</w:t>
      </w:r>
    </w:p>
    <w:p>
      <w:pPr>
        <w:spacing w:after="0" w:line="212" w:lineRule="exact"/>
        <w:rPr>
          <w:sz w:val="20"/>
          <w:szCs w:val="20"/>
          <w:color w:val="auto"/>
        </w:rPr>
      </w:pPr>
    </w:p>
    <w:p>
      <w:pPr>
        <w:jc w:val="both"/>
        <w:ind w:right="120" w:firstLine="749"/>
        <w:spacing w:after="0" w:line="273" w:lineRule="auto"/>
        <w:rPr>
          <w:sz w:val="20"/>
          <w:szCs w:val="20"/>
          <w:color w:val="auto"/>
        </w:rPr>
      </w:pPr>
      <w:r>
        <w:rPr>
          <w:rFonts w:ascii="Times New Roman" w:cs="Times New Roman" w:eastAsia="Times New Roman" w:hAnsi="Times New Roman"/>
          <w:sz w:val="20"/>
          <w:szCs w:val="20"/>
          <w:color w:val="auto"/>
        </w:rPr>
        <w:t>WHEREAS, following the Closing, William Moschella, who is the beneficial owner of Holdback Stockholder (the “</w:t>
      </w:r>
      <w:r>
        <w:rPr>
          <w:rFonts w:ascii="Times New Roman" w:cs="Times New Roman" w:eastAsia="Times New Roman" w:hAnsi="Times New Roman"/>
          <w:sz w:val="20"/>
          <w:szCs w:val="20"/>
          <w:b w:val="1"/>
          <w:bCs w:val="1"/>
          <w:i w:val="1"/>
          <w:iCs w:val="1"/>
          <w:color w:val="auto"/>
        </w:rPr>
        <w:t>Beneficial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Owner</w:t>
      </w:r>
      <w:r>
        <w:rPr>
          <w:rFonts w:ascii="Times New Roman" w:cs="Times New Roman" w:eastAsia="Times New Roman" w:hAnsi="Times New Roman"/>
          <w:sz w:val="20"/>
          <w:szCs w:val="20"/>
          <w:color w:val="auto"/>
        </w:rPr>
        <w:t>”) shall be an employee of Parent or an Affiliate thereof;</w:t>
      </w:r>
    </w:p>
    <w:p>
      <w:pPr>
        <w:spacing w:after="0" w:line="156" w:lineRule="exact"/>
        <w:rPr>
          <w:sz w:val="20"/>
          <w:szCs w:val="20"/>
          <w:color w:val="auto"/>
        </w:rPr>
      </w:pPr>
    </w:p>
    <w:p>
      <w:pPr>
        <w:jc w:val="both"/>
        <w:ind w:right="1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WHEREAS, subject to the terms and conditions of the Merger Agreement and effective upon the Closing, the Holdback Stockholder is entitled to receive an aggregate amount of Total Closing Merger Consideration, in cash, with respect to such Holdback Stockholder’s shares of Company Capital Stock in the manner and amounts set forth in </w:t>
      </w:r>
      <w:r>
        <w:rPr>
          <w:rFonts w:ascii="Times New Roman" w:cs="Times New Roman" w:eastAsia="Times New Roman" w:hAnsi="Times New Roman"/>
          <w:sz w:val="20"/>
          <w:szCs w:val="20"/>
          <w:u w:val="single" w:color="auto"/>
          <w:color w:val="auto"/>
        </w:rPr>
        <w:t>Section 1.7(a)</w:t>
      </w:r>
      <w:r>
        <w:rPr>
          <w:rFonts w:ascii="Times New Roman" w:cs="Times New Roman" w:eastAsia="Times New Roman" w:hAnsi="Times New Roman"/>
          <w:sz w:val="20"/>
          <w:szCs w:val="20"/>
          <w:color w:val="auto"/>
        </w:rPr>
        <w:t xml:space="preserve"> of the Merger Agreement (the “</w:t>
      </w:r>
      <w:r>
        <w:rPr>
          <w:rFonts w:ascii="Times New Roman" w:cs="Times New Roman" w:eastAsia="Times New Roman" w:hAnsi="Times New Roman"/>
          <w:sz w:val="20"/>
          <w:szCs w:val="20"/>
          <w:b w:val="1"/>
          <w:bCs w:val="1"/>
          <w:i w:val="1"/>
          <w:iCs w:val="1"/>
          <w:color w:val="auto"/>
        </w:rPr>
        <w:t>Holdback Stockholder Aggregate Closing Consideration</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right="120" w:firstLine="749"/>
        <w:spacing w:after="0" w:line="254" w:lineRule="auto"/>
        <w:rPr>
          <w:sz w:val="20"/>
          <w:szCs w:val="20"/>
          <w:color w:val="auto"/>
        </w:rPr>
      </w:pPr>
      <w:r>
        <w:rPr>
          <w:rFonts w:ascii="Times New Roman" w:cs="Times New Roman" w:eastAsia="Times New Roman" w:hAnsi="Times New Roman"/>
          <w:sz w:val="20"/>
          <w:szCs w:val="20"/>
          <w:color w:val="auto"/>
        </w:rPr>
        <w:t>WHEREAS, for the avoidance of doubt, in no event shall the Holdback Stockholder Aggregate Closing Consideration include any portion of the Holdback Stockholder’s entitlement to the Escrow Funds, the Expense Fund, the Earnout Payment Amounts or any change in control bonus payable at Closing;</w:t>
      </w:r>
    </w:p>
    <w:p>
      <w:pPr>
        <w:spacing w:after="0" w:line="174" w:lineRule="exact"/>
        <w:rPr>
          <w:sz w:val="20"/>
          <w:szCs w:val="20"/>
          <w:color w:val="auto"/>
        </w:rPr>
      </w:pPr>
    </w:p>
    <w:p>
      <w:pPr>
        <w:jc w:val="both"/>
        <w:ind w:right="1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WHEREAS, (a) eighty percent (80%) of the Holdback Stockholder Aggregate Closing Consideration shall be paid to the Holdback Stockholder in accordance with </w:t>
      </w:r>
      <w:r>
        <w:rPr>
          <w:rFonts w:ascii="Times New Roman" w:cs="Times New Roman" w:eastAsia="Times New Roman" w:hAnsi="Times New Roman"/>
          <w:sz w:val="20"/>
          <w:szCs w:val="20"/>
          <w:u w:val="single" w:color="auto"/>
          <w:color w:val="auto"/>
        </w:rPr>
        <w:t>Section 1.9</w:t>
      </w:r>
      <w:r>
        <w:rPr>
          <w:rFonts w:ascii="Times New Roman" w:cs="Times New Roman" w:eastAsia="Times New Roman" w:hAnsi="Times New Roman"/>
          <w:sz w:val="20"/>
          <w:szCs w:val="20"/>
          <w:color w:val="auto"/>
        </w:rPr>
        <w:t xml:space="preserve"> of the Merger Agreement, and (b) the remaining twenty percent (20%) of the Holdback Stockholder Aggregate Closing Consideration shall be held back and paid to the Holdback Stockholder in the form of cash (the “</w:t>
      </w:r>
      <w:r>
        <w:rPr>
          <w:rFonts w:ascii="Times New Roman" w:cs="Times New Roman" w:eastAsia="Times New Roman" w:hAnsi="Times New Roman"/>
          <w:sz w:val="20"/>
          <w:szCs w:val="20"/>
          <w:b w:val="1"/>
          <w:bCs w:val="1"/>
          <w:i w:val="1"/>
          <w:iCs w:val="1"/>
          <w:color w:val="auto"/>
        </w:rPr>
        <w:t>Holdback Consideration</w:t>
      </w:r>
      <w:r>
        <w:rPr>
          <w:rFonts w:ascii="Times New Roman" w:cs="Times New Roman" w:eastAsia="Times New Roman" w:hAnsi="Times New Roman"/>
          <w:sz w:val="20"/>
          <w:szCs w:val="20"/>
          <w:color w:val="auto"/>
        </w:rPr>
        <w:t>”) in accordance with the terms and conditions of this Agreement; and</w:t>
      </w:r>
    </w:p>
    <w:p>
      <w:pPr>
        <w:spacing w:after="0" w:line="180" w:lineRule="exact"/>
        <w:rPr>
          <w:sz w:val="20"/>
          <w:szCs w:val="20"/>
          <w:color w:val="auto"/>
        </w:rPr>
      </w:pPr>
    </w:p>
    <w:p>
      <w:pPr>
        <w:jc w:val="both"/>
        <w:ind w:right="120" w:firstLine="749"/>
        <w:spacing w:after="0" w:line="269" w:lineRule="auto"/>
        <w:rPr>
          <w:sz w:val="20"/>
          <w:szCs w:val="20"/>
          <w:color w:val="auto"/>
        </w:rPr>
      </w:pPr>
      <w:r>
        <w:rPr>
          <w:rFonts w:ascii="Times New Roman" w:cs="Times New Roman" w:eastAsia="Times New Roman" w:hAnsi="Times New Roman"/>
          <w:sz w:val="20"/>
          <w:szCs w:val="20"/>
          <w:color w:val="auto"/>
        </w:rPr>
        <w:t>WHEREAS, in connection with the Merger Agreement and as a condition to the transactions contemplated thereby, the Holdback Stockholder has agreed to enter into this Agreement and to become bound by the terms and conditions set forth herein.</w:t>
      </w:r>
    </w:p>
    <w:p>
      <w:pPr>
        <w:spacing w:after="0" w:line="15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jc w:val="both"/>
        <w:ind w:right="120" w:firstLine="749"/>
        <w:spacing w:after="0" w:line="269" w:lineRule="auto"/>
        <w:rPr>
          <w:sz w:val="20"/>
          <w:szCs w:val="20"/>
          <w:color w:val="auto"/>
        </w:rPr>
      </w:pPr>
      <w:r>
        <w:rPr>
          <w:rFonts w:ascii="Times New Roman" w:cs="Times New Roman" w:eastAsia="Times New Roman" w:hAnsi="Times New Roman"/>
          <w:sz w:val="20"/>
          <w:szCs w:val="20"/>
          <w:color w:val="auto"/>
        </w:rPr>
        <w:t>NOW, THEREFORE, for valuable consideration, the receipt whereof is hereby acknowledged, the Parties, intending to be legally bound, agree as follows:</w:t>
      </w:r>
    </w:p>
    <w:p>
      <w:pPr>
        <w:spacing w:after="0" w:line="159" w:lineRule="exact"/>
        <w:rPr>
          <w:sz w:val="20"/>
          <w:szCs w:val="20"/>
          <w:color w:val="auto"/>
        </w:rPr>
      </w:pPr>
    </w:p>
    <w:p>
      <w:pPr>
        <w:ind w:left="1480" w:hanging="744"/>
        <w:spacing w:after="0"/>
        <w:tabs>
          <w:tab w:leader="none" w:pos="14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Certain Definitions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right="12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shall mean, with respect to any specified Person, any other Person that, directly or indirectly, through one or more intermediaries, controls, is controlled by or is under common control with such specified Person. For purposes of this definition, “control,” when used with respect to any specified Person, means the power to direct or cause the direction of management or policies of such Person, directly or indirectly, whether through the ownership of voting securities,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201930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761" w:right="339" w:bottom="1440" w:gutter="0" w:footer="0" w:header="0"/>
        </w:sectPr>
      </w:pPr>
    </w:p>
    <w:bookmarkStart w:id="176" w:name="page177"/>
    <w:bookmarkEnd w:id="176"/>
    <w:p>
      <w:pPr>
        <w:jc w:val="both"/>
        <w:ind w:left="8" w:firstLine="74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shall mean any of the following: (a) Beneficial Owner’s failure to substantially perform Beneficial Owner’s duties or obey lawful directives from Parent or any of its Affiliates that continues after receipt of written notice from Parent or any of its Affiliates and a thirty (30) day opportunity to cure; (b) gross misconduct or gross negligence in the performance of Beneficial Owner’s duties; (c) fraud, embezzlement, theft, or any other act of material dishonesty or misconduct; (d) conviction of, indictment for, or plea of guilty or nolo contendere to, a felony or any crime involving moral turpitude; (e) a material breach of any agreement with Parent or any of its Affiliates, including any restrictive covenant applicable to Beneficial Owner; or (f) a material violation of any Parent policy (including, without limitation, with respect to harassment).</w:t>
      </w:r>
    </w:p>
    <w:p>
      <w:pPr>
        <w:spacing w:after="0" w:line="179" w:lineRule="exact"/>
        <w:rPr>
          <w:sz w:val="20"/>
          <w:szCs w:val="20"/>
          <w:color w:val="auto"/>
        </w:rPr>
      </w:pPr>
    </w:p>
    <w:p>
      <w:pPr>
        <w:jc w:val="both"/>
        <w:ind w:left="8"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shall mean that Beneficial Owner is unable to engage in any substantial gainful activity by reason of any medically determinable physical or mental impairment that would reasonably be expected to (a) result in Beneficial Owner’s death, or (b) last for a continuous period of not less than twelve (12) months.</w:t>
      </w:r>
    </w:p>
    <w:p>
      <w:pPr>
        <w:spacing w:after="0" w:line="169" w:lineRule="exact"/>
        <w:rPr>
          <w:sz w:val="20"/>
          <w:szCs w:val="20"/>
          <w:color w:val="auto"/>
        </w:rPr>
      </w:pPr>
    </w:p>
    <w:p>
      <w:pPr>
        <w:jc w:val="both"/>
        <w:ind w:left="8"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First Holdback Release Date</w:t>
      </w:r>
      <w:r>
        <w:rPr>
          <w:rFonts w:ascii="Times New Roman" w:cs="Times New Roman" w:eastAsia="Times New Roman" w:hAnsi="Times New Roman"/>
          <w:sz w:val="20"/>
          <w:szCs w:val="20"/>
          <w:color w:val="auto"/>
        </w:rPr>
        <w:t xml:space="preserve">” shall mean December 31, 2023, </w:t>
      </w:r>
      <w:r>
        <w:rPr>
          <w:rFonts w:ascii="Times New Roman" w:cs="Times New Roman" w:eastAsia="Times New Roman" w:hAnsi="Times New Roman"/>
          <w:sz w:val="20"/>
          <w:szCs w:val="20"/>
          <w:b w:val="1"/>
          <w:bCs w:val="1"/>
          <w:i w:val="1"/>
          <w:iCs w:val="1"/>
          <w:color w:val="auto"/>
        </w:rPr>
        <w:t>plus</w:t>
      </w:r>
      <w:r>
        <w:rPr>
          <w:rFonts w:ascii="Times New Roman" w:cs="Times New Roman" w:eastAsia="Times New Roman" w:hAnsi="Times New Roman"/>
          <w:sz w:val="20"/>
          <w:szCs w:val="20"/>
          <w:color w:val="auto"/>
        </w:rPr>
        <w:t xml:space="preserve"> the Leave Period (to the extent applicable pursuant to </w:t>
      </w:r>
      <w:r>
        <w:rPr>
          <w:rFonts w:ascii="Times New Roman" w:cs="Times New Roman" w:eastAsia="Times New Roman" w:hAnsi="Times New Roman"/>
          <w:sz w:val="20"/>
          <w:szCs w:val="20"/>
          <w:u w:val="single" w:color="auto"/>
          <w:color w:val="auto"/>
        </w:rPr>
        <w:t>Section 2(c)(iv).</w:t>
      </w:r>
    </w:p>
    <w:p>
      <w:pPr>
        <w:spacing w:after="0" w:line="152" w:lineRule="exact"/>
        <w:rPr>
          <w:sz w:val="20"/>
          <w:szCs w:val="20"/>
          <w:color w:val="auto"/>
        </w:rPr>
      </w:pPr>
    </w:p>
    <w:p>
      <w:pPr>
        <w:ind w:left="8" w:right="480" w:firstLine="74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Fifth Holdback Release Date</w:t>
      </w:r>
      <w:r>
        <w:rPr>
          <w:rFonts w:ascii="Times New Roman" w:cs="Times New Roman" w:eastAsia="Times New Roman" w:hAnsi="Times New Roman"/>
          <w:sz w:val="20"/>
          <w:szCs w:val="20"/>
          <w:color w:val="auto"/>
        </w:rPr>
        <w:t xml:space="preserve">” shall mean December 31, 2024, </w:t>
      </w:r>
      <w:r>
        <w:rPr>
          <w:rFonts w:ascii="Times New Roman" w:cs="Times New Roman" w:eastAsia="Times New Roman" w:hAnsi="Times New Roman"/>
          <w:sz w:val="20"/>
          <w:szCs w:val="20"/>
          <w:b w:val="1"/>
          <w:bCs w:val="1"/>
          <w:i w:val="1"/>
          <w:iCs w:val="1"/>
          <w:color w:val="auto"/>
        </w:rPr>
        <w:t>plus</w:t>
      </w:r>
      <w:r>
        <w:rPr>
          <w:rFonts w:ascii="Times New Roman" w:cs="Times New Roman" w:eastAsia="Times New Roman" w:hAnsi="Times New Roman"/>
          <w:sz w:val="20"/>
          <w:szCs w:val="20"/>
          <w:color w:val="auto"/>
        </w:rPr>
        <w:t xml:space="preserve"> the Leave Period (to the extent applicable pursuant to </w:t>
      </w:r>
      <w:r>
        <w:rPr>
          <w:rFonts w:ascii="Times New Roman" w:cs="Times New Roman" w:eastAsia="Times New Roman" w:hAnsi="Times New Roman"/>
          <w:sz w:val="20"/>
          <w:szCs w:val="20"/>
          <w:u w:val="single" w:color="auto"/>
          <w:color w:val="auto"/>
        </w:rPr>
        <w:t>Section 2(c)(iv).</w:t>
      </w:r>
    </w:p>
    <w:p>
      <w:pPr>
        <w:spacing w:after="0" w:line="138" w:lineRule="exact"/>
        <w:rPr>
          <w:sz w:val="20"/>
          <w:szCs w:val="20"/>
          <w:color w:val="auto"/>
        </w:rPr>
      </w:pPr>
    </w:p>
    <w:p>
      <w:pPr>
        <w:ind w:left="8" w:right="400" w:firstLine="74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Final Holdback Release Date</w:t>
      </w:r>
      <w:r>
        <w:rPr>
          <w:rFonts w:ascii="Times New Roman" w:cs="Times New Roman" w:eastAsia="Times New Roman" w:hAnsi="Times New Roman"/>
          <w:sz w:val="20"/>
          <w:szCs w:val="20"/>
          <w:color w:val="auto"/>
        </w:rPr>
        <w:t xml:space="preserve">” shall mean September 30, 2025, </w:t>
      </w:r>
      <w:r>
        <w:rPr>
          <w:rFonts w:ascii="Times New Roman" w:cs="Times New Roman" w:eastAsia="Times New Roman" w:hAnsi="Times New Roman"/>
          <w:sz w:val="20"/>
          <w:szCs w:val="20"/>
          <w:b w:val="1"/>
          <w:bCs w:val="1"/>
          <w:i w:val="1"/>
          <w:iCs w:val="1"/>
          <w:color w:val="auto"/>
        </w:rPr>
        <w:t>plus</w:t>
      </w:r>
      <w:r>
        <w:rPr>
          <w:rFonts w:ascii="Times New Roman" w:cs="Times New Roman" w:eastAsia="Times New Roman" w:hAnsi="Times New Roman"/>
          <w:sz w:val="20"/>
          <w:szCs w:val="20"/>
          <w:color w:val="auto"/>
        </w:rPr>
        <w:t xml:space="preserve"> the Leave Period (to the extent applicable pursuant to </w:t>
      </w:r>
      <w:r>
        <w:rPr>
          <w:rFonts w:ascii="Times New Roman" w:cs="Times New Roman" w:eastAsia="Times New Roman" w:hAnsi="Times New Roman"/>
          <w:sz w:val="20"/>
          <w:szCs w:val="20"/>
          <w:u w:val="single" w:color="auto"/>
          <w:color w:val="auto"/>
        </w:rPr>
        <w:t>Section 2(c)(iv).</w:t>
      </w:r>
    </w:p>
    <w:p>
      <w:pPr>
        <w:spacing w:after="0" w:line="152" w:lineRule="exact"/>
        <w:rPr>
          <w:sz w:val="20"/>
          <w:szCs w:val="20"/>
          <w:color w:val="auto"/>
        </w:rPr>
      </w:pPr>
    </w:p>
    <w:p>
      <w:pPr>
        <w:ind w:left="8" w:right="28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Fourth Holdback Release Date</w:t>
      </w:r>
      <w:r>
        <w:rPr>
          <w:rFonts w:ascii="Times New Roman" w:cs="Times New Roman" w:eastAsia="Times New Roman" w:hAnsi="Times New Roman"/>
          <w:sz w:val="20"/>
          <w:szCs w:val="20"/>
          <w:color w:val="auto"/>
        </w:rPr>
        <w:t xml:space="preserve">” shall mean September 30, 2024, </w:t>
      </w:r>
      <w:r>
        <w:rPr>
          <w:rFonts w:ascii="Times New Roman" w:cs="Times New Roman" w:eastAsia="Times New Roman" w:hAnsi="Times New Roman"/>
          <w:sz w:val="20"/>
          <w:szCs w:val="20"/>
          <w:b w:val="1"/>
          <w:bCs w:val="1"/>
          <w:i w:val="1"/>
          <w:iCs w:val="1"/>
          <w:color w:val="auto"/>
        </w:rPr>
        <w:t>plus</w:t>
      </w:r>
      <w:r>
        <w:rPr>
          <w:rFonts w:ascii="Times New Roman" w:cs="Times New Roman" w:eastAsia="Times New Roman" w:hAnsi="Times New Roman"/>
          <w:sz w:val="20"/>
          <w:szCs w:val="20"/>
          <w:color w:val="auto"/>
        </w:rPr>
        <w:t xml:space="preserve"> the Leave Period (to the extent applicable pursuant to </w:t>
      </w:r>
      <w:r>
        <w:rPr>
          <w:rFonts w:ascii="Times New Roman" w:cs="Times New Roman" w:eastAsia="Times New Roman" w:hAnsi="Times New Roman"/>
          <w:sz w:val="20"/>
          <w:szCs w:val="20"/>
          <w:u w:val="single" w:color="auto"/>
          <w:color w:val="auto"/>
        </w:rPr>
        <w:t>Section 2(c)(iv).</w:t>
      </w:r>
    </w:p>
    <w:p>
      <w:pPr>
        <w:spacing w:after="0" w:line="152" w:lineRule="exact"/>
        <w:rPr>
          <w:sz w:val="20"/>
          <w:szCs w:val="20"/>
          <w:color w:val="auto"/>
        </w:rPr>
      </w:pPr>
    </w:p>
    <w:p>
      <w:pPr>
        <w:jc w:val="both"/>
        <w:ind w:left="8"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shall mean Beneficial Owner’s resignation within thirty (30) days following the expiration of any Parent cure period (discussed below) following the occurrence of one or more of the following, without Beneficial Owner’s express written consent:</w:t>
      </w:r>
    </w:p>
    <w:p>
      <w:pPr>
        <w:jc w:val="both"/>
        <w:ind w:left="8" w:hanging="8"/>
        <w:spacing w:after="0"/>
        <w:tabs>
          <w:tab w:leader="none" w:pos="289"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reduction in Beneficial Owner’s base salary, which the parties agree is a reduction of 10% or more of Beneficial Owner’s base salary (unless pursuant to an overall reduction program applicable generally to Parent’s similarly situated employees); (b) a material reduction in Beneficial Owner’s target bonus, which the parties agree is a reduction of 10% or more of Beneficial Owner’s target bonus (unless pursuant to an overall reduction program applicable generally to Parent’s similarly situated employees); (c) Parent’s or Parent’s Affiliates’ material breach of any material agreement between Parent or its Affiliates, on the one hand and the Beneficial Owner, on the other hand; or (d) a material change in the geographic location of Beneficial Owner’s primary work facility or location; provided, that a relocation of less than thirty (30) miles from Beneficial Owner’s then present location will not be considered a material change in geographic location. Beneficial Owner will not resign for Good Reason without first providing Parent or its Affiliate with written notice of the acts or omissions constituting the grounds for “Good Reason” within thirty (30) days of the initial existence of the grounds for “Good Reason” and a reasonable cure period of not less than thirty (30) days following the date of such notice if such act or omission is capable of cure, and such resignation shall not be considered to be for Good Reason if the grounds for Good Reason have been cured during such cure period.</w:t>
      </w:r>
    </w:p>
    <w:p>
      <w:pPr>
        <w:spacing w:after="0" w:line="184" w:lineRule="exact"/>
        <w:rPr>
          <w:sz w:val="20"/>
          <w:szCs w:val="20"/>
          <w:color w:val="auto"/>
        </w:rPr>
      </w:pPr>
    </w:p>
    <w:p>
      <w:pPr>
        <w:jc w:val="both"/>
        <w:ind w:left="8"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Holdback Release Date</w:t>
      </w:r>
      <w:r>
        <w:rPr>
          <w:rFonts w:ascii="Times New Roman" w:cs="Times New Roman" w:eastAsia="Times New Roman" w:hAnsi="Times New Roman"/>
          <w:sz w:val="20"/>
          <w:szCs w:val="20"/>
          <w:color w:val="auto"/>
        </w:rPr>
        <w:t>” shall mean, as applicable, (a) the First Holdback Release Date, (b) the Second Holdback Release Date, (c) the Third Holdback Release Date, (d) the Fourth Holdback Release Date, (e) the Fifth Holdback Release Date, (f) the Sixth Holdback Release Date, (g) the Seventh Holdback Release Date or (h) the Final Holdback Release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591185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8"/>
          </w:cols>
          <w:pgMar w:left="452" w:top="1395" w:right="459" w:bottom="1440" w:gutter="0" w:footer="0" w:header="0"/>
        </w:sectPr>
      </w:pPr>
    </w:p>
    <w:bookmarkStart w:id="177" w:name="page178"/>
    <w:bookmarkEnd w:id="177"/>
    <w:p>
      <w:pPr>
        <w:jc w:val="both"/>
        <w:ind w:lef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Leave Period</w:t>
      </w:r>
      <w:r>
        <w:rPr>
          <w:rFonts w:ascii="Times New Roman" w:cs="Times New Roman" w:eastAsia="Times New Roman" w:hAnsi="Times New Roman"/>
          <w:sz w:val="20"/>
          <w:szCs w:val="20"/>
          <w:color w:val="auto"/>
        </w:rPr>
        <w:t xml:space="preserve">” shall mean that number of days equal to: (a) the aggregate number of days of Approved Leave taken by the Beneficial Owner prior to the applicable Holdback Release Date,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sixty (60) days.</w:t>
      </w:r>
    </w:p>
    <w:p>
      <w:pPr>
        <w:spacing w:after="0" w:line="165" w:lineRule="exact"/>
        <w:rPr>
          <w:sz w:val="20"/>
          <w:szCs w:val="20"/>
          <w:color w:val="auto"/>
        </w:rPr>
      </w:pPr>
    </w:p>
    <w:p>
      <w:pPr>
        <w:jc w:val="both"/>
        <w:ind w:left="20"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Second Holdback Release Date</w:t>
      </w:r>
      <w:r>
        <w:rPr>
          <w:rFonts w:ascii="Times New Roman" w:cs="Times New Roman" w:eastAsia="Times New Roman" w:hAnsi="Times New Roman"/>
          <w:sz w:val="20"/>
          <w:szCs w:val="20"/>
          <w:color w:val="auto"/>
        </w:rPr>
        <w:t xml:space="preserve">” shall mean March 31, 2024, </w:t>
      </w:r>
      <w:r>
        <w:rPr>
          <w:rFonts w:ascii="Times New Roman" w:cs="Times New Roman" w:eastAsia="Times New Roman" w:hAnsi="Times New Roman"/>
          <w:sz w:val="20"/>
          <w:szCs w:val="20"/>
          <w:b w:val="1"/>
          <w:bCs w:val="1"/>
          <w:i w:val="1"/>
          <w:iCs w:val="1"/>
          <w:color w:val="auto"/>
        </w:rPr>
        <w:t>plus</w:t>
      </w:r>
      <w:r>
        <w:rPr>
          <w:rFonts w:ascii="Times New Roman" w:cs="Times New Roman" w:eastAsia="Times New Roman" w:hAnsi="Times New Roman"/>
          <w:sz w:val="20"/>
          <w:szCs w:val="20"/>
          <w:color w:val="auto"/>
        </w:rPr>
        <w:t xml:space="preserve"> the Leave Period (to the extent applicable pursuant to </w:t>
      </w:r>
      <w:r>
        <w:rPr>
          <w:rFonts w:ascii="Times New Roman" w:cs="Times New Roman" w:eastAsia="Times New Roman" w:hAnsi="Times New Roman"/>
          <w:sz w:val="20"/>
          <w:szCs w:val="20"/>
          <w:u w:val="single" w:color="auto"/>
          <w:color w:val="auto"/>
        </w:rPr>
        <w:t>Section 2(c)(iv).</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Seventh Holdback Release Date</w:t>
      </w:r>
      <w:r>
        <w:rPr>
          <w:rFonts w:ascii="Times New Roman" w:cs="Times New Roman" w:eastAsia="Times New Roman" w:hAnsi="Times New Roman"/>
          <w:sz w:val="19"/>
          <w:szCs w:val="19"/>
          <w:color w:val="auto"/>
        </w:rPr>
        <w:t xml:space="preserve">” shall mean June 30, 2025, </w:t>
      </w:r>
      <w:r>
        <w:rPr>
          <w:rFonts w:ascii="Times New Roman" w:cs="Times New Roman" w:eastAsia="Times New Roman" w:hAnsi="Times New Roman"/>
          <w:sz w:val="19"/>
          <w:szCs w:val="19"/>
          <w:b w:val="1"/>
          <w:bCs w:val="1"/>
          <w:i w:val="1"/>
          <w:iCs w:val="1"/>
          <w:color w:val="auto"/>
        </w:rPr>
        <w:t>plus</w:t>
      </w:r>
      <w:r>
        <w:rPr>
          <w:rFonts w:ascii="Times New Roman" w:cs="Times New Roman" w:eastAsia="Times New Roman" w:hAnsi="Times New Roman"/>
          <w:sz w:val="19"/>
          <w:szCs w:val="19"/>
          <w:color w:val="auto"/>
        </w:rPr>
        <w:t xml:space="preserve"> the Leave Period (to the extent applicable pursuant to </w:t>
      </w:r>
      <w:r>
        <w:rPr>
          <w:rFonts w:ascii="Times New Roman" w:cs="Times New Roman" w:eastAsia="Times New Roman" w:hAnsi="Times New Roman"/>
          <w:sz w:val="19"/>
          <w:szCs w:val="19"/>
          <w:u w:val="single" w:color="auto"/>
          <w:color w:val="auto"/>
        </w:rPr>
        <w:t>Section</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2(c)(iv).</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Sixth Holdback Release Date</w:t>
      </w:r>
      <w:r>
        <w:rPr>
          <w:rFonts w:ascii="Times New Roman" w:cs="Times New Roman" w:eastAsia="Times New Roman" w:hAnsi="Times New Roman"/>
          <w:sz w:val="20"/>
          <w:szCs w:val="20"/>
          <w:color w:val="auto"/>
        </w:rPr>
        <w:t xml:space="preserve">” shall mean March 31, 2025, </w:t>
      </w:r>
      <w:r>
        <w:rPr>
          <w:rFonts w:ascii="Times New Roman" w:cs="Times New Roman" w:eastAsia="Times New Roman" w:hAnsi="Times New Roman"/>
          <w:sz w:val="20"/>
          <w:szCs w:val="20"/>
          <w:b w:val="1"/>
          <w:bCs w:val="1"/>
          <w:i w:val="1"/>
          <w:iCs w:val="1"/>
          <w:color w:val="auto"/>
        </w:rPr>
        <w:t>plus</w:t>
      </w:r>
      <w:r>
        <w:rPr>
          <w:rFonts w:ascii="Times New Roman" w:cs="Times New Roman" w:eastAsia="Times New Roman" w:hAnsi="Times New Roman"/>
          <w:sz w:val="20"/>
          <w:szCs w:val="20"/>
          <w:color w:val="auto"/>
        </w:rPr>
        <w:t xml:space="preserve"> the Leave Period (to the extent applicable pursuant to </w:t>
      </w:r>
      <w:r>
        <w:rPr>
          <w:rFonts w:ascii="Times New Roman" w:cs="Times New Roman" w:eastAsia="Times New Roman" w:hAnsi="Times New Roman"/>
          <w:sz w:val="20"/>
          <w:szCs w:val="20"/>
          <w:u w:val="single" w:color="auto"/>
          <w:color w:val="auto"/>
        </w:rPr>
        <w:t>Section</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2(c)(iv).</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Third Holdback Release Date</w:t>
      </w:r>
      <w:r>
        <w:rPr>
          <w:rFonts w:ascii="Times New Roman" w:cs="Times New Roman" w:eastAsia="Times New Roman" w:hAnsi="Times New Roman"/>
          <w:sz w:val="20"/>
          <w:szCs w:val="20"/>
          <w:color w:val="auto"/>
        </w:rPr>
        <w:t xml:space="preserve">” shall mean June 30, 2024, </w:t>
      </w:r>
      <w:r>
        <w:rPr>
          <w:rFonts w:ascii="Times New Roman" w:cs="Times New Roman" w:eastAsia="Times New Roman" w:hAnsi="Times New Roman"/>
          <w:sz w:val="20"/>
          <w:szCs w:val="20"/>
          <w:b w:val="1"/>
          <w:bCs w:val="1"/>
          <w:i w:val="1"/>
          <w:iCs w:val="1"/>
          <w:color w:val="auto"/>
        </w:rPr>
        <w:t>plus</w:t>
      </w:r>
      <w:r>
        <w:rPr>
          <w:rFonts w:ascii="Times New Roman" w:cs="Times New Roman" w:eastAsia="Times New Roman" w:hAnsi="Times New Roman"/>
          <w:sz w:val="20"/>
          <w:szCs w:val="20"/>
          <w:color w:val="auto"/>
        </w:rPr>
        <w:t xml:space="preserve"> the Leave Period (to the extent applicable pursuant to </w:t>
      </w:r>
      <w:r>
        <w:rPr>
          <w:rFonts w:ascii="Times New Roman" w:cs="Times New Roman" w:eastAsia="Times New Roman" w:hAnsi="Times New Roman"/>
          <w:sz w:val="20"/>
          <w:szCs w:val="20"/>
          <w:u w:val="single" w:color="auto"/>
          <w:color w:val="auto"/>
        </w:rPr>
        <w:t>Section</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2(c)(iv).</w:t>
      </w:r>
    </w:p>
    <w:p>
      <w:pPr>
        <w:spacing w:after="0" w:line="203" w:lineRule="exact"/>
        <w:rPr>
          <w:sz w:val="20"/>
          <w:szCs w:val="20"/>
          <w:color w:val="auto"/>
        </w:rPr>
      </w:pPr>
    </w:p>
    <w:p>
      <w:pPr>
        <w:jc w:val="both"/>
        <w:ind w:lef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Termination Event</w:t>
      </w:r>
      <w:r>
        <w:rPr>
          <w:rFonts w:ascii="Times New Roman" w:cs="Times New Roman" w:eastAsia="Times New Roman" w:hAnsi="Times New Roman"/>
          <w:sz w:val="20"/>
          <w:szCs w:val="20"/>
          <w:color w:val="auto"/>
        </w:rPr>
        <w:t>” shall mean the Beneficial Owner’s employment with Parent or any of its Affiliates or subsidiaries is terminated before full payment of the Holdback Consideration either (i) by Parent (or its Affiliate or subsidiary, as applicable) without Cause or due to the Beneficial Owner’s death or Disability, or (ii) by the Beneficial Owner for Good Reason.</w:t>
      </w:r>
    </w:p>
    <w:p>
      <w:pPr>
        <w:spacing w:after="0" w:line="200" w:lineRule="exact"/>
        <w:rPr>
          <w:sz w:val="20"/>
          <w:szCs w:val="20"/>
          <w:color w:val="auto"/>
        </w:rPr>
      </w:pPr>
    </w:p>
    <w:p>
      <w:pPr>
        <w:ind w:left="1500" w:hanging="744"/>
        <w:spacing w:after="0"/>
        <w:tabs>
          <w:tab w:leader="none" w:pos="15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Holdback Consideration; Conditions for Payment</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2"/>
          <w:szCs w:val="22"/>
          <w:color w:val="auto"/>
        </w:rPr>
      </w:pPr>
    </w:p>
    <w:p>
      <w:pPr>
        <w:ind w:firstLine="1489"/>
        <w:spacing w:after="0" w:line="269" w:lineRule="auto"/>
        <w:tabs>
          <w:tab w:leader="none" w:pos="189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Holdback Consideration</w:t>
      </w:r>
      <w:r>
        <w:rPr>
          <w:rFonts w:ascii="Times New Roman" w:cs="Times New Roman" w:eastAsia="Times New Roman" w:hAnsi="Times New Roman"/>
          <w:sz w:val="20"/>
          <w:szCs w:val="20"/>
          <w:color w:val="auto"/>
        </w:rPr>
        <w:t xml:space="preserve">. The Holdback Stockholder agrees and acknowledges that the Holdback Consideration shall be subject to the terms and conditions set forth in this Agreement, including the forfeiture conditions set forth in </w:t>
      </w:r>
      <w:r>
        <w:rPr>
          <w:rFonts w:ascii="Times New Roman" w:cs="Times New Roman" w:eastAsia="Times New Roman" w:hAnsi="Times New Roman"/>
          <w:sz w:val="20"/>
          <w:szCs w:val="20"/>
          <w:u w:val="single" w:color="auto"/>
          <w:color w:val="auto"/>
        </w:rPr>
        <w:t>Section 2(c)(ii)</w:t>
      </w:r>
      <w:r>
        <w:rPr>
          <w:rFonts w:ascii="Times New Roman" w:cs="Times New Roman" w:eastAsia="Times New Roman" w:hAnsi="Times New Roman"/>
          <w:sz w:val="20"/>
          <w:szCs w:val="20"/>
          <w:color w:val="auto"/>
        </w:rPr>
        <w:t xml:space="preserve"> .</w:t>
      </w:r>
    </w:p>
    <w:p>
      <w:pPr>
        <w:spacing w:after="0" w:line="159" w:lineRule="exact"/>
        <w:rPr>
          <w:rFonts w:ascii="Times New Roman" w:cs="Times New Roman" w:eastAsia="Times New Roman" w:hAnsi="Times New Roman"/>
          <w:sz w:val="18"/>
          <w:szCs w:val="18"/>
          <w:color w:val="auto"/>
        </w:rPr>
      </w:pPr>
    </w:p>
    <w:p>
      <w:pPr>
        <w:ind w:firstLine="1489"/>
        <w:spacing w:after="0" w:line="269" w:lineRule="auto"/>
        <w:tabs>
          <w:tab w:leader="none" w:pos="189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2(c)</w:t>
      </w:r>
      <w:r>
        <w:rPr>
          <w:rFonts w:ascii="Times New Roman" w:cs="Times New Roman" w:eastAsia="Times New Roman" w:hAnsi="Times New Roman"/>
          <w:sz w:val="20"/>
          <w:szCs w:val="20"/>
          <w:color w:val="auto"/>
        </w:rPr>
        <w:t xml:space="preserve"> of this Agreement, so long as the Beneficial Owner remains employed by Parent or any of its Affiliates or subsidiaries, the Holdback Consideration shall be paid to the Holdback Stockholder as follows:</w:t>
      </w:r>
    </w:p>
    <w:p>
      <w:pPr>
        <w:spacing w:after="0" w:line="146" w:lineRule="exact"/>
        <w:rPr>
          <w:sz w:val="20"/>
          <w:szCs w:val="20"/>
          <w:color w:val="auto"/>
        </w:rPr>
      </w:pPr>
    </w:p>
    <w:p>
      <w:pPr>
        <w:ind w:right="20" w:firstLine="2222"/>
        <w:spacing w:after="0" w:line="295"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9"/>
          <w:szCs w:val="19"/>
          <w:color w:val="auto"/>
        </w:rPr>
        <w:t>as promptly as practicable following the First Holdback Release Date, but in no event more than ten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Business Days thereafter, twelve and one half percent (12.5%) of the Holdback Consideration shall be paid to the Holdback Stockholder;</w:t>
      </w:r>
    </w:p>
    <w:p>
      <w:pPr>
        <w:spacing w:after="0" w:line="138" w:lineRule="exact"/>
        <w:rPr>
          <w:sz w:val="20"/>
          <w:szCs w:val="20"/>
          <w:color w:val="auto"/>
        </w:rPr>
      </w:pPr>
    </w:p>
    <w:p>
      <w:pPr>
        <w:ind w:firstLine="2222"/>
        <w:spacing w:after="0" w:line="295" w:lineRule="auto"/>
        <w:rPr>
          <w:sz w:val="20"/>
          <w:szCs w:val="20"/>
          <w:color w:val="auto"/>
        </w:rPr>
      </w:pPr>
      <w:r>
        <w:rPr>
          <w:rFonts w:ascii="Times New Roman" w:cs="Times New Roman" w:eastAsia="Times New Roman" w:hAnsi="Times New Roman"/>
          <w:sz w:val="18"/>
          <w:szCs w:val="18"/>
          <w:color w:val="auto"/>
        </w:rPr>
        <w:t>(ii)</w:t>
      </w:r>
      <w:r>
        <w:rPr>
          <w:rFonts w:ascii="Times New Roman" w:cs="Times New Roman" w:eastAsia="Times New Roman" w:hAnsi="Times New Roman"/>
          <w:sz w:val="19"/>
          <w:szCs w:val="19"/>
          <w:color w:val="auto"/>
        </w:rPr>
        <w:t>as promptly as practicable following the Second Holdback Release Date, but in no event more than ten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Business Days thereafter, twelve and one half percent (12.5%) of the Holdback Consideration shall be paid to the Holdback Stockholder;</w:t>
      </w:r>
    </w:p>
    <w:p>
      <w:pPr>
        <w:spacing w:after="0" w:line="138" w:lineRule="exact"/>
        <w:rPr>
          <w:sz w:val="20"/>
          <w:szCs w:val="20"/>
          <w:color w:val="auto"/>
        </w:rPr>
      </w:pPr>
    </w:p>
    <w:p>
      <w:pPr>
        <w:ind w:firstLine="2222"/>
        <w:spacing w:after="0" w:line="295" w:lineRule="auto"/>
        <w:rPr>
          <w:sz w:val="20"/>
          <w:szCs w:val="20"/>
          <w:color w:val="auto"/>
        </w:rPr>
      </w:pPr>
      <w:r>
        <w:rPr>
          <w:rFonts w:ascii="Times New Roman" w:cs="Times New Roman" w:eastAsia="Times New Roman" w:hAnsi="Times New Roman"/>
          <w:sz w:val="18"/>
          <w:szCs w:val="18"/>
          <w:color w:val="auto"/>
        </w:rPr>
        <w:t>(iii)</w:t>
      </w:r>
      <w:r>
        <w:rPr>
          <w:rFonts w:ascii="Times New Roman" w:cs="Times New Roman" w:eastAsia="Times New Roman" w:hAnsi="Times New Roman"/>
          <w:sz w:val="19"/>
          <w:szCs w:val="19"/>
          <w:color w:val="auto"/>
        </w:rPr>
        <w:t>as promptly as practicable following the Third Holdback Release Date, but in no event more than ten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Business Days thereafter, twelve and one half percent (12.5%) of the Holdback Consideration shall be paid to the Holdback Stockholder;</w:t>
      </w:r>
    </w:p>
    <w:p>
      <w:pPr>
        <w:spacing w:after="0" w:line="138" w:lineRule="exact"/>
        <w:rPr>
          <w:sz w:val="20"/>
          <w:szCs w:val="20"/>
          <w:color w:val="auto"/>
        </w:rPr>
      </w:pPr>
    </w:p>
    <w:p>
      <w:pPr>
        <w:ind w:firstLine="2222"/>
        <w:spacing w:after="0" w:line="295" w:lineRule="auto"/>
        <w:rPr>
          <w:sz w:val="20"/>
          <w:szCs w:val="20"/>
          <w:color w:val="auto"/>
        </w:rPr>
      </w:pPr>
      <w:r>
        <w:rPr>
          <w:rFonts w:ascii="Times New Roman" w:cs="Times New Roman" w:eastAsia="Times New Roman" w:hAnsi="Times New Roman"/>
          <w:sz w:val="18"/>
          <w:szCs w:val="18"/>
          <w:color w:val="auto"/>
        </w:rPr>
        <w:t>(iv)</w:t>
      </w:r>
      <w:r>
        <w:rPr>
          <w:rFonts w:ascii="Times New Roman" w:cs="Times New Roman" w:eastAsia="Times New Roman" w:hAnsi="Times New Roman"/>
          <w:sz w:val="19"/>
          <w:szCs w:val="19"/>
          <w:color w:val="auto"/>
        </w:rPr>
        <w:t>as promptly as practicable following the Fourth Holdback Release Date, but in no event more than ten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Business Days thereafter, twelve and one half percent (12.5%) of the Holdback Consideration shall be paid to the Holdback Stockholder;</w:t>
      </w:r>
    </w:p>
    <w:p>
      <w:pPr>
        <w:spacing w:after="0" w:line="124" w:lineRule="exact"/>
        <w:rPr>
          <w:sz w:val="20"/>
          <w:szCs w:val="20"/>
          <w:color w:val="auto"/>
        </w:rPr>
      </w:pPr>
    </w:p>
    <w:p>
      <w:pPr>
        <w:ind w:right="20" w:firstLine="2222"/>
        <w:spacing w:after="0" w:line="295" w:lineRule="auto"/>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9"/>
          <w:szCs w:val="19"/>
          <w:color w:val="auto"/>
        </w:rPr>
        <w:t>as promptly as practicable following the Fifth Holdback Release Date, but in no event more than ten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Business Days thereafter, twelve and one half percent (12.5%) of the Holdback Consideration shall be paid to the Holdback Stockholder;</w:t>
      </w:r>
    </w:p>
    <w:p>
      <w:pPr>
        <w:spacing w:after="0" w:line="3" w:lineRule="exact"/>
        <w:rPr>
          <w:sz w:val="20"/>
          <w:szCs w:val="20"/>
          <w:color w:val="auto"/>
        </w:rPr>
      </w:pPr>
    </w:p>
    <w:p>
      <w:pPr>
        <w:ind w:right="20" w:firstLine="2222"/>
        <w:spacing w:after="0" w:line="295" w:lineRule="auto"/>
        <w:rPr>
          <w:sz w:val="20"/>
          <w:szCs w:val="20"/>
          <w:color w:val="auto"/>
        </w:rPr>
      </w:pPr>
      <w:r>
        <w:rPr>
          <w:rFonts w:ascii="Times New Roman" w:cs="Times New Roman" w:eastAsia="Times New Roman" w:hAnsi="Times New Roman"/>
          <w:sz w:val="18"/>
          <w:szCs w:val="18"/>
          <w:color w:val="auto"/>
        </w:rPr>
        <w:t>(vi)</w:t>
      </w:r>
      <w:r>
        <w:rPr>
          <w:rFonts w:ascii="Times New Roman" w:cs="Times New Roman" w:eastAsia="Times New Roman" w:hAnsi="Times New Roman"/>
          <w:sz w:val="19"/>
          <w:szCs w:val="19"/>
          <w:color w:val="auto"/>
        </w:rPr>
        <w:t>as promptly as practicable following the Sixth Holdback Release Date, but in no event more than ten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Business Days thereafter, twelve and one half percent (12.5%)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569595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9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0"/>
          <w:szCs w:val="20"/>
          <w:color w:val="auto"/>
        </w:rPr>
        <w:t>Holdback Consideration shall be paid to the Holdback Stockholder;</w:t>
      </w:r>
    </w:p>
    <w:p>
      <w:pPr>
        <w:spacing w:after="0" w:line="20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(vii)</w:t>
      </w:r>
      <w:r>
        <w:rPr>
          <w:rFonts w:ascii="Times New Roman" w:cs="Times New Roman" w:eastAsia="Times New Roman" w:hAnsi="Times New Roman"/>
          <w:sz w:val="19"/>
          <w:szCs w:val="19"/>
          <w:color w:val="auto"/>
        </w:rPr>
        <w:t>as promptly as practicable following the Seventh Holdback Release Date, but in no event more than ten</w:t>
      </w:r>
    </w:p>
    <w:p>
      <w:pPr>
        <w:spacing w:after="0" w:line="33" w:lineRule="exact"/>
        <w:rPr>
          <w:sz w:val="20"/>
          <w:szCs w:val="20"/>
          <w:color w:val="auto"/>
        </w:rPr>
      </w:pPr>
    </w:p>
    <w:p>
      <w:pPr>
        <w:ind w:right="20" w:firstLine="8"/>
        <w:spacing w:after="0" w:line="246" w:lineRule="auto"/>
        <w:tabs>
          <w:tab w:leader="none" w:pos="42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thereafter, twelve and one half percent (12.5%) of the Holdback Consideration shall be paid to the Holdback Stockholder; and</w:t>
      </w:r>
    </w:p>
    <w:p>
      <w:pPr>
        <w:spacing w:after="0" w:line="182" w:lineRule="exact"/>
        <w:rPr>
          <w:sz w:val="20"/>
          <w:szCs w:val="20"/>
          <w:color w:val="auto"/>
        </w:rPr>
      </w:pPr>
    </w:p>
    <w:p>
      <w:pPr>
        <w:ind w:firstLine="2222"/>
        <w:spacing w:after="0" w:line="295" w:lineRule="auto"/>
        <w:rPr>
          <w:sz w:val="20"/>
          <w:szCs w:val="20"/>
          <w:color w:val="auto"/>
        </w:rPr>
      </w:pPr>
      <w:r>
        <w:rPr>
          <w:rFonts w:ascii="Times New Roman" w:cs="Times New Roman" w:eastAsia="Times New Roman" w:hAnsi="Times New Roman"/>
          <w:sz w:val="18"/>
          <w:szCs w:val="18"/>
          <w:color w:val="auto"/>
        </w:rPr>
        <w:t>(viii)</w:t>
      </w:r>
      <w:r>
        <w:rPr>
          <w:rFonts w:ascii="Times New Roman" w:cs="Times New Roman" w:eastAsia="Times New Roman" w:hAnsi="Times New Roman"/>
          <w:sz w:val="19"/>
          <w:szCs w:val="19"/>
          <w:color w:val="auto"/>
        </w:rPr>
        <w:t>as promptly as practicable following the Final Holdback Release Date, but in no event more than ten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Business Days thereafter, twelve and one half percent (12.5%) of the Holdback Consideration shall be paid to the Holdback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569595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13" w:right="459" w:bottom="1440" w:gutter="0" w:footer="0" w:header="0"/>
        </w:sectPr>
      </w:pPr>
    </w:p>
    <w:bookmarkStart w:id="179" w:name="page180"/>
    <w:bookmarkEnd w:id="179"/>
    <w:p>
      <w:pPr>
        <w:spacing w:after="0" w:line="108" w:lineRule="exact"/>
        <w:rPr>
          <w:sz w:val="20"/>
          <w:szCs w:val="20"/>
          <w:color w:val="auto"/>
        </w:rPr>
      </w:pPr>
    </w:p>
    <w:p>
      <w:pPr>
        <w:ind w:left="20" w:hanging="1"/>
        <w:spacing w:after="0" w:line="269" w:lineRule="auto"/>
        <w:rPr>
          <w:sz w:val="20"/>
          <w:szCs w:val="20"/>
          <w:color w:val="auto"/>
        </w:rPr>
      </w:pPr>
      <w:r>
        <w:rPr>
          <w:rFonts w:ascii="Times New Roman" w:cs="Times New Roman" w:eastAsia="Times New Roman" w:hAnsi="Times New Roman"/>
          <w:sz w:val="20"/>
          <w:szCs w:val="20"/>
          <w:color w:val="auto"/>
        </w:rPr>
        <w:t xml:space="preserve">For the avoidance of doubt, for purposes of this </w:t>
      </w:r>
      <w:r>
        <w:rPr>
          <w:rFonts w:ascii="Times New Roman" w:cs="Times New Roman" w:eastAsia="Times New Roman" w:hAnsi="Times New Roman"/>
          <w:sz w:val="20"/>
          <w:szCs w:val="20"/>
          <w:u w:val="single" w:color="auto"/>
          <w:color w:val="auto"/>
        </w:rPr>
        <w:t>Section 2(b)</w:t>
      </w:r>
      <w:r>
        <w:rPr>
          <w:rFonts w:ascii="Times New Roman" w:cs="Times New Roman" w:eastAsia="Times New Roman" w:hAnsi="Times New Roman"/>
          <w:sz w:val="20"/>
          <w:szCs w:val="20"/>
          <w:color w:val="auto"/>
        </w:rPr>
        <w:t>, the Beneficial Owner shall be deemed to be employed by Parent or any of its Affiliates or subsidiaries during the period of any Approved Leave (as defined below).</w:t>
      </w:r>
    </w:p>
    <w:p>
      <w:pPr>
        <w:spacing w:after="0" w:line="146" w:lineRule="exact"/>
        <w:rPr>
          <w:sz w:val="20"/>
          <w:szCs w:val="20"/>
          <w:color w:val="auto"/>
        </w:rPr>
      </w:pPr>
    </w:p>
    <w:p>
      <w:pPr>
        <w:ind w:left="2260" w:hanging="755"/>
        <w:spacing w:after="0"/>
        <w:tabs>
          <w:tab w:leader="none" w:pos="22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Termination of Employment or Service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2222"/>
        <w:spacing w:after="0" w:line="274"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9"/>
          <w:szCs w:val="19"/>
          <w:color w:val="auto"/>
        </w:rPr>
        <w:t>In the event of a Termination Event before the Final Holdback Release Date, Parent shall pay, or cause to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paid, the unpaid portion of the Holdback Consideration to the Holdback Stockholder as promptly as practicable following the date of the Termination Event, but in no event more than ten (10) Business Days thereafter.</w:t>
      </w:r>
    </w:p>
    <w:p>
      <w:pPr>
        <w:spacing w:after="0" w:line="156" w:lineRule="exact"/>
        <w:rPr>
          <w:sz w:val="20"/>
          <w:szCs w:val="20"/>
          <w:color w:val="auto"/>
        </w:rPr>
      </w:pPr>
    </w:p>
    <w:p>
      <w:pPr>
        <w:jc w:val="both"/>
        <w:ind w:firstLine="2222"/>
        <w:spacing w:after="0" w:line="263" w:lineRule="auto"/>
        <w:rPr>
          <w:sz w:val="20"/>
          <w:szCs w:val="20"/>
          <w:color w:val="auto"/>
        </w:rPr>
      </w:pPr>
      <w:r>
        <w:rPr>
          <w:rFonts w:ascii="Times New Roman" w:cs="Times New Roman" w:eastAsia="Times New Roman" w:hAnsi="Times New Roman"/>
          <w:sz w:val="18"/>
          <w:szCs w:val="18"/>
          <w:color w:val="auto"/>
        </w:rPr>
        <w:t>(ii)</w:t>
      </w:r>
      <w:r>
        <w:rPr>
          <w:rFonts w:ascii="Times New Roman" w:cs="Times New Roman" w:eastAsia="Times New Roman" w:hAnsi="Times New Roman"/>
          <w:sz w:val="19"/>
          <w:szCs w:val="19"/>
          <w:color w:val="auto"/>
        </w:rPr>
        <w:t>In the event that the Beneficial Owner’s employment or service with Parent or any of its Affiliates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subsidiaries terminates before the Final Holdback Release Date for any reason other than a Termination Event, the Holdback Stockholder shall forfeit all of the Holdback Consideration that has not previously become due and payable pursuant to the terms of this Agreement, effective as of such termination date, and without any further action by or on behalf of the Holdback Stockholder, Beneficial Owner, Parent or any other Person.</w:t>
      </w:r>
    </w:p>
    <w:p>
      <w:pPr>
        <w:spacing w:after="0" w:line="166" w:lineRule="exact"/>
        <w:rPr>
          <w:sz w:val="20"/>
          <w:szCs w:val="20"/>
          <w:color w:val="auto"/>
        </w:rPr>
      </w:pPr>
    </w:p>
    <w:p>
      <w:pPr>
        <w:jc w:val="both"/>
        <w:ind w:firstLine="2222"/>
        <w:spacing w:after="0" w:line="263" w:lineRule="auto"/>
        <w:rPr>
          <w:sz w:val="20"/>
          <w:szCs w:val="20"/>
          <w:color w:val="auto"/>
        </w:rPr>
      </w:pPr>
      <w:r>
        <w:rPr>
          <w:rFonts w:ascii="Times New Roman" w:cs="Times New Roman" w:eastAsia="Times New Roman" w:hAnsi="Times New Roman"/>
          <w:sz w:val="18"/>
          <w:szCs w:val="18"/>
          <w:color w:val="auto"/>
        </w:rPr>
        <w:t>(iii)</w:t>
      </w:r>
      <w:r>
        <w:rPr>
          <w:rFonts w:ascii="Times New Roman" w:cs="Times New Roman" w:eastAsia="Times New Roman" w:hAnsi="Times New Roman"/>
          <w:sz w:val="19"/>
          <w:szCs w:val="19"/>
          <w:color w:val="auto"/>
        </w:rPr>
        <w:t>For purposes of this Agreement, subject to the other terms of this Agreement, the transfer of the 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Owner’s employment with Parent or any of its Affiliates or subsidiaries to employment with a different Affiliate or subsidiary of Parent, or, in the case of transfer of the Beneficial Owner’s employment with an Affiliate or subsidiary of Parent to employment with Parent, or a change in status of Beneficial Owner from an employee to a consultant of Parent or any of its Affiliates will not be deemed a termination of employment or service hereunder.</w:t>
      </w:r>
    </w:p>
    <w:p>
      <w:pPr>
        <w:spacing w:after="0" w:line="153" w:lineRule="exact"/>
        <w:rPr>
          <w:sz w:val="20"/>
          <w:szCs w:val="20"/>
          <w:color w:val="auto"/>
        </w:rPr>
      </w:pPr>
    </w:p>
    <w:p>
      <w:pPr>
        <w:jc w:val="both"/>
        <w:ind w:firstLine="2222"/>
        <w:spacing w:after="0" w:line="256" w:lineRule="auto"/>
        <w:rPr>
          <w:sz w:val="20"/>
          <w:szCs w:val="20"/>
          <w:color w:val="auto"/>
        </w:rPr>
      </w:pPr>
      <w:r>
        <w:rPr>
          <w:rFonts w:ascii="Times New Roman" w:cs="Times New Roman" w:eastAsia="Times New Roman" w:hAnsi="Times New Roman"/>
          <w:sz w:val="18"/>
          <w:szCs w:val="18"/>
          <w:color w:val="auto"/>
        </w:rPr>
        <w:t>(iv)</w:t>
      </w:r>
      <w:r>
        <w:rPr>
          <w:rFonts w:ascii="Times New Roman" w:cs="Times New Roman" w:eastAsia="Times New Roman" w:hAnsi="Times New Roman"/>
          <w:sz w:val="19"/>
          <w:szCs w:val="19"/>
          <w:color w:val="auto"/>
        </w:rPr>
        <w:t>For purposes of this Agreement, the Beneficial Owner’s employment or service with Parent or any of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Affiliates or subsidiaries shall not be deemed to terminate when the Beneficial Owner is on an approved (as determined in accordance with the standard approval policies of Parent or its Affiliate or subsidiary, as applicable) leave of absence for military service or sickness (whether or not such sickness is a Disability), or for any other purpose approved by Parent (or its Affiliate or subsidiary, as applicable) or if the Beneficial Owner’s right to reemployment is guaranteed by statute or other applicable Law (any of the foregoing, an “</w:t>
      </w:r>
      <w:r>
        <w:rPr>
          <w:rFonts w:ascii="Times New Roman" w:cs="Times New Roman" w:eastAsia="Times New Roman" w:hAnsi="Times New Roman"/>
          <w:sz w:val="19"/>
          <w:szCs w:val="19"/>
          <w:b w:val="1"/>
          <w:bCs w:val="1"/>
          <w:i w:val="1"/>
          <w:iCs w:val="1"/>
          <w:color w:val="auto"/>
        </w:rPr>
        <w:t>Approved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Leave</w:t>
      </w:r>
      <w:r>
        <w:rPr>
          <w:rFonts w:ascii="Times New Roman" w:cs="Times New Roman" w:eastAsia="Times New Roman" w:hAnsi="Times New Roman"/>
          <w:sz w:val="19"/>
          <w:szCs w:val="19"/>
          <w:color w:val="auto"/>
        </w:rPr>
        <w:t>”). Unless Parent (or its Affiliate or subsidiary, as applicable) provides otherwise, if the Beneficial Owner takes one or more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Approved Leaves that exceed sixty (60) days in the aggregate, the Leave Period shall not count toward the vesting of the unpaid Holdback Consideration and the applicable Holdback Release Date shall be extended by the Leave Period. Unless Parent (or its Affiliate or subsidiary, as applicable) provides otherwise, the Beneficial Owner’s employment terminates in any event when the Approved Leave or other guaranteed absence ends unless the Beneficial Owner returns to active employee work as soon as practicable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596265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80" w:name="page181"/>
    <w:bookmarkEnd w:id="180"/>
    <w:p>
      <w:pPr>
        <w:ind w:left="740"/>
        <w:spacing w:after="0"/>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The Holdback Stockholder hereby represents and warrants, the following:</w:t>
      </w:r>
    </w:p>
    <w:p>
      <w:pPr>
        <w:spacing w:after="0" w:line="211" w:lineRule="exact"/>
        <w:rPr>
          <w:sz w:val="20"/>
          <w:szCs w:val="20"/>
          <w:color w:val="auto"/>
        </w:rPr>
      </w:pPr>
    </w:p>
    <w:p>
      <w:pPr>
        <w:ind w:left="2260" w:hanging="755"/>
        <w:spacing w:after="0"/>
        <w:tabs>
          <w:tab w:leader="none" w:pos="22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Authorization</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2222"/>
        <w:spacing w:after="0" w:line="266"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9"/>
          <w:szCs w:val="19"/>
          <w:color w:val="auto"/>
        </w:rPr>
        <w:t>The Holdback Stockholder has all requisite power and authority to execute and deliver this Agreement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to carry out and perform Holdback Stockholder’s obligations under this Agreement. All actions on the part of the Holdback Stockholder necessary for the authorization, execution, delivery and performance of this Agreement, and the performance of all of Holdback Stockholder’s obligations under this Agreement, has been taken or will be taken prior to the Closing.</w:t>
      </w:r>
    </w:p>
    <w:p>
      <w:pPr>
        <w:spacing w:after="0" w:line="165" w:lineRule="exact"/>
        <w:rPr>
          <w:sz w:val="20"/>
          <w:szCs w:val="20"/>
          <w:color w:val="auto"/>
        </w:rPr>
      </w:pPr>
    </w:p>
    <w:p>
      <w:pPr>
        <w:jc w:val="both"/>
        <w:ind w:firstLine="2222"/>
        <w:spacing w:after="0" w:line="270" w:lineRule="auto"/>
        <w:rPr>
          <w:sz w:val="20"/>
          <w:szCs w:val="20"/>
          <w:color w:val="auto"/>
        </w:rPr>
      </w:pPr>
      <w:r>
        <w:rPr>
          <w:rFonts w:ascii="Times New Roman" w:cs="Times New Roman" w:eastAsia="Times New Roman" w:hAnsi="Times New Roman"/>
          <w:sz w:val="18"/>
          <w:szCs w:val="18"/>
          <w:color w:val="auto"/>
        </w:rPr>
        <w:t>(ii)</w:t>
      </w:r>
      <w:r>
        <w:rPr>
          <w:rFonts w:ascii="Times New Roman" w:cs="Times New Roman" w:eastAsia="Times New Roman" w:hAnsi="Times New Roman"/>
          <w:sz w:val="19"/>
          <w:szCs w:val="19"/>
          <w:color w:val="auto"/>
        </w:rPr>
        <w:t>This Agreement, when executed and delivered by the Holdback Stockholder, will constitute a valid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legally binding obligation of the Holdback Stockholder, enforceable in accordance with its terms, subject to any applicable bankruptcy, insolvency, reorganization, moratorium or similar Laws now or hereafter in effect relating to creditors’ rights generally or to general principles of equity.</w:t>
      </w:r>
    </w:p>
    <w:p>
      <w:pPr>
        <w:spacing w:after="0" w:line="397" w:lineRule="exact"/>
        <w:rPr>
          <w:sz w:val="20"/>
          <w:szCs w:val="20"/>
          <w:color w:val="auto"/>
        </w:rPr>
      </w:pPr>
    </w:p>
    <w:p>
      <w:pPr>
        <w:jc w:val="both"/>
        <w:ind w:firstLine="2222"/>
        <w:spacing w:after="0" w:line="274" w:lineRule="auto"/>
        <w:rPr>
          <w:sz w:val="20"/>
          <w:szCs w:val="20"/>
          <w:color w:val="auto"/>
        </w:rPr>
      </w:pPr>
      <w:r>
        <w:rPr>
          <w:rFonts w:ascii="Times New Roman" w:cs="Times New Roman" w:eastAsia="Times New Roman" w:hAnsi="Times New Roman"/>
          <w:sz w:val="18"/>
          <w:szCs w:val="18"/>
          <w:color w:val="auto"/>
        </w:rPr>
        <w:t>(iii)</w:t>
      </w:r>
      <w:r>
        <w:rPr>
          <w:rFonts w:ascii="Times New Roman" w:cs="Times New Roman" w:eastAsia="Times New Roman" w:hAnsi="Times New Roman"/>
          <w:sz w:val="19"/>
          <w:szCs w:val="19"/>
          <w:color w:val="auto"/>
        </w:rPr>
        <w:t>No consent, approval, authorization, order, filing, registration or qualification of or with any Governmental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Body or third Person is required to be obtained by the Holdback Stockholder in connection with the execution and delivery of this Agreement by the Holdback Stockholder or the performance of the Holdback Stockholder’s obligations hereunder.</w:t>
      </w:r>
    </w:p>
    <w:p>
      <w:pPr>
        <w:spacing w:after="0" w:line="143" w:lineRule="exact"/>
        <w:rPr>
          <w:sz w:val="20"/>
          <w:szCs w:val="20"/>
          <w:color w:val="auto"/>
        </w:rPr>
      </w:pPr>
    </w:p>
    <w:p>
      <w:pPr>
        <w:jc w:val="both"/>
        <w:ind w:firstLine="1489"/>
        <w:spacing w:after="0" w:line="246" w:lineRule="auto"/>
        <w:tabs>
          <w:tab w:leader="none" w:pos="189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Tax Acknowledgements</w:t>
      </w:r>
      <w:r>
        <w:rPr>
          <w:rFonts w:ascii="Times New Roman" w:cs="Times New Roman" w:eastAsia="Times New Roman" w:hAnsi="Times New Roman"/>
          <w:sz w:val="20"/>
          <w:szCs w:val="20"/>
          <w:color w:val="auto"/>
        </w:rPr>
        <w:t>. Holdback Stockholder has had an opportunity to consult with Holdback Stockholder’s own tax advisors. Holdback Stockholder is relying solely on Holdback Stockholder’s own tax advisors and not on any statements or representations of Parent, Merger Sub, the Company, or any of their respective agents or representatives. Holdback Stockholder understands that Holdback Stockholder (and not Parent, Merger Sub, the Company, or any of their agents or representatives) shall be responsible for any tax liability of Holdback Stockholder that may arise as a result of the transactions contemplated by this Agreement.</w:t>
      </w:r>
    </w:p>
    <w:p>
      <w:pPr>
        <w:spacing w:after="0" w:line="180" w:lineRule="exact"/>
        <w:rPr>
          <w:sz w:val="20"/>
          <w:szCs w:val="20"/>
          <w:color w:val="auto"/>
        </w:rPr>
      </w:pPr>
    </w:p>
    <w:p>
      <w:pPr>
        <w:ind w:firstLine="741"/>
        <w:spacing w:after="0" w:line="254" w:lineRule="auto"/>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Any notice or other communication required or permitted to be delivered to any Party under this Agreement shall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 writing and shall be deemed properly delivered, given and received</w:t>
      </w:r>
    </w:p>
    <w:p>
      <w:pPr>
        <w:jc w:val="both"/>
        <w:ind w:left="20" w:hanging="8"/>
        <w:spacing w:after="0" w:line="241" w:lineRule="auto"/>
        <w:tabs>
          <w:tab w:leader="none" w:pos="313"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receipt when delivered by hand, (b) upon transmission, if sent by electronic transmission (with receipt verified by electronic confirmation), or (c) one Business Day after being sent by courier or express delivery service,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the notice or other communication is sent to the address or set forth beneath the name of such party below (or to such other address as such party shall have specified in a written notice given to the other parties hereto):</w:t>
      </w:r>
    </w:p>
    <w:p>
      <w:pPr>
        <w:spacing w:after="0" w:line="201"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to Parent, to:</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Analytical Wizards, Inc. 492 Old Connecticut</w:t>
      </w:r>
    </w:p>
    <w:p>
      <w:pPr>
        <w:spacing w:after="0" w:line="2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Path Suite 401</w:t>
      </w:r>
    </w:p>
    <w:p>
      <w:pPr>
        <w:ind w:left="3000"/>
        <w:spacing w:after="0"/>
        <w:rPr>
          <w:sz w:val="20"/>
          <w:szCs w:val="20"/>
          <w:color w:val="auto"/>
        </w:rPr>
      </w:pPr>
      <w:r>
        <w:rPr>
          <w:rFonts w:ascii="Times New Roman" w:cs="Times New Roman" w:eastAsia="Times New Roman" w:hAnsi="Times New Roman"/>
          <w:sz w:val="20"/>
          <w:szCs w:val="20"/>
          <w:color w:val="auto"/>
        </w:rPr>
        <w:t>Framingham, MA 01701 Attention: Matthew</w:t>
      </w:r>
    </w:p>
    <w:p>
      <w:pPr>
        <w:ind w:left="3000"/>
        <w:spacing w:after="0"/>
        <w:rPr>
          <w:sz w:val="20"/>
          <w:szCs w:val="20"/>
          <w:color w:val="auto"/>
        </w:rPr>
      </w:pPr>
      <w:r>
        <w:rPr>
          <w:rFonts w:ascii="Times New Roman" w:cs="Times New Roman" w:eastAsia="Times New Roman" w:hAnsi="Times New Roman"/>
          <w:sz w:val="20"/>
          <w:szCs w:val="20"/>
          <w:color w:val="auto"/>
        </w:rPr>
        <w:t>Ruderman</w:t>
      </w:r>
    </w:p>
    <w:p>
      <w:pPr>
        <w:ind w:left="3000"/>
        <w:spacing w:after="0"/>
        <w:rPr>
          <w:sz w:val="20"/>
          <w:szCs w:val="20"/>
          <w:color w:val="auto"/>
        </w:rPr>
      </w:pPr>
      <w:r>
        <w:rPr>
          <w:rFonts w:ascii="Times New Roman" w:cs="Times New Roman" w:eastAsia="Times New Roman" w:hAnsi="Times New Roman"/>
          <w:sz w:val="20"/>
          <w:szCs w:val="20"/>
          <w:color w:val="auto"/>
        </w:rPr>
        <w:t>Email: AskLegal@definitivehc.com</w:t>
      </w:r>
    </w:p>
    <w:p>
      <w:pPr>
        <w:spacing w:after="0" w:line="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with a copy to (which shall not constitute notice): Cooley LLP</w:t>
      </w:r>
    </w:p>
    <w:p>
      <w:pPr>
        <w:spacing w:after="0" w:line="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500 Boylston Street, 14th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604520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08" w:right="459" w:bottom="1440" w:gutter="0" w:footer="0" w:header="0"/>
        </w:sectPr>
      </w:pPr>
    </w:p>
    <w:bookmarkStart w:id="181" w:name="page182"/>
    <w:bookmarkEnd w:id="181"/>
    <w:p>
      <w:pPr>
        <w:ind w:left="2244"/>
        <w:spacing w:after="0"/>
        <w:rPr>
          <w:sz w:val="20"/>
          <w:szCs w:val="20"/>
          <w:color w:val="auto"/>
        </w:rPr>
      </w:pPr>
      <w:r>
        <w:rPr>
          <w:rFonts w:ascii="Times New Roman" w:cs="Times New Roman" w:eastAsia="Times New Roman" w:hAnsi="Times New Roman"/>
          <w:sz w:val="20"/>
          <w:szCs w:val="20"/>
          <w:color w:val="auto"/>
        </w:rPr>
        <w:t>Boston, MA 02116</w:t>
      </w:r>
    </w:p>
    <w:p>
      <w:pPr>
        <w:spacing w:after="0" w:line="256" w:lineRule="exact"/>
        <w:rPr>
          <w:sz w:val="20"/>
          <w:szCs w:val="20"/>
          <w:color w:val="auto"/>
        </w:rPr>
      </w:pPr>
    </w:p>
    <w:p>
      <w:pPr>
        <w:ind w:left="-756" w:firstLine="1489"/>
        <w:spacing w:after="0" w:line="245" w:lineRule="auto"/>
        <w:tabs>
          <w:tab w:leader="none" w:pos="114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to the Holdback Stockholder, to the address set forth in the Holdback Stockholder’s signature block with a copy (which shall not constitute notice) to Morrison Foerster LLP and Shipman &amp; Goodwin LLP.</w:t>
      </w:r>
    </w:p>
    <w:p>
      <w:pPr>
        <w:spacing w:after="0" w:line="208" w:lineRule="exact"/>
        <w:rPr>
          <w:rFonts w:ascii="Times New Roman" w:cs="Times New Roman" w:eastAsia="Times New Roman" w:hAnsi="Times New Roman"/>
          <w:sz w:val="22"/>
          <w:szCs w:val="22"/>
          <w:color w:val="auto"/>
        </w:rPr>
      </w:pPr>
    </w:p>
    <w:p>
      <w:pPr>
        <w:ind w:left="744" w:hanging="744"/>
        <w:spacing w:after="0"/>
        <w:tabs>
          <w:tab w:leader="none" w:pos="7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2"/>
          <w:szCs w:val="22"/>
          <w:color w:val="auto"/>
        </w:rPr>
      </w:pPr>
    </w:p>
    <w:p>
      <w:pPr>
        <w:jc w:val="both"/>
        <w:ind w:left="-756" w:firstLine="1489"/>
        <w:spacing w:after="0" w:line="254" w:lineRule="auto"/>
        <w:tabs>
          <w:tab w:leader="none" w:pos="11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5(b)</w:t>
      </w:r>
      <w:r>
        <w:rPr>
          <w:rFonts w:ascii="Times New Roman" w:cs="Times New Roman" w:eastAsia="Times New Roman" w:hAnsi="Times New Roman"/>
          <w:sz w:val="20"/>
          <w:szCs w:val="20"/>
          <w:color w:val="auto"/>
        </w:rPr>
        <w:t xml:space="preserve"> hereof, this Agreement shall terminate upon the earlier to occur of (i) the date of termination of the Merger Agreement, and (ii) the date upon which all of the Holdback Consideration has been paid or forfeited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hereof.</w:t>
      </w:r>
    </w:p>
    <w:p>
      <w:pPr>
        <w:spacing w:after="0" w:line="174" w:lineRule="exact"/>
        <w:rPr>
          <w:rFonts w:ascii="Times New Roman" w:cs="Times New Roman" w:eastAsia="Times New Roman" w:hAnsi="Times New Roman"/>
          <w:sz w:val="18"/>
          <w:szCs w:val="18"/>
          <w:color w:val="auto"/>
        </w:rPr>
      </w:pPr>
    </w:p>
    <w:p>
      <w:pPr>
        <w:ind w:left="-756" w:right="20" w:firstLine="1489"/>
        <w:spacing w:after="0" w:line="269" w:lineRule="auto"/>
        <w:tabs>
          <w:tab w:leader="none" w:pos="11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The representations, warranties, covenants and agreements made in this Agreement shall survive notwithstanding the Closing or the termination of this Agreement.</w:t>
      </w:r>
    </w:p>
    <w:p>
      <w:pPr>
        <w:spacing w:after="0" w:line="159" w:lineRule="exact"/>
        <w:rPr>
          <w:rFonts w:ascii="Times New Roman" w:cs="Times New Roman" w:eastAsia="Times New Roman" w:hAnsi="Times New Roman"/>
          <w:sz w:val="18"/>
          <w:szCs w:val="18"/>
          <w:color w:val="auto"/>
        </w:rPr>
      </w:pPr>
    </w:p>
    <w:p>
      <w:pPr>
        <w:jc w:val="both"/>
        <w:ind w:left="-756" w:firstLine="1489"/>
        <w:spacing w:after="0" w:line="254" w:lineRule="auto"/>
        <w:tabs>
          <w:tab w:leader="none" w:pos="11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several counterparts, each of which will be deemed an original and all of which will constitute one and the same instrument. The exchange of a fully executed Agreement (in counterparts or otherwise) by electronic delivery in .pdf format will be sufficient to bind the parties to the terms and provisions of this Agreement.</w:t>
      </w:r>
    </w:p>
    <w:p>
      <w:pPr>
        <w:spacing w:after="0" w:line="160" w:lineRule="exact"/>
        <w:rPr>
          <w:rFonts w:ascii="Times New Roman" w:cs="Times New Roman" w:eastAsia="Times New Roman" w:hAnsi="Times New Roman"/>
          <w:sz w:val="18"/>
          <w:szCs w:val="18"/>
          <w:color w:val="auto"/>
        </w:rPr>
      </w:pPr>
    </w:p>
    <w:p>
      <w:pPr>
        <w:jc w:val="both"/>
        <w:ind w:left="-756" w:firstLine="1489"/>
        <w:spacing w:after="0" w:line="245" w:lineRule="auto"/>
        <w:tabs>
          <w:tab w:leader="none" w:pos="11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Binding Effect; Successors</w:t>
      </w:r>
      <w:r>
        <w:rPr>
          <w:rFonts w:ascii="Times New Roman" w:cs="Times New Roman" w:eastAsia="Times New Roman" w:hAnsi="Times New Roman"/>
          <w:sz w:val="20"/>
          <w:szCs w:val="20"/>
          <w:color w:val="auto"/>
        </w:rPr>
        <w:t>. This Agreement, the Merger Agreement and the documents and instruments and other agreements among the Parties referenced herein constitute the entire agreement among the Parties hereto with respect to the subject matter hereof and supersede all prior agreements and understandings both written and oral, among the Parties with respect to the subject matter hereof. This Agreement (i) is not intended to confer upon any other person any rights or remedies hereunder and (ii) shall not be assigned by operation of law or otherwise, except that Parent may assign its rights and delegate its obligations hereunder to any of its Affiliates or subsidiaries and any references hereunder to “Parent” shall be deemed to be references to such assignee, as applicable.</w:t>
      </w:r>
    </w:p>
    <w:p>
      <w:pPr>
        <w:spacing w:after="0" w:line="184" w:lineRule="exact"/>
        <w:rPr>
          <w:rFonts w:ascii="Times New Roman" w:cs="Times New Roman" w:eastAsia="Times New Roman" w:hAnsi="Times New Roman"/>
          <w:sz w:val="18"/>
          <w:szCs w:val="18"/>
          <w:color w:val="auto"/>
        </w:rPr>
      </w:pPr>
    </w:p>
    <w:p>
      <w:pPr>
        <w:jc w:val="both"/>
        <w:ind w:left="-756" w:firstLine="1489"/>
        <w:spacing w:after="0" w:line="242" w:lineRule="auto"/>
        <w:tabs>
          <w:tab w:leader="none" w:pos="11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term or provision of this Agreement that is invalid or unenforceable in any situation in any jurisdiction will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will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92" w:lineRule="exact"/>
        <w:rPr>
          <w:rFonts w:ascii="Times New Roman" w:cs="Times New Roman" w:eastAsia="Times New Roman" w:hAnsi="Times New Roman"/>
          <w:sz w:val="18"/>
          <w:szCs w:val="18"/>
          <w:color w:val="auto"/>
        </w:rPr>
      </w:pPr>
    </w:p>
    <w:p>
      <w:pPr>
        <w:jc w:val="both"/>
        <w:ind w:left="-756" w:firstLine="1489"/>
        <w:spacing w:after="0" w:line="254" w:lineRule="auto"/>
        <w:tabs>
          <w:tab w:leader="none" w:pos="11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Other Remedies</w:t>
      </w:r>
      <w:r>
        <w:rPr>
          <w:rFonts w:ascii="Times New Roman" w:cs="Times New Roman" w:eastAsia="Times New Roman" w:hAnsi="Times New Roman"/>
          <w:sz w:val="20"/>
          <w:szCs w:val="20"/>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74" w:lineRule="exact"/>
        <w:rPr>
          <w:rFonts w:ascii="Times New Roman" w:cs="Times New Roman" w:eastAsia="Times New Roman" w:hAnsi="Times New Roman"/>
          <w:sz w:val="18"/>
          <w:szCs w:val="18"/>
          <w:color w:val="auto"/>
        </w:rPr>
      </w:pPr>
    </w:p>
    <w:p>
      <w:pPr>
        <w:ind w:left="-756" w:right="120" w:firstLine="1489"/>
        <w:spacing w:after="0" w:line="269" w:lineRule="auto"/>
        <w:tabs>
          <w:tab w:leader="none" w:pos="11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Modifications</w:t>
      </w:r>
      <w:r>
        <w:rPr>
          <w:rFonts w:ascii="Times New Roman" w:cs="Times New Roman" w:eastAsia="Times New Roman" w:hAnsi="Times New Roman"/>
          <w:sz w:val="20"/>
          <w:szCs w:val="20"/>
          <w:color w:val="auto"/>
        </w:rPr>
        <w:t>. This Agreement may not be altered or modified without the express written consent of the Parties. No course of conduct shall constitute a waiver of any of the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582930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4"/>
          </w:cols>
          <w:pgMar w:left="1196" w:top="1399" w:right="459" w:bottom="1440" w:gutter="0" w:footer="0" w:header="0"/>
        </w:sectPr>
      </w:pPr>
    </w:p>
    <w:bookmarkStart w:id="182" w:name="page183"/>
    <w:bookmarkEnd w:id="182"/>
    <w:p>
      <w:pPr>
        <w:jc w:val="both"/>
        <w:ind w:left="20"/>
        <w:spacing w:after="0" w:line="254" w:lineRule="auto"/>
        <w:rPr>
          <w:sz w:val="20"/>
          <w:szCs w:val="20"/>
          <w:color w:val="auto"/>
        </w:rPr>
      </w:pPr>
      <w:r>
        <w:rPr>
          <w:rFonts w:ascii="Times New Roman" w:cs="Times New Roman" w:eastAsia="Times New Roman" w:hAnsi="Times New Roman"/>
          <w:sz w:val="20"/>
          <w:szCs w:val="20"/>
          <w:color w:val="auto"/>
        </w:rPr>
        <w:t>conditions of this Agreement, unless such waiver is specified in writing, and then only to the extent so specified. A waiver of any of the terms and conditions of this Agreement on one occasion shall not constitute a waiver of the other terms of this Agreement, or of such terms and conditions on any other occasion.</w:t>
      </w:r>
    </w:p>
    <w:p>
      <w:pPr>
        <w:spacing w:after="0" w:line="188" w:lineRule="exact"/>
        <w:rPr>
          <w:sz w:val="20"/>
          <w:szCs w:val="20"/>
          <w:color w:val="auto"/>
        </w:rPr>
      </w:pPr>
    </w:p>
    <w:p>
      <w:pPr>
        <w:ind w:firstLine="1489"/>
        <w:spacing w:after="0" w:line="269" w:lineRule="auto"/>
        <w:tabs>
          <w:tab w:leader="none" w:pos="189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laws of the State of Delaware, regardless of the laws that might otherwise govern under applicable principles of conflicts of laws thereof.</w:t>
      </w:r>
    </w:p>
    <w:p>
      <w:pPr>
        <w:spacing w:after="0" w:line="159" w:lineRule="exact"/>
        <w:rPr>
          <w:rFonts w:ascii="Times New Roman" w:cs="Times New Roman" w:eastAsia="Times New Roman" w:hAnsi="Times New Roman"/>
          <w:sz w:val="18"/>
          <w:szCs w:val="18"/>
          <w:color w:val="auto"/>
        </w:rPr>
      </w:pPr>
    </w:p>
    <w:p>
      <w:pPr>
        <w:jc w:val="both"/>
        <w:ind w:firstLine="1489"/>
        <w:spacing w:after="0" w:line="246" w:lineRule="auto"/>
        <w:tabs>
          <w:tab w:leader="none" w:pos="189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xml:space="preserve"> EACH PARTY WAIVES ANY RIGHT TO TRIAL BY JURY IN ANY ACTION, WHETHER SOUNDING IN CONTRACT, TORT OR OTHERWISE, AMONG THE PARTIES ARISING OUT OF OR RELATED TO THE TRANSACTIONS. ANY PARTY MAY FILE AN ORIGINAL COUNTERPART OR A COPY OF THIS AGREEMENT WITH ANY COURT AS WRITTEN EVIDENCE OF THE CONSENT OF THE PARTIES TO THE WAIVER OF THEIR RIGHT TO TRIAL BY JURY.</w:t>
      </w:r>
    </w:p>
    <w:p>
      <w:pPr>
        <w:spacing w:after="0" w:line="171" w:lineRule="exact"/>
        <w:rPr>
          <w:rFonts w:ascii="Times New Roman" w:cs="Times New Roman" w:eastAsia="Times New Roman" w:hAnsi="Times New Roman"/>
          <w:sz w:val="18"/>
          <w:szCs w:val="18"/>
          <w:color w:val="auto"/>
        </w:rPr>
      </w:pPr>
    </w:p>
    <w:p>
      <w:pPr>
        <w:jc w:val="both"/>
        <w:ind w:firstLine="1489"/>
        <w:spacing w:after="0" w:line="254" w:lineRule="auto"/>
        <w:tabs>
          <w:tab w:leader="none" w:pos="189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Rules of Construction</w:t>
      </w:r>
      <w:r>
        <w:rPr>
          <w:rFonts w:ascii="Times New Roman" w:cs="Times New Roman" w:eastAsia="Times New Roman" w:hAnsi="Times New Roman"/>
          <w:sz w:val="20"/>
          <w:szCs w:val="20"/>
          <w:color w:val="auto"/>
        </w:rPr>
        <w:t>.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621030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99" w:right="459" w:bottom="1440" w:gutter="0" w:footer="0" w:header="0"/>
        </w:sectPr>
      </w:pPr>
    </w:p>
    <w:bookmarkStart w:id="183" w:name="page184"/>
    <w:bookmarkEnd w:id="183"/>
    <w:p>
      <w:pPr>
        <w:ind w:right="480"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executed and delivered this Agreement as of the date set forth in the preamble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HOLDBACK STOCKHOLDER:</w:t>
      </w:r>
    </w:p>
    <w:p>
      <w:pPr>
        <w:spacing w:after="0" w:line="21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/s/ William Moschella</w:t>
      </w:r>
    </w:p>
    <w:p>
      <w:pPr>
        <w:spacing w:after="0" w:line="17" w:lineRule="exact"/>
        <w:rPr>
          <w:sz w:val="20"/>
          <w:szCs w:val="20"/>
          <w:color w:val="auto"/>
        </w:rPr>
      </w:pPr>
    </w:p>
    <w:tbl>
      <w:tblPr>
        <w:tblLayout w:type="fixed"/>
        <w:tblInd w:w="4020" w:type="dxa"/>
        <w:tblCellMar>
          <w:top w:w="0" w:type="dxa"/>
          <w:left w:w="0" w:type="dxa"/>
          <w:bottom w:w="0" w:type="dxa"/>
          <w:right w:w="0" w:type="dxa"/>
        </w:tblCellMar>
      </w:tblPr>
      <w:tr>
        <w:trPr>
          <w:trHeight w:val="209"/>
        </w:trPr>
        <w:tc>
          <w:tcPr>
            <w:tcW w:w="1600" w:type="dxa"/>
            <w:vAlign w:val="bottom"/>
            <w:tcBorders>
              <w:top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b w:val="1"/>
                <w:bCs w:val="1"/>
                <w:color w:val="auto"/>
              </w:rPr>
              <w:t>Masheen, LLC</w:t>
            </w:r>
          </w:p>
        </w:tc>
        <w:tc>
          <w:tcPr>
            <w:tcW w:w="5040" w:type="dxa"/>
            <w:vAlign w:val="bottom"/>
            <w:tcBorders>
              <w:top w:val="single" w:sz="8" w:color="auto"/>
            </w:tcBorders>
          </w:tcPr>
          <w:p>
            <w:pPr>
              <w:spacing w:after="0"/>
              <w:rPr>
                <w:sz w:val="18"/>
                <w:szCs w:val="18"/>
                <w:color w:val="auto"/>
              </w:rPr>
            </w:pPr>
          </w:p>
        </w:tc>
      </w:tr>
      <w:tr>
        <w:trPr>
          <w:trHeight w:val="243"/>
        </w:trPr>
        <w:tc>
          <w:tcPr>
            <w:tcW w:w="16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By:</w:t>
            </w:r>
          </w:p>
        </w:tc>
        <w:tc>
          <w:tcPr>
            <w:tcW w:w="50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William Moschella</w:t>
            </w:r>
          </w:p>
        </w:tc>
      </w:tr>
      <w:tr>
        <w:trPr>
          <w:trHeight w:val="282"/>
        </w:trPr>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Its:</w:t>
            </w:r>
          </w:p>
        </w:tc>
        <w:tc>
          <w:tcPr>
            <w:tcW w:w="50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447"/>
        </w:trPr>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Address:</w:t>
            </w:r>
          </w:p>
        </w:tc>
        <w:tc>
          <w:tcPr>
            <w:tcW w:w="50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t>
            </w:r>
          </w:p>
        </w:tc>
      </w:tr>
      <w:tr>
        <w:trPr>
          <w:trHeight w:val="239"/>
        </w:trPr>
        <w:tc>
          <w:tcPr>
            <w:tcW w:w="1600" w:type="dxa"/>
            <w:vAlign w:val="bottom"/>
          </w:tcPr>
          <w:p>
            <w:pPr>
              <w:ind w:left="20"/>
              <w:spacing w:after="0" w:line="239" w:lineRule="exact"/>
              <w:rPr>
                <w:sz w:val="20"/>
                <w:szCs w:val="20"/>
                <w:color w:val="auto"/>
              </w:rPr>
            </w:pPr>
            <w:r>
              <w:rPr>
                <w:rFonts w:ascii="Times New Roman" w:cs="Times New Roman" w:eastAsia="Times New Roman" w:hAnsi="Times New Roman"/>
                <w:sz w:val="22"/>
                <w:szCs w:val="22"/>
                <w:color w:val="auto"/>
              </w:rPr>
              <w:t>Telephone No:</w:t>
            </w:r>
          </w:p>
        </w:tc>
        <w:tc>
          <w:tcPr>
            <w:tcW w:w="5040" w:type="dxa"/>
            <w:vAlign w:val="bottom"/>
          </w:tcPr>
          <w:p>
            <w:pPr>
              <w:ind w:left="200"/>
              <w:spacing w:after="0" w:line="239" w:lineRule="exact"/>
              <w:rPr>
                <w:sz w:val="20"/>
                <w:szCs w:val="20"/>
                <w:color w:val="auto"/>
              </w:rPr>
            </w:pPr>
            <w:r>
              <w:rPr>
                <w:rFonts w:ascii="Times New Roman" w:cs="Times New Roman" w:eastAsia="Times New Roman" w:hAnsi="Times New Roman"/>
                <w:sz w:val="22"/>
                <w:szCs w:val="22"/>
                <w:color w:val="auto"/>
              </w:rPr>
              <w:t>[**************]</w:t>
            </w:r>
          </w:p>
        </w:tc>
      </w:tr>
      <w:tr>
        <w:trPr>
          <w:trHeight w:val="286"/>
        </w:trPr>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Email:</w:t>
            </w:r>
          </w:p>
        </w:tc>
        <w:tc>
          <w:tcPr>
            <w:tcW w:w="50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Beneficial Owner</w:t>
      </w:r>
    </w:p>
    <w:p>
      <w:pPr>
        <w:spacing w:after="0" w:line="200" w:lineRule="exact"/>
        <w:rPr>
          <w:sz w:val="20"/>
          <w:szCs w:val="20"/>
          <w:color w:val="auto"/>
        </w:rPr>
      </w:pPr>
    </w:p>
    <w:p>
      <w:pPr>
        <w:spacing w:after="0" w:line="267" w:lineRule="exact"/>
        <w:rPr>
          <w:sz w:val="20"/>
          <w:szCs w:val="20"/>
          <w:color w:val="auto"/>
        </w:rPr>
      </w:pPr>
    </w:p>
    <w:p>
      <w:pPr>
        <w:ind w:left="4040"/>
        <w:spacing w:after="0"/>
        <w:tabs>
          <w:tab w:leader="none" w:pos="58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William Moschella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-151130</wp:posOffset>
            </wp:positionV>
            <wp:extent cx="42087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7">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213" w:lineRule="exact"/>
        <w:rPr>
          <w:sz w:val="20"/>
          <w:szCs w:val="20"/>
          <w:color w:val="auto"/>
        </w:rPr>
      </w:pPr>
    </w:p>
    <w:p>
      <w:pPr>
        <w:ind w:left="4040"/>
        <w:spacing w:after="0"/>
        <w:tabs>
          <w:tab w:leader="none" w:pos="5800" w:val="left"/>
        </w:tabs>
        <w:rPr>
          <w:sz w:val="20"/>
          <w:szCs w:val="20"/>
          <w:color w:val="auto"/>
        </w:rPr>
      </w:pPr>
      <w:r>
        <w:rPr>
          <w:rFonts w:ascii="Times New Roman" w:cs="Times New Roman" w:eastAsia="Times New Roman" w:hAnsi="Times New Roman"/>
          <w:sz w:val="22"/>
          <w:szCs w:val="22"/>
          <w:color w:val="auto"/>
        </w:rPr>
        <w:t>Address:</w:t>
      </w:r>
      <w:r>
        <w:rPr>
          <w:sz w:val="20"/>
          <w:szCs w:val="20"/>
          <w:color w:val="auto"/>
        </w:rPr>
        <w:tab/>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4040"/>
        <w:spacing w:after="0"/>
        <w:tabs>
          <w:tab w:leader="none" w:pos="5800" w:val="left"/>
        </w:tabs>
        <w:rPr>
          <w:sz w:val="20"/>
          <w:szCs w:val="20"/>
          <w:color w:val="auto"/>
        </w:rPr>
      </w:pPr>
      <w:r>
        <w:rPr>
          <w:rFonts w:ascii="Times New Roman" w:cs="Times New Roman" w:eastAsia="Times New Roman" w:hAnsi="Times New Roman"/>
          <w:sz w:val="22"/>
          <w:szCs w:val="22"/>
          <w:color w:val="auto"/>
        </w:rPr>
        <w:t>Telephone No:</w:t>
      </w:r>
      <w:r>
        <w:rPr>
          <w:sz w:val="20"/>
          <w:szCs w:val="20"/>
          <w:color w:val="auto"/>
        </w:rPr>
        <w:tab/>
      </w:r>
      <w:r>
        <w:rPr>
          <w:rFonts w:ascii="Times New Roman" w:cs="Times New Roman" w:eastAsia="Times New Roman" w:hAnsi="Times New Roman"/>
          <w:sz w:val="21"/>
          <w:szCs w:val="21"/>
          <w:color w:val="auto"/>
        </w:rPr>
        <w:t>[**************]</w:t>
      </w:r>
    </w:p>
    <w:p>
      <w:pPr>
        <w:ind w:left="4040"/>
        <w:spacing w:after="0"/>
        <w:tabs>
          <w:tab w:leader="none" w:pos="58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b w:val="1"/>
          <w:bCs w:val="1"/>
          <w:color w:val="auto"/>
        </w:rPr>
        <w:t>[SIGNATURE PAGE TO HOLDBACK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621030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460" w:top="1399" w:right="779" w:bottom="1440" w:gutter="0" w:footer="0" w:header="0"/>
        </w:sectPr>
      </w:pPr>
    </w:p>
    <w:bookmarkStart w:id="184" w:name="page185"/>
    <w:bookmarkEnd w:id="184"/>
    <w:p>
      <w:pPr>
        <w:ind w:right="480"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executed and delivered this Agreement as of the date set forth in the preamble of this Agreement.</w:t>
      </w:r>
    </w:p>
    <w:p>
      <w:pPr>
        <w:spacing w:after="0" w:line="39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HOLDBACK STOCKHOLDER:</w:t>
      </w:r>
    </w:p>
    <w:p>
      <w:pPr>
        <w:spacing w:after="0" w:line="200" w:lineRule="exact"/>
        <w:rPr>
          <w:sz w:val="20"/>
          <w:szCs w:val="20"/>
          <w:color w:val="auto"/>
        </w:rPr>
      </w:pPr>
    </w:p>
    <w:p>
      <w:pPr>
        <w:spacing w:after="0" w:line="260" w:lineRule="exact"/>
        <w:rPr>
          <w:sz w:val="20"/>
          <w:szCs w:val="20"/>
          <w:color w:val="auto"/>
        </w:rPr>
      </w:pPr>
    </w:p>
    <w:tbl>
      <w:tblPr>
        <w:tblLayout w:type="fixed"/>
        <w:tblInd w:w="4020" w:type="dxa"/>
        <w:tblCellMar>
          <w:top w:w="0" w:type="dxa"/>
          <w:left w:w="0" w:type="dxa"/>
          <w:bottom w:w="0" w:type="dxa"/>
          <w:right w:w="0" w:type="dxa"/>
        </w:tblCellMar>
      </w:tblPr>
      <w:tr>
        <w:trPr>
          <w:trHeight w:val="229"/>
        </w:trPr>
        <w:tc>
          <w:tcPr>
            <w:tcW w:w="1600" w:type="dxa"/>
            <w:vAlign w:val="bottom"/>
            <w:tcBorders>
              <w:top w:val="single" w:sz="8" w:color="auto"/>
            </w:tcBorders>
          </w:tcPr>
          <w:p>
            <w:pPr>
              <w:ind w:left="20"/>
              <w:spacing w:after="0" w:line="229" w:lineRule="exact"/>
              <w:rPr>
                <w:sz w:val="20"/>
                <w:szCs w:val="20"/>
                <w:color w:val="auto"/>
              </w:rPr>
            </w:pPr>
            <w:r>
              <w:rPr>
                <w:rFonts w:ascii="Times New Roman" w:cs="Times New Roman" w:eastAsia="Times New Roman" w:hAnsi="Times New Roman"/>
                <w:sz w:val="22"/>
                <w:szCs w:val="22"/>
                <w:b w:val="1"/>
                <w:bCs w:val="1"/>
                <w:color w:val="auto"/>
              </w:rPr>
              <w:t>Masheen, LLC</w:t>
            </w:r>
          </w:p>
        </w:tc>
        <w:tc>
          <w:tcPr>
            <w:tcW w:w="5040" w:type="dxa"/>
            <w:vAlign w:val="bottom"/>
            <w:tcBorders>
              <w:top w:val="single" w:sz="8" w:color="auto"/>
            </w:tcBorders>
          </w:tcPr>
          <w:p>
            <w:pPr>
              <w:spacing w:after="0"/>
              <w:rPr>
                <w:sz w:val="19"/>
                <w:szCs w:val="19"/>
                <w:color w:val="auto"/>
              </w:rPr>
            </w:pPr>
          </w:p>
        </w:tc>
      </w:tr>
      <w:tr>
        <w:trPr>
          <w:trHeight w:val="243"/>
        </w:trPr>
        <w:tc>
          <w:tcPr>
            <w:tcW w:w="16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By:</w:t>
            </w:r>
          </w:p>
        </w:tc>
        <w:tc>
          <w:tcPr>
            <w:tcW w:w="50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William Moschella</w:t>
            </w:r>
          </w:p>
        </w:tc>
      </w:tr>
      <w:tr>
        <w:trPr>
          <w:trHeight w:val="282"/>
        </w:trPr>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Its:</w:t>
            </w:r>
          </w:p>
        </w:tc>
        <w:tc>
          <w:tcPr>
            <w:tcW w:w="50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447"/>
        </w:trPr>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Address:</w:t>
            </w:r>
          </w:p>
        </w:tc>
        <w:tc>
          <w:tcPr>
            <w:tcW w:w="50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t>
            </w:r>
          </w:p>
        </w:tc>
      </w:tr>
      <w:tr>
        <w:trPr>
          <w:trHeight w:val="239"/>
        </w:trPr>
        <w:tc>
          <w:tcPr>
            <w:tcW w:w="1600" w:type="dxa"/>
            <w:vAlign w:val="bottom"/>
          </w:tcPr>
          <w:p>
            <w:pPr>
              <w:ind w:left="20"/>
              <w:spacing w:after="0" w:line="239" w:lineRule="exact"/>
              <w:rPr>
                <w:sz w:val="20"/>
                <w:szCs w:val="20"/>
                <w:color w:val="auto"/>
              </w:rPr>
            </w:pPr>
            <w:r>
              <w:rPr>
                <w:rFonts w:ascii="Times New Roman" w:cs="Times New Roman" w:eastAsia="Times New Roman" w:hAnsi="Times New Roman"/>
                <w:sz w:val="22"/>
                <w:szCs w:val="22"/>
                <w:color w:val="auto"/>
              </w:rPr>
              <w:t>Telephone No:</w:t>
            </w:r>
          </w:p>
        </w:tc>
        <w:tc>
          <w:tcPr>
            <w:tcW w:w="5040" w:type="dxa"/>
            <w:vAlign w:val="bottom"/>
          </w:tcPr>
          <w:p>
            <w:pPr>
              <w:ind w:left="200"/>
              <w:spacing w:after="0" w:line="239" w:lineRule="exact"/>
              <w:rPr>
                <w:sz w:val="20"/>
                <w:szCs w:val="20"/>
                <w:color w:val="auto"/>
              </w:rPr>
            </w:pPr>
            <w:r>
              <w:rPr>
                <w:rFonts w:ascii="Times New Roman" w:cs="Times New Roman" w:eastAsia="Times New Roman" w:hAnsi="Times New Roman"/>
                <w:sz w:val="22"/>
                <w:szCs w:val="22"/>
                <w:color w:val="auto"/>
              </w:rPr>
              <w:t>[**************]</w:t>
            </w:r>
          </w:p>
        </w:tc>
      </w:tr>
      <w:tr>
        <w:trPr>
          <w:trHeight w:val="286"/>
        </w:trPr>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Email:</w:t>
            </w:r>
          </w:p>
        </w:tc>
        <w:tc>
          <w:tcPr>
            <w:tcW w:w="50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Beneficial Owner</w:t>
      </w:r>
    </w:p>
    <w:p>
      <w:pPr>
        <w:spacing w:after="0" w:line="21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/s/ William Moschella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10795</wp:posOffset>
            </wp:positionV>
            <wp:extent cx="420878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9">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8" w:lineRule="exact"/>
        <w:rPr>
          <w:sz w:val="20"/>
          <w:szCs w:val="20"/>
          <w:color w:val="auto"/>
        </w:rPr>
      </w:pPr>
    </w:p>
    <w:p>
      <w:pPr>
        <w:ind w:left="4040"/>
        <w:spacing w:after="0"/>
        <w:tabs>
          <w:tab w:leader="none" w:pos="58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William Moschella</w:t>
      </w:r>
    </w:p>
    <w:p>
      <w:pPr>
        <w:spacing w:after="0" w:line="209" w:lineRule="exact"/>
        <w:rPr>
          <w:sz w:val="20"/>
          <w:szCs w:val="20"/>
          <w:color w:val="auto"/>
        </w:rPr>
      </w:pPr>
    </w:p>
    <w:p>
      <w:pPr>
        <w:ind w:left="4040"/>
        <w:spacing w:after="0"/>
        <w:tabs>
          <w:tab w:leader="none" w:pos="5800" w:val="left"/>
        </w:tabs>
        <w:rPr>
          <w:sz w:val="20"/>
          <w:szCs w:val="20"/>
          <w:color w:val="auto"/>
        </w:rPr>
      </w:pPr>
      <w:r>
        <w:rPr>
          <w:rFonts w:ascii="Times New Roman" w:cs="Times New Roman" w:eastAsia="Times New Roman" w:hAnsi="Times New Roman"/>
          <w:sz w:val="22"/>
          <w:szCs w:val="22"/>
          <w:color w:val="auto"/>
        </w:rPr>
        <w:t>Address:</w:t>
      </w:r>
      <w:r>
        <w:rPr>
          <w:sz w:val="20"/>
          <w:szCs w:val="20"/>
          <w:color w:val="auto"/>
        </w:rPr>
        <w:tab/>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4040"/>
        <w:spacing w:after="0"/>
        <w:tabs>
          <w:tab w:leader="none" w:pos="5800" w:val="left"/>
        </w:tabs>
        <w:rPr>
          <w:sz w:val="20"/>
          <w:szCs w:val="20"/>
          <w:color w:val="auto"/>
        </w:rPr>
      </w:pPr>
      <w:r>
        <w:rPr>
          <w:rFonts w:ascii="Times New Roman" w:cs="Times New Roman" w:eastAsia="Times New Roman" w:hAnsi="Times New Roman"/>
          <w:sz w:val="22"/>
          <w:szCs w:val="22"/>
          <w:color w:val="auto"/>
        </w:rPr>
        <w:t>Telephone No:</w:t>
      </w:r>
      <w:r>
        <w:rPr>
          <w:sz w:val="20"/>
          <w:szCs w:val="20"/>
          <w:color w:val="auto"/>
        </w:rPr>
        <w:tab/>
      </w:r>
      <w:r>
        <w:rPr>
          <w:rFonts w:ascii="Times New Roman" w:cs="Times New Roman" w:eastAsia="Times New Roman" w:hAnsi="Times New Roman"/>
          <w:sz w:val="21"/>
          <w:szCs w:val="21"/>
          <w:color w:val="auto"/>
        </w:rPr>
        <w:t>[**************]</w:t>
      </w:r>
    </w:p>
    <w:p>
      <w:pPr>
        <w:ind w:left="4040"/>
        <w:spacing w:after="0"/>
        <w:tabs>
          <w:tab w:leader="none" w:pos="58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b w:val="1"/>
          <w:bCs w:val="1"/>
          <w:color w:val="auto"/>
        </w:rPr>
        <w:t>[SIGNATURE PAGE TO HOLDBACK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621030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460" w:top="1399" w:right="779" w:bottom="1440" w:gutter="0" w:footer="0" w:header="0"/>
        </w:sectPr>
      </w:pPr>
    </w:p>
    <w:bookmarkStart w:id="185" w:name="page186"/>
    <w:bookmarkEnd w:id="185"/>
    <w:p>
      <w:pPr>
        <w:ind w:right="480"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executed and delivered this Agreement as of the date set forth in the preamble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ANALYTICAL WIZARDS, INC.</w:t>
      </w:r>
    </w:p>
    <w:p>
      <w:pPr>
        <w:spacing w:after="0" w:line="210" w:lineRule="exact"/>
        <w:rPr>
          <w:sz w:val="20"/>
          <w:szCs w:val="20"/>
          <w:color w:val="auto"/>
        </w:rPr>
      </w:pPr>
    </w:p>
    <w:tbl>
      <w:tblPr>
        <w:tblLayout w:type="fixed"/>
        <w:tblInd w:w="4040" w:type="dxa"/>
        <w:tblCellMar>
          <w:top w:w="0" w:type="dxa"/>
          <w:left w:w="0" w:type="dxa"/>
          <w:bottom w:w="0" w:type="dxa"/>
          <w:right w:w="0" w:type="dxa"/>
        </w:tblCellMar>
      </w:tblP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Matt Ruderman</w:t>
            </w:r>
          </w:p>
        </w:tc>
      </w:tr>
      <w:tr>
        <w:trPr>
          <w:trHeight w:val="209"/>
        </w:trPr>
        <w:tc>
          <w:tcPr>
            <w:tcW w:w="8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7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Matthew Ruderman</w:t>
            </w:r>
          </w:p>
        </w:tc>
      </w:tr>
      <w:tr>
        <w:trPr>
          <w:trHeight w:val="282"/>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740" w:type="dxa"/>
            <w:vAlign w:val="bottom"/>
          </w:tcPr>
          <w:p>
            <w:pPr>
              <w:spacing w:after="0"/>
              <w:rPr>
                <w:sz w:val="20"/>
                <w:szCs w:val="20"/>
                <w:color w:val="auto"/>
              </w:rPr>
            </w:pPr>
            <w:r>
              <w:rPr>
                <w:rFonts w:ascii="Times New Roman" w:cs="Times New Roman" w:eastAsia="Times New Roman" w:hAnsi="Times New Roman"/>
                <w:sz w:val="22"/>
                <w:szCs w:val="22"/>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b w:val="1"/>
          <w:bCs w:val="1"/>
          <w:color w:val="auto"/>
        </w:rPr>
        <w:t>[SIGNATURE PAGE TO HOLDBACK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621030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460" w:top="1399" w:right="77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Insider Trading Policy</w:t>
      </w:r>
    </w:p>
    <w:p>
      <w:pPr>
        <w:spacing w:after="0" w:line="161" w:lineRule="exact"/>
        <w:rPr>
          <w:sz w:val="20"/>
          <w:szCs w:val="20"/>
          <w:color w:val="auto"/>
        </w:rPr>
      </w:pPr>
    </w:p>
    <w:p>
      <w:pPr>
        <w:ind w:left="760" w:right="8760" w:hanging="378"/>
        <w:spacing w:after="0" w:line="384" w:lineRule="auto"/>
        <w:tabs>
          <w:tab w:leader="none" w:pos="760"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INTRODUCTION A. Purpose</w:t>
      </w:r>
    </w:p>
    <w:p>
      <w:pPr>
        <w:spacing w:after="0" w:line="1" w:lineRule="exact"/>
        <w:rPr>
          <w:sz w:val="20"/>
          <w:szCs w:val="20"/>
          <w:color w:val="auto"/>
        </w:rPr>
      </w:pPr>
    </w:p>
    <w:p>
      <w:pPr>
        <w:ind w:left="760" w:right="120"/>
        <w:spacing w:after="0" w:line="244" w:lineRule="auto"/>
        <w:rPr>
          <w:sz w:val="20"/>
          <w:szCs w:val="20"/>
          <w:color w:val="auto"/>
        </w:rPr>
      </w:pPr>
      <w:r>
        <w:rPr>
          <w:rFonts w:ascii="Times New Roman" w:cs="Times New Roman" w:eastAsia="Times New Roman" w:hAnsi="Times New Roman"/>
          <w:sz w:val="22"/>
          <w:szCs w:val="22"/>
          <w:color w:val="auto"/>
        </w:rPr>
        <w:t>The purpose of this Insider Trading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is to help Definitive Healthcare Corp. and its subsidiaries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comply with U.S. federal and state securities laws relating to insider trading, as well as similar laws in other countries where the Company does business, and to preserve the reputation and integrity of the Company.</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B.  What is Insider Trading?</w:t>
      </w:r>
    </w:p>
    <w:p>
      <w:pPr>
        <w:spacing w:after="0" w:line="129" w:lineRule="exact"/>
        <w:rPr>
          <w:sz w:val="20"/>
          <w:szCs w:val="20"/>
          <w:color w:val="auto"/>
        </w:rPr>
      </w:pPr>
    </w:p>
    <w:p>
      <w:pPr>
        <w:ind w:left="760" w:right="480"/>
        <w:spacing w:after="0" w:line="244" w:lineRule="auto"/>
        <w:rPr>
          <w:sz w:val="20"/>
          <w:szCs w:val="20"/>
          <w:color w:val="auto"/>
        </w:rPr>
      </w:pPr>
      <w:r>
        <w:rPr>
          <w:rFonts w:ascii="Times New Roman" w:cs="Times New Roman" w:eastAsia="Times New Roman" w:hAnsi="Times New Roman"/>
          <w:sz w:val="22"/>
          <w:szCs w:val="22"/>
          <w:color w:val="auto"/>
        </w:rPr>
        <w:t>Insider trading is illegal and prohibited. Insider trading occurs when a person who is aware of material non-public information about a company buys or sells that company’s securities or provides material non-public information to another person who then trades while aware of that information.</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C.  What Securities are Subject to this Policy?</w:t>
      </w:r>
    </w:p>
    <w:p>
      <w:pPr>
        <w:spacing w:after="0" w:line="143" w:lineRule="exact"/>
        <w:rPr>
          <w:sz w:val="20"/>
          <w:szCs w:val="20"/>
          <w:color w:val="auto"/>
        </w:rPr>
      </w:pPr>
    </w:p>
    <w:p>
      <w:pPr>
        <w:ind w:left="760" w:right="20"/>
        <w:spacing w:after="0" w:line="238" w:lineRule="auto"/>
        <w:rPr>
          <w:sz w:val="20"/>
          <w:szCs w:val="20"/>
          <w:color w:val="auto"/>
        </w:rPr>
      </w:pPr>
      <w:r>
        <w:rPr>
          <w:rFonts w:ascii="Times New Roman" w:cs="Times New Roman" w:eastAsia="Times New Roman" w:hAnsi="Times New Roman"/>
          <w:sz w:val="22"/>
          <w:szCs w:val="22"/>
          <w:color w:val="auto"/>
        </w:rPr>
        <w:t>This Policy applies to trading in the Company’s securities (e.g., common stock, as well as options, puts, calls or other derivatives, whether or not issued by the Company) or any other type of securities that the Company may issue, such as preferred stock, debt, convertible debentures and warrants (collectively, “</w:t>
      </w:r>
      <w:r>
        <w:rPr>
          <w:rFonts w:ascii="Times New Roman" w:cs="Times New Roman" w:eastAsia="Times New Roman" w:hAnsi="Times New Roman"/>
          <w:sz w:val="22"/>
          <w:szCs w:val="22"/>
          <w:u w:val="single" w:color="auto"/>
          <w:color w:val="auto"/>
        </w:rPr>
        <w:t>Company Securities</w:t>
      </w:r>
      <w:r>
        <w:rPr>
          <w:rFonts w:ascii="Times New Roman" w:cs="Times New Roman" w:eastAsia="Times New Roman" w:hAnsi="Times New Roman"/>
          <w:sz w:val="22"/>
          <w:szCs w:val="22"/>
          <w:color w:val="auto"/>
        </w:rPr>
        <w:t>”). This Policy also prohibits trading in the securities of another company if you become aware of material non-public information about that company in the course of your relationship with the Company.</w:t>
      </w:r>
    </w:p>
    <w:p>
      <w:pPr>
        <w:spacing w:after="0" w:line="92" w:lineRule="exact"/>
        <w:rPr>
          <w:sz w:val="20"/>
          <w:szCs w:val="20"/>
          <w:color w:val="auto"/>
        </w:rPr>
      </w:pPr>
    </w:p>
    <w:p>
      <w:pPr>
        <w:ind w:left="1140" w:hanging="383"/>
        <w:spacing w:after="0"/>
        <w:tabs>
          <w:tab w:leader="none" w:pos="114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Who is Subject to this Policy?</w:t>
      </w:r>
    </w:p>
    <w:p>
      <w:pPr>
        <w:spacing w:after="0" w:line="138" w:lineRule="exact"/>
        <w:rPr>
          <w:rFonts w:ascii="Times New Roman" w:cs="Times New Roman" w:eastAsia="Times New Roman" w:hAnsi="Times New Roman"/>
          <w:sz w:val="22"/>
          <w:szCs w:val="22"/>
          <w:b w:val="1"/>
          <w:bCs w:val="1"/>
          <w:color w:val="auto"/>
        </w:rPr>
      </w:pPr>
    </w:p>
    <w:p>
      <w:pPr>
        <w:ind w:left="1540" w:hanging="409"/>
        <w:spacing w:after="0"/>
        <w:tabs>
          <w:tab w:leader="none" w:pos="1540" w:val="left"/>
        </w:tabs>
        <w:numPr>
          <w:ilvl w:val="1"/>
          <w:numId w:val="9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Company Personnel</w:t>
      </w:r>
    </w:p>
    <w:p>
      <w:pPr>
        <w:spacing w:after="0" w:line="143" w:lineRule="exact"/>
        <w:rPr>
          <w:sz w:val="20"/>
          <w:szCs w:val="20"/>
          <w:color w:val="auto"/>
        </w:rPr>
      </w:pPr>
    </w:p>
    <w:p>
      <w:pPr>
        <w:ind w:left="1140" w:right="360"/>
        <w:spacing w:after="0" w:line="244" w:lineRule="auto"/>
        <w:rPr>
          <w:sz w:val="20"/>
          <w:szCs w:val="20"/>
          <w:color w:val="auto"/>
        </w:rPr>
      </w:pPr>
      <w:r>
        <w:rPr>
          <w:rFonts w:ascii="Times New Roman" w:cs="Times New Roman" w:eastAsia="Times New Roman" w:hAnsi="Times New Roman"/>
          <w:sz w:val="22"/>
          <w:szCs w:val="22"/>
          <w:color w:val="auto"/>
        </w:rPr>
        <w:t>This policy applies to all directors, officers and employees of the Company and, to the extent advised by the Company that they are covered by the Policy, consultants and other agents (collectively, “</w:t>
      </w:r>
      <w:r>
        <w:rPr>
          <w:rFonts w:ascii="Times New Roman" w:cs="Times New Roman" w:eastAsia="Times New Roman" w:hAnsi="Times New Roman"/>
          <w:sz w:val="22"/>
          <w:szCs w:val="22"/>
          <w:u w:val="single" w:color="auto"/>
          <w:color w:val="auto"/>
        </w:rPr>
        <w:t>Company Personnel</w:t>
      </w:r>
      <w:r>
        <w:rPr>
          <w:rFonts w:ascii="Times New Roman" w:cs="Times New Roman" w:eastAsia="Times New Roman" w:hAnsi="Times New Roman"/>
          <w:sz w:val="22"/>
          <w:szCs w:val="22"/>
          <w:color w:val="auto"/>
        </w:rPr>
        <w:t>”). The use of “you” throughout this Policy speaks directly to Company Personnel.</w:t>
      </w:r>
    </w:p>
    <w:p>
      <w:pPr>
        <w:spacing w:after="0" w:line="8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i w:val="1"/>
          <w:iCs w:val="1"/>
          <w:color w:val="auto"/>
        </w:rPr>
        <w:t>(2)  Family Members and Others Living In Your Household</w:t>
      </w:r>
    </w:p>
    <w:p>
      <w:pPr>
        <w:spacing w:after="0" w:line="143" w:lineRule="exact"/>
        <w:rPr>
          <w:sz w:val="20"/>
          <w:szCs w:val="20"/>
          <w:color w:val="auto"/>
        </w:rPr>
      </w:pPr>
    </w:p>
    <w:p>
      <w:pPr>
        <w:ind w:left="1140" w:right="80"/>
        <w:spacing w:after="0" w:line="249" w:lineRule="auto"/>
        <w:rPr>
          <w:sz w:val="20"/>
          <w:szCs w:val="20"/>
          <w:color w:val="auto"/>
        </w:rPr>
      </w:pPr>
      <w:r>
        <w:rPr>
          <w:rFonts w:ascii="Times New Roman" w:cs="Times New Roman" w:eastAsia="Times New Roman" w:hAnsi="Times New Roman"/>
          <w:sz w:val="21"/>
          <w:szCs w:val="21"/>
          <w:color w:val="auto"/>
        </w:rPr>
        <w:t>This Policy also applies to (i) anyone who lives in the household of Company Personnel (whether or not family members) and (ii) any child, stepchild, grandchild, parent, stepparent, grandparent, spouse, sibling, mother-in-law, father-in-law, son-in-law, daughter-in-law, brother-in-law, or sister-in-law, and includes adoptive relationships, whose transactions are subject to your influence or control (collectively referred to as “</w:t>
      </w:r>
      <w:r>
        <w:rPr>
          <w:rFonts w:ascii="Times New Roman" w:cs="Times New Roman" w:eastAsia="Times New Roman" w:hAnsi="Times New Roman"/>
          <w:sz w:val="21"/>
          <w:szCs w:val="21"/>
          <w:u w:val="single" w:color="auto"/>
          <w:color w:val="auto"/>
        </w:rPr>
        <w:t>Family Members</w:t>
      </w:r>
      <w:r>
        <w:rPr>
          <w:rFonts w:ascii="Times New Roman" w:cs="Times New Roman" w:eastAsia="Times New Roman" w:hAnsi="Times New Roman"/>
          <w:sz w:val="21"/>
          <w:szCs w:val="21"/>
          <w:color w:val="auto"/>
        </w:rPr>
        <w:t>”). Company Personnel are responsible for the transactions of their Family Members and therefore Company Personnel should inform their Family Members of the need to confer with them before they trade in Company Securities.</w:t>
      </w:r>
    </w:p>
    <w:p>
      <w:pPr>
        <w:spacing w:after="0" w:line="9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i w:val="1"/>
          <w:iCs w:val="1"/>
          <w:color w:val="auto"/>
        </w:rPr>
        <w:t>(3)  Controlled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87" w:name="page188"/>
    <w:bookmarkEnd w:id="187"/>
    <w:p>
      <w:pPr>
        <w:ind w:left="760" w:right="120"/>
        <w:spacing w:after="0" w:line="239" w:lineRule="auto"/>
        <w:rPr>
          <w:sz w:val="20"/>
          <w:szCs w:val="20"/>
          <w:color w:val="auto"/>
        </w:rPr>
      </w:pPr>
      <w:r>
        <w:rPr>
          <w:rFonts w:ascii="Times New Roman" w:cs="Times New Roman" w:eastAsia="Times New Roman" w:hAnsi="Times New Roman"/>
          <w:sz w:val="22"/>
          <w:szCs w:val="22"/>
          <w:color w:val="auto"/>
        </w:rPr>
        <w:t>This Policy also applies to any entities or accounts that are under the control of Company Personnel or their Family Members, including corporations, partnerships or trusts (collectively, “</w:t>
      </w:r>
      <w:r>
        <w:rPr>
          <w:rFonts w:ascii="Times New Roman" w:cs="Times New Roman" w:eastAsia="Times New Roman" w:hAnsi="Times New Roman"/>
          <w:sz w:val="22"/>
          <w:szCs w:val="22"/>
          <w:u w:val="single" w:color="auto"/>
          <w:color w:val="auto"/>
        </w:rPr>
        <w:t>Controlled Entities</w:t>
      </w:r>
      <w:r>
        <w:rPr>
          <w:rFonts w:ascii="Times New Roman" w:cs="Times New Roman" w:eastAsia="Times New Roman" w:hAnsi="Times New Roman"/>
          <w:sz w:val="22"/>
          <w:szCs w:val="22"/>
          <w:color w:val="auto"/>
        </w:rPr>
        <w:t>”), and transactions by such Controlled Entities should be treated for the purposes of this Policy as if they were for the account of the relevant Company Personnel or Family Member.</w:t>
      </w:r>
    </w:p>
    <w:p>
      <w:pPr>
        <w:spacing w:after="0" w:line="1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(4)  Designated Persons</w:t>
      </w:r>
    </w:p>
    <w:p>
      <w:pPr>
        <w:spacing w:after="0" w:line="129"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22"/>
          <w:szCs w:val="22"/>
          <w:color w:val="auto"/>
        </w:rPr>
        <w:t>In addition, as specified in Section IV of this Policy, Designated Persons (as defined below) are subject to additional restrictions relating to the prohibition on trading in Company Securities.</w:t>
      </w:r>
    </w:p>
    <w:p>
      <w:pPr>
        <w:spacing w:after="0" w:line="330" w:lineRule="exact"/>
        <w:rPr>
          <w:sz w:val="20"/>
          <w:szCs w:val="20"/>
          <w:color w:val="auto"/>
        </w:rPr>
      </w:pPr>
    </w:p>
    <w:p>
      <w:pPr>
        <w:ind w:left="760" w:hanging="383"/>
        <w:spacing w:after="0"/>
        <w:tabs>
          <w:tab w:leader="none" w:pos="760" w:val="left"/>
        </w:tabs>
        <w:numPr>
          <w:ilvl w:val="1"/>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Questions</w:t>
      </w:r>
    </w:p>
    <w:p>
      <w:pPr>
        <w:spacing w:after="0" w:line="142" w:lineRule="exact"/>
        <w:rPr>
          <w:rFonts w:ascii="Times New Roman" w:cs="Times New Roman" w:eastAsia="Times New Roman" w:hAnsi="Times New Roman"/>
          <w:sz w:val="22"/>
          <w:szCs w:val="22"/>
          <w:b w:val="1"/>
          <w:bCs w:val="1"/>
          <w:color w:val="auto"/>
        </w:rPr>
      </w:pPr>
    </w:p>
    <w:p>
      <w:pPr>
        <w:ind w:left="760" w:right="38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Questions about this Policy or any proposed transaction or communication should be directed to the Chief Legal Officer or any individual designated by the Chief Legal Officer (the “</w:t>
      </w:r>
      <w:r>
        <w:rPr>
          <w:rFonts w:ascii="Times New Roman" w:cs="Times New Roman" w:eastAsia="Times New Roman" w:hAnsi="Times New Roman"/>
          <w:sz w:val="22"/>
          <w:szCs w:val="22"/>
          <w:u w:val="single" w:color="auto"/>
          <w:color w:val="auto"/>
        </w:rPr>
        <w:t>Chief Legal Officer</w:t>
      </w:r>
      <w:r>
        <w:rPr>
          <w:rFonts w:ascii="Times New Roman" w:cs="Times New Roman" w:eastAsia="Times New Roman" w:hAnsi="Times New Roman"/>
          <w:sz w:val="22"/>
          <w:szCs w:val="22"/>
          <w:color w:val="auto"/>
        </w:rPr>
        <w:t>”).</w:t>
      </w:r>
    </w:p>
    <w:p>
      <w:pPr>
        <w:spacing w:after="0" w:line="316" w:lineRule="exact"/>
        <w:rPr>
          <w:rFonts w:ascii="Times New Roman" w:cs="Times New Roman" w:eastAsia="Times New Roman" w:hAnsi="Times New Roman"/>
          <w:sz w:val="22"/>
          <w:szCs w:val="22"/>
          <w:b w:val="1"/>
          <w:bCs w:val="1"/>
          <w:color w:val="auto"/>
        </w:rPr>
      </w:pPr>
    </w:p>
    <w:p>
      <w:pPr>
        <w:ind w:left="760" w:hanging="383"/>
        <w:spacing w:after="0"/>
        <w:tabs>
          <w:tab w:leader="none" w:pos="760" w:val="left"/>
        </w:tabs>
        <w:numPr>
          <w:ilvl w:val="1"/>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Individual Responsibility</w:t>
      </w:r>
    </w:p>
    <w:p>
      <w:pPr>
        <w:spacing w:after="0" w:line="142" w:lineRule="exact"/>
        <w:rPr>
          <w:rFonts w:ascii="Times New Roman" w:cs="Times New Roman" w:eastAsia="Times New Roman" w:hAnsi="Times New Roman"/>
          <w:sz w:val="22"/>
          <w:szCs w:val="22"/>
          <w:b w:val="1"/>
          <w:bCs w:val="1"/>
          <w:color w:val="auto"/>
        </w:rPr>
      </w:pPr>
    </w:p>
    <w:p>
      <w:pPr>
        <w:ind w:left="760" w:right="260"/>
        <w:spacing w:after="0" w:line="23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are responsible for complying with this Policy, including for determining whether you are aware of material non-public information. Any action on the part of the Company, the Chief Legal Officer or Company Personnel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w:t>
      </w:r>
    </w:p>
    <w:p>
      <w:pPr>
        <w:spacing w:after="0" w:line="200" w:lineRule="exact"/>
        <w:rPr>
          <w:rFonts w:ascii="Times New Roman" w:cs="Times New Roman" w:eastAsia="Times New Roman" w:hAnsi="Times New Roman"/>
          <w:sz w:val="22"/>
          <w:szCs w:val="22"/>
          <w:b w:val="1"/>
          <w:bCs w:val="1"/>
          <w:color w:val="auto"/>
        </w:rPr>
      </w:pPr>
    </w:p>
    <w:p>
      <w:pPr>
        <w:spacing w:after="0" w:line="287"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II.  INSIDER TRADING</w:t>
      </w:r>
    </w:p>
    <w:p>
      <w:pPr>
        <w:spacing w:after="0" w:line="138" w:lineRule="exact"/>
        <w:rPr>
          <w:rFonts w:ascii="Times New Roman" w:cs="Times New Roman" w:eastAsia="Times New Roman" w:hAnsi="Times New Roman"/>
          <w:sz w:val="22"/>
          <w:szCs w:val="22"/>
          <w:b w:val="1"/>
          <w:bCs w:val="1"/>
          <w:color w:val="auto"/>
        </w:rPr>
      </w:pPr>
    </w:p>
    <w:p>
      <w:pPr>
        <w:ind w:left="760" w:hanging="383"/>
        <w:spacing w:after="0"/>
        <w:tabs>
          <w:tab w:leader="none" w:pos="760" w:val="left"/>
        </w:tabs>
        <w:numPr>
          <w:ilvl w:val="1"/>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Prohibiting Insider Trading</w:t>
      </w:r>
    </w:p>
    <w:p>
      <w:pPr>
        <w:spacing w:after="0" w:line="142" w:lineRule="exact"/>
        <w:rPr>
          <w:rFonts w:ascii="Times New Roman" w:cs="Times New Roman" w:eastAsia="Times New Roman" w:hAnsi="Times New Roman"/>
          <w:sz w:val="22"/>
          <w:szCs w:val="22"/>
          <w:b w:val="1"/>
          <w:bCs w:val="1"/>
          <w:color w:val="auto"/>
        </w:rPr>
      </w:pPr>
    </w:p>
    <w:p>
      <w:pPr>
        <w:ind w:left="1500" w:hanging="375"/>
        <w:spacing w:after="0" w:line="244" w:lineRule="auto"/>
        <w:tabs>
          <w:tab w:leader="none" w:pos="1500"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Trading if Aware of Material Non-Public Information. If you are aware of material non- public information about the Company, you may not, directly or indirectly, engage in any transactions in Company Securities.</w:t>
      </w:r>
    </w:p>
    <w:p>
      <w:pPr>
        <w:spacing w:after="0" w:line="92" w:lineRule="exact"/>
        <w:rPr>
          <w:rFonts w:ascii="Times New Roman" w:cs="Times New Roman" w:eastAsia="Times New Roman" w:hAnsi="Times New Roman"/>
          <w:sz w:val="22"/>
          <w:szCs w:val="22"/>
          <w:color w:val="auto"/>
        </w:rPr>
      </w:pPr>
    </w:p>
    <w:p>
      <w:pPr>
        <w:ind w:left="1500" w:right="200" w:hanging="375"/>
        <w:spacing w:after="0" w:line="258" w:lineRule="auto"/>
        <w:tabs>
          <w:tab w:leader="none" w:pos="1500"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Recommendations. You may not recommend the purchase or sale of Company Securities to anyone at any time.</w:t>
      </w:r>
    </w:p>
    <w:p>
      <w:pPr>
        <w:spacing w:after="0" w:line="90" w:lineRule="exact"/>
        <w:rPr>
          <w:rFonts w:ascii="Times New Roman" w:cs="Times New Roman" w:eastAsia="Times New Roman" w:hAnsi="Times New Roman"/>
          <w:sz w:val="22"/>
          <w:szCs w:val="22"/>
          <w:color w:val="auto"/>
        </w:rPr>
      </w:pPr>
    </w:p>
    <w:p>
      <w:pPr>
        <w:ind w:left="1500" w:hanging="375"/>
        <w:spacing w:after="0" w:line="239" w:lineRule="auto"/>
        <w:tabs>
          <w:tab w:leader="none" w:pos="1500"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Tipping. If you are aware of material non-public information about the Company, you may not communicate or pass (“tip”) that information on to others outside the Company, including Family Members and friends. The federal securities laws impose liability on any person who “tips” or communicates material non-public information (the “tipper”) to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967740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408" w:right="359" w:bottom="1440" w:gutter="0" w:footer="0" w:header="0"/>
        </w:sectPr>
      </w:pPr>
    </w:p>
    <w:bookmarkStart w:id="188" w:name="page189"/>
    <w:bookmarkEnd w:id="188"/>
    <w:p>
      <w:pPr>
        <w:ind w:left="1120" w:right="740"/>
        <w:spacing w:after="0" w:line="282" w:lineRule="auto"/>
        <w:rPr>
          <w:sz w:val="20"/>
          <w:szCs w:val="20"/>
          <w:color w:val="auto"/>
        </w:rPr>
      </w:pPr>
      <w:r>
        <w:rPr>
          <w:rFonts w:ascii="Times New Roman" w:cs="Times New Roman" w:eastAsia="Times New Roman" w:hAnsi="Times New Roman"/>
          <w:sz w:val="21"/>
          <w:szCs w:val="21"/>
          <w:color w:val="auto"/>
        </w:rPr>
        <w:t>person or entity (the “tippee”), who then trades on the basis of the information. Penalties may apply regardless of whether the tipper derives any economic benefits from the tippee’s trading activities.</w:t>
      </w:r>
    </w:p>
    <w:p>
      <w:pPr>
        <w:spacing w:after="0" w:line="67" w:lineRule="exact"/>
        <w:rPr>
          <w:sz w:val="20"/>
          <w:szCs w:val="20"/>
          <w:color w:val="auto"/>
        </w:rPr>
      </w:pPr>
    </w:p>
    <w:p>
      <w:pPr>
        <w:ind w:left="1120" w:hanging="375"/>
        <w:spacing w:after="0" w:line="238" w:lineRule="auto"/>
        <w:tabs>
          <w:tab w:leader="none" w:pos="112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Moreover, if you, in the course of your relationship with the Company, learn of material non- public information about another publicly traded company, including but not limited to a customer, supplier, partner of the Company or an economically-linked company such as a competitor of the Company, you may not trade in that company’s securities or share information about that company until the information becomes public or is no longer material to that other company.</w:t>
      </w:r>
    </w:p>
    <w:p>
      <w:pPr>
        <w:spacing w:after="0" w:line="96" w:lineRule="exact"/>
        <w:rPr>
          <w:sz w:val="20"/>
          <w:szCs w:val="20"/>
          <w:color w:val="auto"/>
        </w:rPr>
      </w:pPr>
    </w:p>
    <w:p>
      <w:pPr>
        <w:ind w:left="740" w:right="60"/>
        <w:spacing w:after="0" w:line="239" w:lineRule="auto"/>
        <w:rPr>
          <w:sz w:val="20"/>
          <w:szCs w:val="20"/>
          <w:color w:val="auto"/>
        </w:rPr>
      </w:pPr>
      <w:r>
        <w:rPr>
          <w:rFonts w:ascii="Times New Roman" w:cs="Times New Roman" w:eastAsia="Times New Roman" w:hAnsi="Times New Roman"/>
          <w:sz w:val="22"/>
          <w:szCs w:val="22"/>
          <w:color w:val="auto"/>
        </w:rPr>
        <w:t>For purposes of this Policy, the terms “trade,” “trading” and “transactions” include not only purchases and sales of securities in the public market, but also any other purchases, sales, transfers, gifts or other acquisitions and dispositions of securities, and other arrangements or transactions that affect economic exposure to changes in the prices of these securities.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  What is Material, Non-Public Information?</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i w:val="1"/>
          <w:iCs w:val="1"/>
          <w:color w:val="auto"/>
        </w:rPr>
        <w:t>(1) Identifying Material Information</w:t>
      </w:r>
    </w:p>
    <w:p>
      <w:pPr>
        <w:spacing w:after="0" w:line="129" w:lineRule="exact"/>
        <w:rPr>
          <w:sz w:val="20"/>
          <w:szCs w:val="20"/>
          <w:color w:val="auto"/>
        </w:rPr>
      </w:pPr>
    </w:p>
    <w:p>
      <w:pPr>
        <w:ind w:left="380" w:right="80"/>
        <w:spacing w:after="0" w:line="235" w:lineRule="auto"/>
        <w:rPr>
          <w:sz w:val="20"/>
          <w:szCs w:val="20"/>
          <w:color w:val="auto"/>
        </w:rPr>
      </w:pPr>
      <w:r>
        <w:rPr>
          <w:rFonts w:ascii="Times New Roman" w:cs="Times New Roman" w:eastAsia="Times New Roman" w:hAnsi="Times New Roman"/>
          <w:sz w:val="22"/>
          <w:szCs w:val="22"/>
          <w:color w:val="auto"/>
        </w:rPr>
        <w:t>As a general rule, you should consider material information as any information that a reasonable investor would consider important in making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of the facts and circumstances, and you should carefully consider how a transaction may be construed by enforcement authorities who will have the benefit of hindsight. While it is not possible to define all categories of material information, some examples of information that ordinarily would be regarded as material are:</w:t>
      </w:r>
    </w:p>
    <w:p>
      <w:pPr>
        <w:spacing w:after="0" w:line="116" w:lineRule="exact"/>
        <w:rPr>
          <w:sz w:val="20"/>
          <w:szCs w:val="20"/>
          <w:color w:val="auto"/>
        </w:rPr>
      </w:pPr>
    </w:p>
    <w:p>
      <w:pPr>
        <w:ind w:left="1120" w:hanging="375"/>
        <w:spacing w:after="0"/>
        <w:tabs>
          <w:tab w:leader="none" w:pos="11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proposed acquisition, sale, joint venture, merger or tender offer;</w:t>
      </w:r>
    </w:p>
    <w:p>
      <w:pPr>
        <w:spacing w:after="0" w:line="138" w:lineRule="exact"/>
        <w:rPr>
          <w:rFonts w:ascii="Times New Roman" w:cs="Times New Roman" w:eastAsia="Times New Roman" w:hAnsi="Times New Roman"/>
          <w:sz w:val="22"/>
          <w:szCs w:val="22"/>
          <w:color w:val="auto"/>
        </w:rPr>
      </w:pPr>
    </w:p>
    <w:p>
      <w:pPr>
        <w:ind w:left="1120" w:hanging="375"/>
        <w:spacing w:after="0"/>
        <w:tabs>
          <w:tab w:leader="none" w:pos="11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Large contracts, renewals and terminations;</w:t>
      </w:r>
    </w:p>
    <w:p>
      <w:pPr>
        <w:spacing w:after="0" w:line="125" w:lineRule="exact"/>
        <w:rPr>
          <w:rFonts w:ascii="Times New Roman" w:cs="Times New Roman" w:eastAsia="Times New Roman" w:hAnsi="Times New Roman"/>
          <w:sz w:val="22"/>
          <w:szCs w:val="22"/>
          <w:color w:val="auto"/>
        </w:rPr>
      </w:pPr>
    </w:p>
    <w:p>
      <w:pPr>
        <w:ind w:left="1120" w:hanging="375"/>
        <w:spacing w:after="0"/>
        <w:tabs>
          <w:tab w:leader="none" w:pos="11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results or projected future earnings or losses;</w:t>
      </w:r>
    </w:p>
    <w:p>
      <w:pPr>
        <w:spacing w:after="0" w:line="138" w:lineRule="exact"/>
        <w:rPr>
          <w:rFonts w:ascii="Times New Roman" w:cs="Times New Roman" w:eastAsia="Times New Roman" w:hAnsi="Times New Roman"/>
          <w:sz w:val="22"/>
          <w:szCs w:val="22"/>
          <w:color w:val="auto"/>
        </w:rPr>
      </w:pPr>
    </w:p>
    <w:p>
      <w:pPr>
        <w:ind w:left="1120" w:hanging="375"/>
        <w:spacing w:after="0"/>
        <w:tabs>
          <w:tab w:leader="none" w:pos="11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to earnings guidance or projections, if any;</w:t>
      </w:r>
    </w:p>
    <w:p>
      <w:pPr>
        <w:spacing w:after="0" w:line="138" w:lineRule="exact"/>
        <w:rPr>
          <w:rFonts w:ascii="Times New Roman" w:cs="Times New Roman" w:eastAsia="Times New Roman" w:hAnsi="Times New Roman"/>
          <w:sz w:val="22"/>
          <w:szCs w:val="22"/>
          <w:color w:val="auto"/>
        </w:rPr>
      </w:pPr>
    </w:p>
    <w:p>
      <w:pPr>
        <w:ind w:left="1120" w:hanging="375"/>
        <w:spacing w:after="0"/>
        <w:tabs>
          <w:tab w:leader="none" w:pos="11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expansion or cutback of operations;</w:t>
      </w:r>
    </w:p>
    <w:p>
      <w:pPr>
        <w:spacing w:after="0" w:line="125" w:lineRule="exact"/>
        <w:rPr>
          <w:rFonts w:ascii="Times New Roman" w:cs="Times New Roman" w:eastAsia="Times New Roman" w:hAnsi="Times New Roman"/>
          <w:sz w:val="22"/>
          <w:szCs w:val="22"/>
          <w:color w:val="auto"/>
        </w:rPr>
      </w:pPr>
    </w:p>
    <w:p>
      <w:pPr>
        <w:ind w:left="1120" w:hanging="375"/>
        <w:spacing w:after="0"/>
        <w:tabs>
          <w:tab w:leader="none" w:pos="11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to vendor or supplier pricing;</w:t>
      </w:r>
    </w:p>
    <w:p>
      <w:pPr>
        <w:spacing w:after="0" w:line="138" w:lineRule="exact"/>
        <w:rPr>
          <w:rFonts w:ascii="Times New Roman" w:cs="Times New Roman" w:eastAsia="Times New Roman" w:hAnsi="Times New Roman"/>
          <w:sz w:val="22"/>
          <w:szCs w:val="22"/>
          <w:color w:val="auto"/>
        </w:rPr>
      </w:pPr>
    </w:p>
    <w:p>
      <w:pPr>
        <w:ind w:left="1120" w:hanging="375"/>
        <w:spacing w:after="0"/>
        <w:tabs>
          <w:tab w:leader="none" w:pos="11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Extraordinary management or business developments;</w:t>
      </w:r>
    </w:p>
    <w:p>
      <w:pPr>
        <w:spacing w:after="0" w:line="138" w:lineRule="exact"/>
        <w:rPr>
          <w:rFonts w:ascii="Times New Roman" w:cs="Times New Roman" w:eastAsia="Times New Roman" w:hAnsi="Times New Roman"/>
          <w:sz w:val="22"/>
          <w:szCs w:val="22"/>
          <w:color w:val="auto"/>
        </w:rPr>
      </w:pPr>
    </w:p>
    <w:p>
      <w:pPr>
        <w:ind w:left="1120" w:hanging="375"/>
        <w:spacing w:after="0"/>
        <w:tabs>
          <w:tab w:leader="none" w:pos="11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975360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89" w:name="page190"/>
    <w:bookmarkEnd w:id="189"/>
    <w:p>
      <w:pPr>
        <w:ind w:left="760" w:hanging="375"/>
        <w:spacing w:after="0"/>
        <w:tabs>
          <w:tab w:leader="none" w:pos="7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lawsuits or legal settlements;</w:t>
      </w:r>
    </w:p>
    <w:p>
      <w:pPr>
        <w:spacing w:after="0" w:line="138"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cybersecurity incidents or privacy breaches;</w:t>
      </w:r>
    </w:p>
    <w:p>
      <w:pPr>
        <w:spacing w:after="0" w:line="125"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Extraordinary customer quality claims;</w:t>
      </w:r>
    </w:p>
    <w:p>
      <w:pPr>
        <w:spacing w:after="0" w:line="138"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commencement or results of regulatory proceedings;</w:t>
      </w:r>
    </w:p>
    <w:p>
      <w:pPr>
        <w:spacing w:after="0" w:line="138"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a major supplier or key vendor;</w:t>
      </w:r>
    </w:p>
    <w:p>
      <w:pPr>
        <w:spacing w:after="0" w:line="125"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restructuring;</w:t>
      </w:r>
    </w:p>
    <w:p>
      <w:pPr>
        <w:spacing w:after="0" w:line="138" w:lineRule="exact"/>
        <w:rPr>
          <w:rFonts w:ascii="Times New Roman" w:cs="Times New Roman" w:eastAsia="Times New Roman" w:hAnsi="Times New Roman"/>
          <w:sz w:val="22"/>
          <w:szCs w:val="22"/>
          <w:color w:val="auto"/>
        </w:rPr>
      </w:pPr>
    </w:p>
    <w:p>
      <w:pPr>
        <w:ind w:left="760" w:right="380" w:hanging="375"/>
        <w:spacing w:after="0" w:line="258" w:lineRule="auto"/>
        <w:tabs>
          <w:tab w:leader="none" w:pos="7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Borrowing activities, including contemplated financings and refinancings (other than in the ordinary course);</w:t>
      </w:r>
    </w:p>
    <w:p>
      <w:pPr>
        <w:spacing w:after="0" w:line="90"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dividend policy, the declaration of a stock split, or an offering of additional securities;</w:t>
      </w:r>
    </w:p>
    <w:p>
      <w:pPr>
        <w:spacing w:after="0" w:line="125" w:lineRule="exact"/>
        <w:rPr>
          <w:rFonts w:ascii="Times New Roman" w:cs="Times New Roman" w:eastAsia="Times New Roman" w:hAnsi="Times New Roman"/>
          <w:sz w:val="22"/>
          <w:szCs w:val="22"/>
          <w:color w:val="auto"/>
        </w:rPr>
      </w:pPr>
    </w:p>
    <w:p>
      <w:pPr>
        <w:ind w:left="760" w:right="120" w:hanging="375"/>
        <w:spacing w:after="0" w:line="258" w:lineRule="auto"/>
        <w:tabs>
          <w:tab w:leader="none" w:pos="7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establishment, actual purchases, or the anticipated timing of purchases of a repurchase program for Company Securities;</w:t>
      </w:r>
    </w:p>
    <w:p>
      <w:pPr>
        <w:spacing w:after="0" w:line="90"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pricing or cost structure;</w:t>
      </w:r>
    </w:p>
    <w:p>
      <w:pPr>
        <w:spacing w:after="0" w:line="138"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marketing changes;</w:t>
      </w:r>
    </w:p>
    <w:p>
      <w:pPr>
        <w:spacing w:after="0" w:line="125"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auditors or notification that the auditor’s reports may no longer be relied upon;</w:t>
      </w:r>
    </w:p>
    <w:p>
      <w:pPr>
        <w:spacing w:after="0" w:line="138"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Commercialization of a significant new product, process, or service;</w:t>
      </w:r>
    </w:p>
    <w:p>
      <w:pPr>
        <w:spacing w:after="0" w:line="138"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Removal of product from the market;</w:t>
      </w:r>
    </w:p>
    <w:p>
      <w:pPr>
        <w:spacing w:after="0" w:line="125"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imposition of a ban on trading in Company Securities or the securities of another company; or</w:t>
      </w:r>
    </w:p>
    <w:p>
      <w:pPr>
        <w:spacing w:after="0" w:line="138" w:lineRule="exact"/>
        <w:rPr>
          <w:rFonts w:ascii="Times New Roman" w:cs="Times New Roman" w:eastAsia="Times New Roman" w:hAnsi="Times New Roman"/>
          <w:sz w:val="22"/>
          <w:szCs w:val="22"/>
          <w:color w:val="auto"/>
        </w:rPr>
      </w:pPr>
    </w:p>
    <w:p>
      <w:pPr>
        <w:ind w:left="760" w:hanging="375"/>
        <w:spacing w:after="0"/>
        <w:tabs>
          <w:tab w:leader="none" w:pos="7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the existence of severe liquidity problems.</w:t>
      </w:r>
    </w:p>
    <w:p>
      <w:pPr>
        <w:spacing w:after="0" w:line="200" w:lineRule="exact"/>
        <w:rPr>
          <w:rFonts w:ascii="Times New Roman" w:cs="Times New Roman" w:eastAsia="Times New Roman" w:hAnsi="Times New Roman"/>
          <w:sz w:val="22"/>
          <w:szCs w:val="22"/>
          <w:color w:val="auto"/>
        </w:rPr>
      </w:pPr>
    </w:p>
    <w:p>
      <w:pPr>
        <w:spacing w:after="0" w:line="312" w:lineRule="exact"/>
        <w:rPr>
          <w:rFonts w:ascii="Times New Roman" w:cs="Times New Roman" w:eastAsia="Times New Roman" w:hAnsi="Times New Roman"/>
          <w:sz w:val="22"/>
          <w:szCs w:val="22"/>
          <w:color w:val="auto"/>
        </w:rPr>
      </w:pPr>
    </w:p>
    <w:p>
      <w:pPr>
        <w:ind w:left="380" w:hanging="369"/>
        <w:spacing w:after="0"/>
        <w:tabs>
          <w:tab w:leader="none" w:pos="380" w:val="left"/>
        </w:tabs>
        <w:numPr>
          <w:ilvl w:val="0"/>
          <w:numId w:val="10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When Is Information Considered “Public”?</w:t>
      </w:r>
    </w:p>
    <w:p>
      <w:pPr>
        <w:spacing w:after="0" w:line="143"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21"/>
          <w:szCs w:val="21"/>
          <w:color w:val="auto"/>
        </w:rPr>
        <w:t>Information that has not been disclosed to the public is generally considered to be non-public information. For purposes of this Policy, “public disclosure” must be made by a method (or combination of methods) of disclosure reasonably designed to provide broad, non-exclusionary distribution of the information to the public, such as:</w:t>
      </w:r>
    </w:p>
    <w:p>
      <w:pPr>
        <w:spacing w:after="0" w:line="76" w:lineRule="exact"/>
        <w:rPr>
          <w:sz w:val="20"/>
          <w:szCs w:val="20"/>
          <w:color w:val="auto"/>
        </w:rPr>
      </w:pPr>
    </w:p>
    <w:p>
      <w:pPr>
        <w:ind w:left="760" w:hanging="375"/>
        <w:spacing w:after="0"/>
        <w:tabs>
          <w:tab w:leader="none" w:pos="7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press release distributed through a widely disseminated news or wire service.</w:t>
      </w:r>
    </w:p>
    <w:p>
      <w:pPr>
        <w:spacing w:after="0" w:line="138" w:lineRule="exact"/>
        <w:rPr>
          <w:rFonts w:ascii="Times New Roman" w:cs="Times New Roman" w:eastAsia="Times New Roman" w:hAnsi="Times New Roman"/>
          <w:sz w:val="22"/>
          <w:szCs w:val="22"/>
          <w:color w:val="auto"/>
        </w:rPr>
      </w:pPr>
    </w:p>
    <w:p>
      <w:pPr>
        <w:ind w:left="760" w:right="40" w:hanging="375"/>
        <w:spacing w:after="0" w:line="258" w:lineRule="auto"/>
        <w:tabs>
          <w:tab w:leader="none" w:pos="7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Exchange Act filing with the SEC, such as a Form 8-K, an Annual Report on Form 10-K, a Quarterly Report on Form 10-Q or a proxy statement;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953770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1440" w:top="1408" w:right="639" w:bottom="1440" w:gutter="0" w:footer="0" w:header="0"/>
        </w:sectPr>
      </w:pPr>
    </w:p>
    <w:bookmarkStart w:id="190" w:name="page191"/>
    <w:bookmarkEnd w:id="190"/>
    <w:p>
      <w:pPr>
        <w:jc w:val="both"/>
        <w:ind w:left="1498" w:hanging="375"/>
        <w:spacing w:after="0" w:line="244" w:lineRule="auto"/>
        <w:tabs>
          <w:tab w:leader="none" w:pos="149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announcement made at a conference call or webcast, if the public is given adequate advance notice of the conference call or webcast, which is reasonably designed to provide broad, non-exclusionary distribution of the conference call or webcast e information to the public.</w:t>
      </w:r>
    </w:p>
    <w:p>
      <w:pPr>
        <w:spacing w:after="0" w:line="106" w:lineRule="exact"/>
        <w:rPr>
          <w:sz w:val="20"/>
          <w:szCs w:val="20"/>
          <w:color w:val="auto"/>
        </w:rPr>
      </w:pPr>
    </w:p>
    <w:p>
      <w:pPr>
        <w:ind w:left="758" w:right="160"/>
        <w:spacing w:after="0" w:line="238" w:lineRule="auto"/>
        <w:rPr>
          <w:sz w:val="20"/>
          <w:szCs w:val="20"/>
          <w:color w:val="auto"/>
        </w:rPr>
      </w:pPr>
      <w:r>
        <w:rPr>
          <w:rFonts w:ascii="Times New Roman" w:cs="Times New Roman" w:eastAsia="Times New Roman" w:hAnsi="Times New Roman"/>
          <w:sz w:val="22"/>
          <w:szCs w:val="22"/>
          <w:color w:val="auto"/>
        </w:rPr>
        <w:t>An adequate advance notice of a conference call or webcast, including quarterly earnings calls, must include the date, time, subject matter intended to be discussed and access information. In addition, it should indicate whether a transcript or re-play of the conference or call will be available to the public after it has occurred via the Company’s website, and state for how long it will be available. Public notice should be provided, to the extent practicable, at least 48 hours ahead of the webcast or call.</w:t>
      </w:r>
    </w:p>
    <w:p>
      <w:pPr>
        <w:spacing w:after="0" w:line="96" w:lineRule="exact"/>
        <w:rPr>
          <w:sz w:val="20"/>
          <w:szCs w:val="20"/>
          <w:color w:val="auto"/>
        </w:rPr>
      </w:pPr>
    </w:p>
    <w:p>
      <w:pPr>
        <w:ind w:left="758" w:right="240"/>
        <w:spacing w:after="0" w:line="238" w:lineRule="auto"/>
        <w:rPr>
          <w:sz w:val="20"/>
          <w:szCs w:val="20"/>
          <w:color w:val="auto"/>
        </w:rPr>
      </w:pPr>
      <w:r>
        <w:rPr>
          <w:rFonts w:ascii="Times New Roman" w:cs="Times New Roman" w:eastAsia="Times New Roman" w:hAnsi="Times New Roman"/>
          <w:sz w:val="22"/>
          <w:szCs w:val="22"/>
          <w:color w:val="auto"/>
        </w:rPr>
        <w:t>Once information is widely disseminated, it is still necessary to afford the investing public with sufficient time to absorb the information. As a general rule, information should not be considered fully absorbed by the marketplace until after one full trading day has elapsed since the information is released. Depending on the particular circumstances, the Company may determine that a longer or shorter period should apply to the release of specific material non-public information.</w:t>
      </w:r>
    </w:p>
    <w:p>
      <w:pPr>
        <w:spacing w:after="0" w:line="109" w:lineRule="exact"/>
        <w:rPr>
          <w:sz w:val="20"/>
          <w:szCs w:val="20"/>
          <w:color w:val="auto"/>
        </w:rPr>
      </w:pPr>
    </w:p>
    <w:p>
      <w:pPr>
        <w:ind w:left="758" w:right="540"/>
        <w:spacing w:after="0" w:line="258" w:lineRule="auto"/>
        <w:rPr>
          <w:sz w:val="20"/>
          <w:szCs w:val="20"/>
          <w:color w:val="auto"/>
        </w:rPr>
      </w:pPr>
      <w:r>
        <w:rPr>
          <w:rFonts w:ascii="Times New Roman" w:cs="Times New Roman" w:eastAsia="Times New Roman" w:hAnsi="Times New Roman"/>
          <w:sz w:val="22"/>
          <w:szCs w:val="22"/>
          <w:color w:val="auto"/>
        </w:rPr>
        <w:t>If you have any question as to whether information is material or is publicly available, please err on the side of caution and direct an inquiry to the Chief Legal Officer.</w:t>
      </w:r>
    </w:p>
    <w:p>
      <w:pPr>
        <w:spacing w:after="0" w:line="87" w:lineRule="exact"/>
        <w:rPr>
          <w:sz w:val="20"/>
          <w:szCs w:val="20"/>
          <w:color w:val="auto"/>
        </w:rPr>
      </w:pPr>
    </w:p>
    <w:p>
      <w:pPr>
        <w:ind w:left="378" w:right="320"/>
        <w:spacing w:after="0" w:line="262" w:lineRule="auto"/>
        <w:rPr>
          <w:sz w:val="20"/>
          <w:szCs w:val="20"/>
          <w:color w:val="auto"/>
        </w:rPr>
      </w:pPr>
      <w:r>
        <w:rPr>
          <w:rFonts w:ascii="Times New Roman" w:cs="Times New Roman" w:eastAsia="Times New Roman" w:hAnsi="Times New Roman"/>
          <w:sz w:val="22"/>
          <w:szCs w:val="22"/>
          <w:b w:val="1"/>
          <w:bCs w:val="1"/>
          <w:color w:val="auto"/>
        </w:rPr>
        <w:t>If you have any question as to whether information is material or is publicly available, please err on the side of caution and direct an inquiry to the Chief Legal Officer.</w:t>
      </w:r>
    </w:p>
    <w:p>
      <w:pPr>
        <w:spacing w:after="0" w:line="200" w:lineRule="exact"/>
        <w:rPr>
          <w:sz w:val="20"/>
          <w:szCs w:val="20"/>
          <w:color w:val="auto"/>
        </w:rPr>
      </w:pPr>
    </w:p>
    <w:p>
      <w:pPr>
        <w:spacing w:after="0" w:line="328" w:lineRule="exact"/>
        <w:rPr>
          <w:sz w:val="20"/>
          <w:szCs w:val="20"/>
          <w:color w:val="auto"/>
        </w:rPr>
      </w:pPr>
    </w:p>
    <w:p>
      <w:pPr>
        <w:ind w:left="378" w:hanging="378"/>
        <w:spacing w:after="0"/>
        <w:tabs>
          <w:tab w:leader="none" w:pos="378"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BLACKOUT PERIODS</w:t>
      </w:r>
    </w:p>
    <w:p>
      <w:pPr>
        <w:spacing w:after="0" w:line="210" w:lineRule="exact"/>
        <w:rPr>
          <w:rFonts w:ascii="Times New Roman" w:cs="Times New Roman" w:eastAsia="Times New Roman" w:hAnsi="Times New Roman"/>
          <w:sz w:val="22"/>
          <w:szCs w:val="22"/>
          <w:b w:val="1"/>
          <w:bCs w:val="1"/>
          <w:color w:val="auto"/>
        </w:rPr>
      </w:pPr>
    </w:p>
    <w:p>
      <w:pPr>
        <w:ind w:left="378"/>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Company Personnel are prohibited from engaging in transactions involving Company Securities during the following periods (the “</w:t>
      </w:r>
      <w:r>
        <w:rPr>
          <w:rFonts w:ascii="Times New Roman" w:cs="Times New Roman" w:eastAsia="Times New Roman" w:hAnsi="Times New Roman"/>
          <w:sz w:val="22"/>
          <w:szCs w:val="22"/>
          <w:u w:val="single" w:color="auto"/>
          <w:color w:val="auto"/>
        </w:rPr>
        <w:t>Blackout Periods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b w:val="1"/>
          <w:bCs w:val="1"/>
          <w:color w:val="auto"/>
        </w:rPr>
      </w:pPr>
    </w:p>
    <w:p>
      <w:pPr>
        <w:ind w:left="1118" w:right="60" w:hanging="369"/>
        <w:spacing w:after="0" w:line="249" w:lineRule="auto"/>
        <w:tabs>
          <w:tab w:leader="none" w:pos="1118"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period in each fiscal quarter commencing on the fifteenth day of the third calendar month (i.e., March 15, June 15, September 15 and December 15) and ending after the first full trading day has elapsed after public disclosure of the financial results for such fiscal quarter or year. If public disclosure occurs on a trading day after the markets open, then such date of disclosure shall not be considered the first full trading day with respect to such public disclosure. For example, trading would be permissible on a Tuesday following a Monday release before trading hours and on a Wednesday following a Monday release during or after trading hours.</w:t>
      </w:r>
    </w:p>
    <w:p>
      <w:pPr>
        <w:spacing w:after="0" w:line="170" w:lineRule="exact"/>
        <w:rPr>
          <w:rFonts w:ascii="Times New Roman" w:cs="Times New Roman" w:eastAsia="Times New Roman" w:hAnsi="Times New Roman"/>
          <w:sz w:val="21"/>
          <w:szCs w:val="21"/>
          <w:color w:val="auto"/>
        </w:rPr>
      </w:pPr>
    </w:p>
    <w:p>
      <w:pPr>
        <w:ind w:left="1118" w:hanging="369"/>
        <w:spacing w:after="0"/>
        <w:tabs>
          <w:tab w:leader="none" w:pos="1118"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period designated in writing by the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984250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08" w:right="339" w:bottom="1440" w:gutter="0" w:footer="0" w:header="0"/>
        </w:sectPr>
      </w:pPr>
    </w:p>
    <w:bookmarkStart w:id="191" w:name="page192"/>
    <w:bookmarkEnd w:id="191"/>
    <w:p>
      <w:pPr>
        <w:spacing w:after="0" w:line="185" w:lineRule="exact"/>
        <w:rPr>
          <w:sz w:val="20"/>
          <w:szCs w:val="20"/>
          <w:color w:val="auto"/>
        </w:rPr>
      </w:pPr>
    </w:p>
    <w:p>
      <w:pPr>
        <w:ind w:left="380" w:right="380"/>
        <w:spacing w:after="0" w:line="258" w:lineRule="auto"/>
        <w:rPr>
          <w:sz w:val="20"/>
          <w:szCs w:val="20"/>
          <w:color w:val="auto"/>
        </w:rPr>
      </w:pPr>
      <w:r>
        <w:rPr>
          <w:rFonts w:ascii="Times New Roman" w:cs="Times New Roman" w:eastAsia="Times New Roman" w:hAnsi="Times New Roman"/>
          <w:sz w:val="22"/>
          <w:szCs w:val="22"/>
          <w:color w:val="auto"/>
        </w:rPr>
        <w:t>If you are made aware of the existence of an event-specific Blackout Period, you should not disclose the existence of such Blackout Period to any other person.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IV. CERTAIN ADDITIONAL RESTRICTIONS</w:t>
      </w:r>
    </w:p>
    <w:p>
      <w:pPr>
        <w:spacing w:after="0" w:line="206" w:lineRule="exact"/>
        <w:rPr>
          <w:sz w:val="20"/>
          <w:szCs w:val="20"/>
          <w:color w:val="auto"/>
        </w:rPr>
      </w:pPr>
    </w:p>
    <w:p>
      <w:pPr>
        <w:ind w:left="760" w:hanging="383"/>
        <w:spacing w:after="0"/>
        <w:tabs>
          <w:tab w:leader="none" w:pos="76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Designated Persons</w:t>
      </w:r>
    </w:p>
    <w:p>
      <w:pPr>
        <w:spacing w:after="0" w:line="210" w:lineRule="exact"/>
        <w:rPr>
          <w:rFonts w:ascii="Times New Roman" w:cs="Times New Roman" w:eastAsia="Times New Roman" w:hAnsi="Times New Roman"/>
          <w:sz w:val="22"/>
          <w:szCs w:val="22"/>
          <w:b w:val="1"/>
          <w:bCs w:val="1"/>
          <w:color w:val="auto"/>
        </w:rPr>
      </w:pPr>
    </w:p>
    <w:p>
      <w:pPr>
        <w:ind w:left="760" w:right="48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Designated Persons are subject to Pre-Clearance restrictions described in this Section IV. The following are “</w:t>
      </w:r>
      <w:r>
        <w:rPr>
          <w:rFonts w:ascii="Times New Roman" w:cs="Times New Roman" w:eastAsia="Times New Roman" w:hAnsi="Times New Roman"/>
          <w:sz w:val="22"/>
          <w:szCs w:val="22"/>
          <w:u w:val="single" w:color="auto"/>
          <w:color w:val="auto"/>
        </w:rPr>
        <w:t>Designated Persons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b w:val="1"/>
          <w:bCs w:val="1"/>
          <w:color w:val="auto"/>
        </w:rPr>
      </w:pPr>
    </w:p>
    <w:p>
      <w:pPr>
        <w:ind w:left="1120" w:right="260" w:hanging="369"/>
        <w:spacing w:after="0" w:line="258" w:lineRule="auto"/>
        <w:tabs>
          <w:tab w:leader="none" w:pos="112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directors and officers (as defined in Rule 16a-1(f) of the Exchange Act) of the Company (each, a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16 Person</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120" w:right="180" w:hanging="369"/>
        <w:spacing w:after="0" w:line="244" w:lineRule="auto"/>
        <w:tabs>
          <w:tab w:leader="none" w:pos="112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Personnel in key financial reporting or communication roles and such other persons, in each case, as may be designated from time to time by the Chief Legal Officer (designated individuals will be identified and contacted through a separate memorandum).</w:t>
      </w:r>
    </w:p>
    <w:p>
      <w:pPr>
        <w:spacing w:after="0" w:line="169" w:lineRule="exact"/>
        <w:rPr>
          <w:rFonts w:ascii="Times New Roman" w:cs="Times New Roman" w:eastAsia="Times New Roman" w:hAnsi="Times New Roman"/>
          <w:sz w:val="22"/>
          <w:szCs w:val="22"/>
          <w:color w:val="auto"/>
        </w:rPr>
      </w:pPr>
    </w:p>
    <w:p>
      <w:pPr>
        <w:ind w:left="760" w:hanging="383"/>
        <w:spacing w:after="0"/>
        <w:tabs>
          <w:tab w:leader="none" w:pos="76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Pre-Clearance</w:t>
      </w:r>
    </w:p>
    <w:p>
      <w:pPr>
        <w:spacing w:after="0" w:line="210" w:lineRule="exact"/>
        <w:rPr>
          <w:rFonts w:ascii="Times New Roman" w:cs="Times New Roman" w:eastAsia="Times New Roman" w:hAnsi="Times New Roman"/>
          <w:sz w:val="22"/>
          <w:szCs w:val="22"/>
          <w:b w:val="1"/>
          <w:bCs w:val="1"/>
          <w:color w:val="auto"/>
        </w:rPr>
      </w:pPr>
    </w:p>
    <w:p>
      <w:pPr>
        <w:ind w:left="760" w:right="80"/>
        <w:spacing w:after="0" w:line="23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All Designated Persons must clear all transactions in Company Securities by them, their Family Members and their Controlled Entities, including stock option exercises, gifts, and adoption of 10b5- 1 Trading Plans (as defined below) and Non-10b5-1 Trading Plans (as defined below), with the Chief Legal Officer </w:t>
      </w:r>
      <w:r>
        <w:rPr>
          <w:rFonts w:ascii="Times New Roman" w:cs="Times New Roman" w:eastAsia="Times New Roman" w:hAnsi="Times New Roman"/>
          <w:sz w:val="22"/>
          <w:szCs w:val="22"/>
          <w:b w:val="1"/>
          <w:bCs w:val="1"/>
          <w:u w:val="single" w:color="auto"/>
          <w:color w:val="auto"/>
        </w:rPr>
        <w:t>before</w:t>
      </w:r>
      <w:r>
        <w:rPr>
          <w:rFonts w:ascii="Times New Roman" w:cs="Times New Roman" w:eastAsia="Times New Roman" w:hAnsi="Times New Roman"/>
          <w:sz w:val="22"/>
          <w:szCs w:val="22"/>
          <w:color w:val="auto"/>
        </w:rPr>
        <w:t xml:space="preserve"> the trade may occur. The Chief Legal Officer may designate and provide notice to other key employees who may, from time to time, be subject to the pre-clearance procedures under this Policy.</w:t>
      </w:r>
    </w:p>
    <w:p>
      <w:pPr>
        <w:spacing w:after="0" w:line="176" w:lineRule="exact"/>
        <w:rPr>
          <w:rFonts w:ascii="Times New Roman" w:cs="Times New Roman" w:eastAsia="Times New Roman" w:hAnsi="Times New Roman"/>
          <w:sz w:val="22"/>
          <w:szCs w:val="22"/>
          <w:b w:val="1"/>
          <w:bCs w:val="1"/>
          <w:color w:val="auto"/>
        </w:rPr>
      </w:pPr>
    </w:p>
    <w:p>
      <w:pPr>
        <w:ind w:left="760"/>
        <w:spacing w:after="0" w:line="24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 xml:space="preserve">Designated Persons seeking to pre-clear a trade in Company Securities must notify the Chief Legal Officer (or his/her designee) in writing of the desire to conduct a trade at least two (2) business days before the date of the proposed transaction. Designated Persons should be prepared to provide the dates on which the proposed transactions are expected to occur and to identify the broker- dealer or any other investment professional responsible for executing the trade. The Chief Legal Officer (or his/her designee) will inform the requesting individual of a decision with respect to the request as soon as possible after considering all the circumstances relevant to his/her determination. The Chief Legal Officer (or his/her designee) is under no obligation to approve a transaction submitted for pre-clearance, and may determine not to permit the transaction. If the Chief Legal Officer (or his/her designee) has not responded to a request for pre-clearance, </w:t>
      </w:r>
      <w:r>
        <w:rPr>
          <w:rFonts w:ascii="Times New Roman" w:cs="Times New Roman" w:eastAsia="Times New Roman" w:hAnsi="Times New Roman"/>
          <w:sz w:val="21"/>
          <w:szCs w:val="21"/>
          <w:b w:val="1"/>
          <w:bCs w:val="1"/>
          <w:u w:val="single" w:color="auto"/>
          <w:color w:val="auto"/>
        </w:rPr>
        <w:t>do not</w:t>
      </w:r>
      <w:r>
        <w:rPr>
          <w:rFonts w:ascii="Times New Roman" w:cs="Times New Roman" w:eastAsia="Times New Roman" w:hAnsi="Times New Roman"/>
          <w:sz w:val="21"/>
          <w:szCs w:val="21"/>
          <w:color w:val="auto"/>
        </w:rPr>
        <w:t xml:space="preserve"> trade in the Company Securities. If approved, the transaction must occur within five (5) business days after receipt of approval (so long as the transaction is not during a Blackout Period). If permission is denied, refrain from initiating any transaction in Company Securities, and do not inform any other person of the restriction. Pre-clearance requests will not be granted during a Blackout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963930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192" w:name="page193"/>
    <w:bookmarkEnd w:id="192"/>
    <w:p>
      <w:pPr>
        <w:spacing w:after="0" w:line="181" w:lineRule="exact"/>
        <w:rPr>
          <w:sz w:val="20"/>
          <w:szCs w:val="20"/>
          <w:color w:val="auto"/>
        </w:rPr>
      </w:pPr>
    </w:p>
    <w:p>
      <w:pPr>
        <w:ind w:left="3"/>
        <w:spacing w:after="0" w:line="246" w:lineRule="auto"/>
        <w:rPr>
          <w:sz w:val="20"/>
          <w:szCs w:val="20"/>
          <w:color w:val="auto"/>
        </w:rPr>
      </w:pPr>
      <w:r>
        <w:rPr>
          <w:rFonts w:ascii="Times New Roman" w:cs="Times New Roman" w:eastAsia="Times New Roman" w:hAnsi="Times New Roman"/>
          <w:sz w:val="22"/>
          <w:szCs w:val="22"/>
          <w:b w:val="1"/>
          <w:bCs w:val="1"/>
          <w:color w:val="auto"/>
        </w:rPr>
        <w:t>Even if approval to trade pursuant to the pre-clearance process is obtained in writing, or pre- clearance is not required for a particular transaction, Designated Persons may not trade in Company Securities if they are aware of material, non-public information about the Company.</w:t>
      </w:r>
    </w:p>
    <w:p>
      <w:pPr>
        <w:spacing w:after="0" w:line="167" w:lineRule="exact"/>
        <w:rPr>
          <w:sz w:val="20"/>
          <w:szCs w:val="20"/>
          <w:color w:val="auto"/>
        </w:rPr>
      </w:pPr>
    </w:p>
    <w:p>
      <w:pPr>
        <w:ind w:left="383" w:hanging="383"/>
        <w:spacing w:after="0"/>
        <w:tabs>
          <w:tab w:leader="none" w:pos="383"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Prohibited and Special Transactions</w:t>
      </w:r>
    </w:p>
    <w:p>
      <w:pPr>
        <w:spacing w:after="0" w:line="206" w:lineRule="exact"/>
        <w:rPr>
          <w:rFonts w:ascii="Times New Roman" w:cs="Times New Roman" w:eastAsia="Times New Roman" w:hAnsi="Times New Roman"/>
          <w:sz w:val="22"/>
          <w:szCs w:val="22"/>
          <w:b w:val="1"/>
          <w:bCs w:val="1"/>
          <w:color w:val="auto"/>
        </w:rPr>
      </w:pPr>
    </w:p>
    <w:p>
      <w:pPr>
        <w:ind w:left="383"/>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In addition to the other restrictions and prohibitions contained in this Policy, all Company Personnel </w:t>
      </w:r>
      <w:r>
        <w:rPr>
          <w:rFonts w:ascii="Times New Roman" w:cs="Times New Roman" w:eastAsia="Times New Roman" w:hAnsi="Times New Roman"/>
          <w:sz w:val="22"/>
          <w:szCs w:val="22"/>
          <w:b w:val="1"/>
          <w:bCs w:val="1"/>
          <w:u w:val="single" w:color="auto"/>
          <w:color w:val="auto"/>
        </w:rPr>
        <w:t>may not</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b w:val="1"/>
          <w:bCs w:val="1"/>
          <w:color w:val="auto"/>
        </w:rPr>
      </w:pPr>
    </w:p>
    <w:p>
      <w:pPr>
        <w:ind w:left="743" w:right="220" w:hanging="369"/>
        <w:spacing w:after="0" w:line="247" w:lineRule="auto"/>
        <w:tabs>
          <w:tab w:leader="none" w:pos="743"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Short-Term Trading</w:t>
      </w:r>
      <w:r>
        <w:rPr>
          <w:rFonts w:ascii="Times New Roman" w:cs="Times New Roman" w:eastAsia="Times New Roman" w:hAnsi="Times New Roman"/>
          <w:sz w:val="22"/>
          <w:szCs w:val="22"/>
          <w:color w:val="auto"/>
        </w:rPr>
        <w:t>: Sell any Company Securities of the same class during the six months following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purchase of any Company Securities of that class (or vice versa). Shares purchased through the Company are not subject to this restriction.</w:t>
      </w:r>
    </w:p>
    <w:p>
      <w:pPr>
        <w:spacing w:after="0" w:line="163" w:lineRule="exact"/>
        <w:rPr>
          <w:rFonts w:ascii="Times New Roman" w:cs="Times New Roman" w:eastAsia="Times New Roman" w:hAnsi="Times New Roman"/>
          <w:sz w:val="22"/>
          <w:szCs w:val="22"/>
          <w:color w:val="auto"/>
        </w:rPr>
      </w:pPr>
    </w:p>
    <w:p>
      <w:pPr>
        <w:ind w:left="743" w:right="80" w:hanging="369"/>
        <w:spacing w:after="0" w:line="247" w:lineRule="auto"/>
        <w:tabs>
          <w:tab w:leader="none" w:pos="743"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Short Sales</w:t>
      </w:r>
      <w:r>
        <w:rPr>
          <w:rFonts w:ascii="Times New Roman" w:cs="Times New Roman" w:eastAsia="Times New Roman" w:hAnsi="Times New Roman"/>
          <w:sz w:val="22"/>
          <w:szCs w:val="22"/>
          <w:color w:val="auto"/>
        </w:rPr>
        <w:t>: Engage in short sales (selling securities that you do not own, with the intention of buying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securities at a lower price in the future) of Company Securities. In addition, Section 16(c) of the Exchange Act prohibits Section 16 Persons from engaging in short sales.</w:t>
      </w:r>
    </w:p>
    <w:p>
      <w:pPr>
        <w:spacing w:after="0" w:line="163" w:lineRule="exact"/>
        <w:rPr>
          <w:rFonts w:ascii="Times New Roman" w:cs="Times New Roman" w:eastAsia="Times New Roman" w:hAnsi="Times New Roman"/>
          <w:sz w:val="22"/>
          <w:szCs w:val="22"/>
          <w:color w:val="auto"/>
        </w:rPr>
      </w:pPr>
    </w:p>
    <w:p>
      <w:pPr>
        <w:ind w:left="743" w:right="800" w:hanging="369"/>
        <w:spacing w:after="0" w:line="264" w:lineRule="auto"/>
        <w:tabs>
          <w:tab w:leader="none" w:pos="743"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Publicly Traded Options</w:t>
      </w:r>
      <w:r>
        <w:rPr>
          <w:rFonts w:ascii="Times New Roman" w:cs="Times New Roman" w:eastAsia="Times New Roman" w:hAnsi="Times New Roman"/>
          <w:sz w:val="22"/>
          <w:szCs w:val="22"/>
          <w:color w:val="auto"/>
        </w:rPr>
        <w:t>: Engage in Company Securities in the form of puts, calls, or other derivative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securities, on an exchange or in any other organized market.</w:t>
      </w:r>
    </w:p>
    <w:p>
      <w:pPr>
        <w:spacing w:after="0" w:line="145" w:lineRule="exact"/>
        <w:rPr>
          <w:rFonts w:ascii="Times New Roman" w:cs="Times New Roman" w:eastAsia="Times New Roman" w:hAnsi="Times New Roman"/>
          <w:sz w:val="22"/>
          <w:szCs w:val="22"/>
          <w:color w:val="auto"/>
        </w:rPr>
      </w:pPr>
    </w:p>
    <w:p>
      <w:pPr>
        <w:ind w:left="743" w:right="120" w:hanging="369"/>
        <w:spacing w:after="0" w:line="241" w:lineRule="auto"/>
        <w:tabs>
          <w:tab w:leader="none" w:pos="743"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Pledging</w:t>
      </w:r>
      <w:r>
        <w:rPr>
          <w:rFonts w:ascii="Times New Roman" w:cs="Times New Roman" w:eastAsia="Times New Roman" w:hAnsi="Times New Roman"/>
          <w:sz w:val="22"/>
          <w:szCs w:val="22"/>
          <w:color w:val="auto"/>
        </w:rPr>
        <w:t>: Pledge, hypothecate, or otherwise encumber shares of Company Securities as collateral for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indebtedness. This includes but is not limited to holding such shares in a margin account or any other account that could cause Company Securities to be subject to a margin call or otherwise be available as collateral for a margin loan.</w:t>
      </w:r>
    </w:p>
    <w:p>
      <w:pPr>
        <w:spacing w:after="0" w:line="171" w:lineRule="exact"/>
        <w:rPr>
          <w:rFonts w:ascii="Times New Roman" w:cs="Times New Roman" w:eastAsia="Times New Roman" w:hAnsi="Times New Roman"/>
          <w:sz w:val="22"/>
          <w:szCs w:val="22"/>
          <w:color w:val="auto"/>
        </w:rPr>
      </w:pPr>
    </w:p>
    <w:p>
      <w:pPr>
        <w:ind w:left="743" w:right="40" w:hanging="369"/>
        <w:spacing w:after="0" w:line="239" w:lineRule="auto"/>
        <w:tabs>
          <w:tab w:leader="none" w:pos="743"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Hedging</w:t>
      </w:r>
      <w:r>
        <w:rPr>
          <w:rFonts w:ascii="Times New Roman" w:cs="Times New Roman" w:eastAsia="Times New Roman" w:hAnsi="Times New Roman"/>
          <w:sz w:val="22"/>
          <w:szCs w:val="22"/>
          <w:color w:val="auto"/>
        </w:rPr>
        <w:t>: Purchase a financial instrument or entering into any transaction that is designed to hedge, establish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downside price protection or otherwise offset declines in the market value of Company Securities, including puts, calls, prepaid variable forward contracts, equity swaps, collars, exchange funds (excluding broad-based index funds) and other financial instruments that are designed to or have the effect of hedging or offsetting any decrease in the market value of Company Securities.</w:t>
      </w:r>
    </w:p>
    <w:p>
      <w:pPr>
        <w:spacing w:after="0" w:line="171" w:lineRule="exact"/>
        <w:rPr>
          <w:rFonts w:ascii="Times New Roman" w:cs="Times New Roman" w:eastAsia="Times New Roman" w:hAnsi="Times New Roman"/>
          <w:sz w:val="22"/>
          <w:szCs w:val="22"/>
          <w:color w:val="auto"/>
        </w:rPr>
      </w:pPr>
    </w:p>
    <w:p>
      <w:pPr>
        <w:ind w:left="743" w:right="660" w:hanging="369"/>
        <w:spacing w:after="0" w:line="264" w:lineRule="auto"/>
        <w:tabs>
          <w:tab w:leader="none" w:pos="743"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Standing and Limit Orders</w:t>
      </w:r>
      <w:r>
        <w:rPr>
          <w:rFonts w:ascii="Times New Roman" w:cs="Times New Roman" w:eastAsia="Times New Roman" w:hAnsi="Times New Roman"/>
          <w:sz w:val="22"/>
          <w:szCs w:val="22"/>
          <w:color w:val="auto"/>
        </w:rPr>
        <w:t>: Place standing or limit orders on Company Securities outside of a properly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established Rule 10b5-1 Plan (as defined in Section III.F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949325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3"/>
          </w:cols>
          <w:pgMar w:left="1077" w:top="1440" w:right="439" w:bottom="1440" w:gutter="0" w:footer="0" w:header="0"/>
        </w:sectPr>
      </w:pPr>
    </w:p>
    <w:bookmarkStart w:id="193" w:name="page194"/>
    <w:bookmarkEnd w:id="193"/>
    <w:p>
      <w:pPr>
        <w:spacing w:after="0" w:line="181" w:lineRule="exact"/>
        <w:rPr>
          <w:sz w:val="20"/>
          <w:szCs w:val="20"/>
          <w:color w:val="auto"/>
        </w:rPr>
      </w:pPr>
    </w:p>
    <w:p>
      <w:pPr>
        <w:ind w:left="383" w:hanging="383"/>
        <w:spacing w:after="0"/>
        <w:tabs>
          <w:tab w:leader="none" w:pos="383"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Transactions under Company Plans</w:t>
      </w:r>
    </w:p>
    <w:p>
      <w:pPr>
        <w:spacing w:after="0" w:line="210" w:lineRule="exact"/>
        <w:rPr>
          <w:rFonts w:ascii="Times New Roman" w:cs="Times New Roman" w:eastAsia="Times New Roman" w:hAnsi="Times New Roman"/>
          <w:sz w:val="22"/>
          <w:szCs w:val="22"/>
          <w:b w:val="1"/>
          <w:bCs w:val="1"/>
          <w:color w:val="auto"/>
        </w:rPr>
      </w:pPr>
    </w:p>
    <w:p>
      <w:pPr>
        <w:ind w:left="383"/>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limitations of this Policy do not apply to the following, except as specifically noted:</w:t>
      </w:r>
    </w:p>
    <w:p>
      <w:pPr>
        <w:spacing w:after="0" w:line="200" w:lineRule="exact"/>
        <w:rPr>
          <w:rFonts w:ascii="Times New Roman" w:cs="Times New Roman" w:eastAsia="Times New Roman" w:hAnsi="Times New Roman"/>
          <w:sz w:val="22"/>
          <w:szCs w:val="22"/>
          <w:b w:val="1"/>
          <w:bCs w:val="1"/>
          <w:color w:val="auto"/>
        </w:rPr>
      </w:pPr>
    </w:p>
    <w:p>
      <w:pPr>
        <w:ind w:left="743" w:hanging="369"/>
        <w:spacing w:after="0" w:line="237" w:lineRule="auto"/>
        <w:tabs>
          <w:tab w:leader="none" w:pos="743"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Stock Option Exercises</w:t>
      </w:r>
      <w:r>
        <w:rPr>
          <w:rFonts w:ascii="Times New Roman" w:cs="Times New Roman" w:eastAsia="Times New Roman" w:hAnsi="Times New Roman"/>
          <w:sz w:val="22"/>
          <w:szCs w:val="22"/>
          <w:color w:val="auto"/>
        </w:rPr>
        <w:t>: The trading restrictions in this Policy, including those imposed during Blackout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Periods, do not apply to the exercise of options granted under the Company’s equity compensation plans using cash to pay the exercise price or, where permitted under the applicable award agreement, by a net exercise transaction with the Company. This Policy does, however, apply to any sale of stock as part of a broker- assisted cashless exercise or any other market sale, whether or not for the purpose of generating the cash needed to pay the exercise price or pay taxes.</w:t>
      </w:r>
    </w:p>
    <w:p>
      <w:pPr>
        <w:spacing w:after="0" w:line="175" w:lineRule="exact"/>
        <w:rPr>
          <w:rFonts w:ascii="Times New Roman" w:cs="Times New Roman" w:eastAsia="Times New Roman" w:hAnsi="Times New Roman"/>
          <w:sz w:val="22"/>
          <w:szCs w:val="22"/>
          <w:color w:val="auto"/>
        </w:rPr>
      </w:pPr>
    </w:p>
    <w:p>
      <w:pPr>
        <w:ind w:left="743" w:right="180" w:hanging="369"/>
        <w:spacing w:after="0" w:line="239" w:lineRule="auto"/>
        <w:tabs>
          <w:tab w:leader="none" w:pos="743"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Tax Withholding Transactions</w:t>
      </w:r>
      <w:r>
        <w:rPr>
          <w:rFonts w:ascii="Times New Roman" w:cs="Times New Roman" w:eastAsia="Times New Roman" w:hAnsi="Times New Roman"/>
          <w:sz w:val="22"/>
          <w:szCs w:val="22"/>
          <w:color w:val="auto"/>
        </w:rPr>
        <w:t>: This Policy does not apply to the surrender of shares directly to the Company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as permitted by the Company to satisfy tax withholding obligations as a result of the issuance of shares upon exercise or vesting of stock options, restricted stock units or other equity awards granted under the Company’s equity compensation plans. This Policy does, however, apply to any market sale of the stock received upon exercise or vesting of any such equity awards.</w:t>
      </w:r>
    </w:p>
    <w:p>
      <w:pPr>
        <w:spacing w:after="0" w:line="171" w:lineRule="exact"/>
        <w:rPr>
          <w:rFonts w:ascii="Times New Roman" w:cs="Times New Roman" w:eastAsia="Times New Roman" w:hAnsi="Times New Roman"/>
          <w:sz w:val="22"/>
          <w:szCs w:val="22"/>
          <w:color w:val="auto"/>
        </w:rPr>
      </w:pPr>
    </w:p>
    <w:p>
      <w:pPr>
        <w:ind w:left="743" w:right="20" w:hanging="369"/>
        <w:spacing w:after="0" w:line="247" w:lineRule="auto"/>
        <w:tabs>
          <w:tab w:leader="none" w:pos="743"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401(k) Plan</w:t>
      </w:r>
      <w:r>
        <w:rPr>
          <w:rFonts w:ascii="Times New Roman" w:cs="Times New Roman" w:eastAsia="Times New Roman" w:hAnsi="Times New Roman"/>
          <w:sz w:val="21"/>
          <w:szCs w:val="21"/>
          <w:color w:val="auto"/>
        </w:rPr>
        <w:t>: Purchases of Company Securities in the Company’s 401(k) plan resulting from periodic</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contribution of money to the plan pursuant to standard payroll deduction elections. This Policy does apply, however, to certain elections you may make under the 401(k) plan, including: (a) an election to increase or decrease the percentage of your periodic contributions that will be allocated to the Company’s stock fund; (b) an election to make an intra-plan transfer of an existing account balance into or out of the Company’s stock fund;</w:t>
      </w:r>
    </w:p>
    <w:p>
      <w:pPr>
        <w:spacing w:after="0" w:line="2" w:lineRule="exact"/>
        <w:rPr>
          <w:rFonts w:ascii="Times New Roman" w:cs="Times New Roman" w:eastAsia="Times New Roman" w:hAnsi="Times New Roman"/>
          <w:sz w:val="21"/>
          <w:szCs w:val="21"/>
          <w:color w:val="auto"/>
        </w:rPr>
      </w:pPr>
    </w:p>
    <w:p>
      <w:pPr>
        <w:ind w:left="743" w:right="10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an election to borrow money against your 401(k) plan account if the loan will result in a liquidation of some or all of your Company stock fund balance; and (d) an election to pre-pay a plan loan if the pre-payment will result in allocation of loan proceeds to the Company stock fund.</w:t>
      </w:r>
    </w:p>
    <w:p>
      <w:pPr>
        <w:spacing w:after="0" w:line="171" w:lineRule="exact"/>
        <w:rPr>
          <w:rFonts w:ascii="Times New Roman" w:cs="Times New Roman" w:eastAsia="Times New Roman" w:hAnsi="Times New Roman"/>
          <w:sz w:val="21"/>
          <w:szCs w:val="21"/>
          <w:color w:val="auto"/>
        </w:rPr>
      </w:pPr>
    </w:p>
    <w:p>
      <w:pPr>
        <w:ind w:left="743" w:hanging="369"/>
        <w:spacing w:after="0" w:line="237" w:lineRule="auto"/>
        <w:tabs>
          <w:tab w:leader="none" w:pos="743"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Employee Stock Purchase Plan</w:t>
      </w:r>
      <w:r>
        <w:rPr>
          <w:rFonts w:ascii="Times New Roman" w:cs="Times New Roman" w:eastAsia="Times New Roman" w:hAnsi="Times New Roman"/>
          <w:sz w:val="22"/>
          <w:szCs w:val="22"/>
          <w:color w:val="auto"/>
        </w:rPr>
        <w:t>: Purchases of Company Securities in any employee stock purchase plan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resulting from periodic contribution of money to the plan pursuant to the election made at the time of enrollment in the plan. This Policy also does not apply to purchases of Company Securities resulting from lump sum contributions to the plan, provided that elections to participate by lump sum payment were made at the beginning of the applicable enrollment period. This Policy does apply, however, to elections to participate in the plan for any enrollment period, and to sales of Company Securities purchased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968375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94" w:name="page195"/>
    <w:bookmarkEnd w:id="194"/>
    <w:p>
      <w:pPr>
        <w:spacing w:after="0" w:line="181" w:lineRule="exact"/>
        <w:rPr>
          <w:sz w:val="20"/>
          <w:szCs w:val="20"/>
          <w:color w:val="auto"/>
        </w:rPr>
      </w:pPr>
    </w:p>
    <w:p>
      <w:pPr>
        <w:ind w:left="383" w:hanging="383"/>
        <w:spacing w:after="0"/>
        <w:tabs>
          <w:tab w:leader="none" w:pos="383"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Planned Trading Programs</w:t>
      </w:r>
    </w:p>
    <w:p>
      <w:pPr>
        <w:spacing w:after="0" w:line="210" w:lineRule="exact"/>
        <w:rPr>
          <w:rFonts w:ascii="Times New Roman" w:cs="Times New Roman" w:eastAsia="Times New Roman" w:hAnsi="Times New Roman"/>
          <w:sz w:val="22"/>
          <w:szCs w:val="22"/>
          <w:b w:val="1"/>
          <w:bCs w:val="1"/>
          <w:color w:val="auto"/>
        </w:rPr>
      </w:pPr>
    </w:p>
    <w:p>
      <w:pPr>
        <w:ind w:left="383" w:right="6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Under Rule 10b5-1 of the Exchange Act, Company Personnel may establish a trading plan under which a broker is instructed to trade Company Securities based on pre-determined criteria (a “10b5-1 Trading Plan”). So long as a 10b5-1 Trading Plan is properly established, trading of Company Securities pursuant to that 10b5-1 Trading Plan is not subject to this Policy, including additional pre- clearance and closed trading window restrictions. To be properly established, a 10b5-1 Trading Plan must be established in compliance with the requirements of Rule 10b5-1 of the Exchange Act and any applicable 10b5-1 trading plan guidelines established by the Company at a time when the Company is not in a Blackout Period and the Company Personnel adopting the plan is not otherwise aware of any material, non-public information relating to the Company. Moreover, all 10b5-1 Trading Plans must be reviewed and approved by the Chief Legal Officer before being established to confirm that the 10b5-1 Trading Plan complies with all pertinent company policies and applicable securities laws.</w:t>
      </w:r>
    </w:p>
    <w:p>
      <w:pPr>
        <w:spacing w:after="0" w:line="179" w:lineRule="exact"/>
        <w:rPr>
          <w:rFonts w:ascii="Times New Roman" w:cs="Times New Roman" w:eastAsia="Times New Roman" w:hAnsi="Times New Roman"/>
          <w:sz w:val="22"/>
          <w:szCs w:val="22"/>
          <w:b w:val="1"/>
          <w:bCs w:val="1"/>
          <w:color w:val="auto"/>
        </w:rPr>
      </w:pPr>
    </w:p>
    <w:p>
      <w:pPr>
        <w:ind w:left="383"/>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is required to disclose certain information on a quarterly basis on Form 10-Q and 10-K with respect to the adoption, material modification or termination by any Section 16 Person of (i) 10b5-1 Trading Plans, and (ii) any written trading arrangement for Company Securities that (A) specifies, or includes a written formula, algorithm or computer formula for determining, the amount of securities to be purchased or sold and the price at which and date on which the securities are to be purchased or sold, or (B) does not permit the person adopting the plan to exercise any subsequent influence over how, when or whether to effect purchases or sales (any such trading arrangement, a “Non-10b5-1 Trading Plan”). By entering into a 10b5-1 Trading Plan or Non-10b5-1 Trading Plan, Section 16 Persons are deemed to understand, and agree to cooperate with NGM with respect to, such disclosure obligations, including by notifying the Chief Compliance Officer or their designee of information relevant to the preparation of such disclosure.</w:t>
      </w:r>
    </w:p>
    <w:p>
      <w:pPr>
        <w:spacing w:after="0" w:line="175" w:lineRule="exact"/>
        <w:rPr>
          <w:rFonts w:ascii="Times New Roman" w:cs="Times New Roman" w:eastAsia="Times New Roman" w:hAnsi="Times New Roman"/>
          <w:sz w:val="22"/>
          <w:szCs w:val="22"/>
          <w:b w:val="1"/>
          <w:bCs w:val="1"/>
          <w:color w:val="auto"/>
        </w:rPr>
      </w:pPr>
    </w:p>
    <w:p>
      <w:pPr>
        <w:ind w:left="383" w:hanging="383"/>
        <w:spacing w:after="0"/>
        <w:tabs>
          <w:tab w:leader="none" w:pos="383"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Post-Termination Transactions</w:t>
      </w:r>
    </w:p>
    <w:p>
      <w:pPr>
        <w:spacing w:after="0" w:line="210" w:lineRule="exact"/>
        <w:rPr>
          <w:rFonts w:ascii="Times New Roman" w:cs="Times New Roman" w:eastAsia="Times New Roman" w:hAnsi="Times New Roman"/>
          <w:sz w:val="22"/>
          <w:szCs w:val="22"/>
          <w:b w:val="1"/>
          <w:bCs w:val="1"/>
          <w:color w:val="auto"/>
        </w:rPr>
      </w:pPr>
    </w:p>
    <w:p>
      <w:pPr>
        <w:ind w:left="383" w:right="180"/>
        <w:spacing w:after="0" w:line="23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Policy continues to apply to transactions in Company Securities even after your service with the Company has ended (other than the pre-clearance and trading prohibitions during a Blackout Period, which will cease to apply upon the expiration of any Blackout Period pending at the time of the termination of service). If you are aware of material non-public information when your employment terminates, you may not purchase or sell Company Securities until that information has become public or is no longer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965835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95" w:name="page196"/>
    <w:bookmarkEnd w:id="195"/>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78" w:hanging="378"/>
        <w:spacing w:after="0"/>
        <w:tabs>
          <w:tab w:leader="none" w:pos="378"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CONSEQUENCES OF VIOLATION</w:t>
      </w:r>
    </w:p>
    <w:p>
      <w:pPr>
        <w:spacing w:after="0" w:line="210" w:lineRule="exact"/>
        <w:rPr>
          <w:rFonts w:ascii="Times New Roman" w:cs="Times New Roman" w:eastAsia="Times New Roman" w:hAnsi="Times New Roman"/>
          <w:sz w:val="22"/>
          <w:szCs w:val="22"/>
          <w:b w:val="1"/>
          <w:bCs w:val="1"/>
          <w:color w:val="auto"/>
        </w:rPr>
      </w:pPr>
    </w:p>
    <w:p>
      <w:pPr>
        <w:ind w:left="378"/>
        <w:spacing w:after="0" w:line="23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Insider trading is a serious crime. There are no thresholds or limits on the size of a transaction that will trigger insider trading liability. Insider trading violations are pursued vigorously by the SEC and can be detected using advanced technologies. In the past, relatively small trades have resulted in investigations by the SEC or the Department of Justice and lawsuits.</w:t>
      </w:r>
    </w:p>
    <w:p>
      <w:pPr>
        <w:spacing w:after="0" w:line="180" w:lineRule="exact"/>
        <w:rPr>
          <w:rFonts w:ascii="Times New Roman" w:cs="Times New Roman" w:eastAsia="Times New Roman" w:hAnsi="Times New Roman"/>
          <w:sz w:val="22"/>
          <w:szCs w:val="22"/>
          <w:b w:val="1"/>
          <w:bCs w:val="1"/>
          <w:color w:val="auto"/>
        </w:rPr>
      </w:pPr>
    </w:p>
    <w:p>
      <w:pPr>
        <w:ind w:left="378" w:right="60"/>
        <w:spacing w:after="0" w:line="23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Individuals found liable for insider trading (and tipping) face penalties of up to three (3) times the profit gained or loss avoided, a criminal fine of up to $5 million and up to twenty (20) years in jail. In addition to the potential criminal and civil liabilities, in certain circumstances the Company may be able to recover all profits made by an insider who traded illegally plus collect other damages. Furthermore, the Company (and its executive officers and directors) could face penalties the greater of $1 million or three</w:t>
      </w:r>
    </w:p>
    <w:p>
      <w:pPr>
        <w:spacing w:after="0" w:line="177" w:lineRule="exact"/>
        <w:rPr>
          <w:sz w:val="20"/>
          <w:szCs w:val="20"/>
          <w:color w:val="auto"/>
        </w:rPr>
      </w:pPr>
    </w:p>
    <w:p>
      <w:pPr>
        <w:ind w:left="378" w:right="260" w:hanging="3"/>
        <w:spacing w:after="0" w:line="258" w:lineRule="auto"/>
        <w:tabs>
          <w:tab w:leader="none" w:pos="68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times the profit gained or loss avoided as a result of an employee’s violation and/or criminal penalty of up to $25 million.</w:t>
      </w:r>
    </w:p>
    <w:p>
      <w:pPr>
        <w:spacing w:after="0" w:line="91" w:lineRule="exact"/>
        <w:rPr>
          <w:sz w:val="20"/>
          <w:szCs w:val="20"/>
          <w:color w:val="auto"/>
        </w:rPr>
      </w:pPr>
    </w:p>
    <w:p>
      <w:pPr>
        <w:ind w:left="378"/>
        <w:spacing w:after="0" w:line="244" w:lineRule="auto"/>
        <w:rPr>
          <w:sz w:val="20"/>
          <w:szCs w:val="20"/>
          <w:color w:val="auto"/>
        </w:rPr>
      </w:pPr>
      <w:r>
        <w:rPr>
          <w:rFonts w:ascii="Times New Roman" w:cs="Times New Roman" w:eastAsia="Times New Roman" w:hAnsi="Times New Roman"/>
          <w:sz w:val="22"/>
          <w:szCs w:val="22"/>
          <w:color w:val="auto"/>
        </w:rPr>
        <w:t>Any violation of this Policy should be brought to the attention of the Chief Legal Officer. Without regard to civil or criminal penalties that may be imposed by others, violation of this Policy and its procedures may constitute grounds for dismissal from the Company.</w:t>
      </w:r>
    </w:p>
    <w:p>
      <w:pPr>
        <w:spacing w:after="0" w:line="92" w:lineRule="exact"/>
        <w:rPr>
          <w:sz w:val="20"/>
          <w:szCs w:val="20"/>
          <w:color w:val="auto"/>
        </w:rPr>
      </w:pPr>
    </w:p>
    <w:p>
      <w:pPr>
        <w:ind w:left="378"/>
        <w:spacing w:after="0"/>
        <w:rPr>
          <w:sz w:val="20"/>
          <w:szCs w:val="20"/>
          <w:color w:val="auto"/>
        </w:rPr>
      </w:pPr>
      <w:r>
        <w:rPr>
          <w:rFonts w:ascii="Times New Roman" w:cs="Times New Roman" w:eastAsia="Times New Roman" w:hAnsi="Times New Roman"/>
          <w:sz w:val="22"/>
          <w:szCs w:val="22"/>
          <w:color w:val="auto"/>
        </w:rPr>
        <w:t>Last updated by the Board of Directors on September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984250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98"/>
          </w:cols>
          <w:pgMar w:left="702" w:top="1440" w:right="49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Subsidiaries of the Registrant</w:t>
            </w:r>
          </w:p>
        </w:tc>
        <w:tc>
          <w:tcPr>
            <w:tcW w:w="12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340" w:type="dxa"/>
            <w:vAlign w:val="bottom"/>
          </w:tcPr>
          <w:p>
            <w:pPr>
              <w:spacing w:after="0"/>
              <w:rPr>
                <w:sz w:val="22"/>
                <w:szCs w:val="22"/>
                <w:color w:val="auto"/>
              </w:rPr>
            </w:pPr>
          </w:p>
        </w:tc>
      </w:tr>
      <w:tr>
        <w:trPr>
          <w:trHeight w:val="696"/>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Entity Name</w:t>
            </w:r>
          </w:p>
        </w:tc>
        <w:tc>
          <w:tcPr>
            <w:tcW w:w="6820" w:type="dxa"/>
            <w:vAlign w:val="bottom"/>
            <w:gridSpan w:val="3"/>
          </w:tcPr>
          <w:p>
            <w:pPr>
              <w:ind w:left="1220"/>
              <w:spacing w:after="0"/>
              <w:rPr>
                <w:sz w:val="20"/>
                <w:szCs w:val="20"/>
                <w:color w:val="auto"/>
              </w:rPr>
            </w:pPr>
            <w:r>
              <w:rPr>
                <w:rFonts w:ascii="Times New Roman" w:cs="Times New Roman" w:eastAsia="Times New Roman" w:hAnsi="Times New Roman"/>
                <w:sz w:val="20"/>
                <w:szCs w:val="20"/>
                <w:color w:val="auto"/>
              </w:rPr>
              <w:t>Jurisdiction of Incorporation</w:t>
            </w: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AIDH TopCo, LLC</w:t>
            </w:r>
          </w:p>
        </w:tc>
        <w:tc>
          <w:tcPr>
            <w:tcW w:w="6820" w:type="dxa"/>
            <w:vAlign w:val="bottom"/>
            <w:gridSpan w:val="3"/>
          </w:tcPr>
          <w:p>
            <w:pPr>
              <w:ind w:left="1220"/>
              <w:spacing w:after="0"/>
              <w:rPr>
                <w:sz w:val="20"/>
                <w:szCs w:val="20"/>
                <w:color w:val="auto"/>
              </w:rPr>
            </w:pPr>
            <w:r>
              <w:rPr>
                <w:rFonts w:ascii="Times New Roman" w:cs="Times New Roman" w:eastAsia="Times New Roman" w:hAnsi="Times New Roman"/>
                <w:sz w:val="20"/>
                <w:szCs w:val="20"/>
                <w:color w:val="auto"/>
              </w:rPr>
              <w:t>Delaware</w:t>
            </w:r>
          </w:p>
        </w:tc>
      </w:tr>
      <w:tr>
        <w:trPr>
          <w:trHeight w:val="230"/>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AIDH Buyer, LLC</w:t>
            </w:r>
          </w:p>
        </w:tc>
        <w:tc>
          <w:tcPr>
            <w:tcW w:w="6820" w:type="dxa"/>
            <w:vAlign w:val="bottom"/>
            <w:gridSpan w:val="3"/>
          </w:tcPr>
          <w:p>
            <w:pPr>
              <w:ind w:left="1220"/>
              <w:spacing w:after="0"/>
              <w:rPr>
                <w:sz w:val="20"/>
                <w:szCs w:val="20"/>
                <w:color w:val="auto"/>
              </w:rPr>
            </w:pPr>
            <w:r>
              <w:rPr>
                <w:rFonts w:ascii="Times New Roman" w:cs="Times New Roman" w:eastAsia="Times New Roman" w:hAnsi="Times New Roman"/>
                <w:sz w:val="20"/>
                <w:szCs w:val="20"/>
                <w:color w:val="auto"/>
              </w:rPr>
              <w:t>Delaware</w:t>
            </w:r>
          </w:p>
        </w:tc>
      </w:tr>
      <w:tr>
        <w:trPr>
          <w:trHeight w:val="229"/>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Definitive Healthcare Holdings, LLC</w:t>
            </w:r>
          </w:p>
        </w:tc>
        <w:tc>
          <w:tcPr>
            <w:tcW w:w="6820" w:type="dxa"/>
            <w:vAlign w:val="bottom"/>
            <w:gridSpan w:val="3"/>
          </w:tcPr>
          <w:p>
            <w:pPr>
              <w:ind w:left="1220"/>
              <w:spacing w:after="0"/>
              <w:rPr>
                <w:sz w:val="20"/>
                <w:szCs w:val="20"/>
                <w:color w:val="auto"/>
              </w:rPr>
            </w:pPr>
            <w:r>
              <w:rPr>
                <w:rFonts w:ascii="Times New Roman" w:cs="Times New Roman" w:eastAsia="Times New Roman" w:hAnsi="Times New Roman"/>
                <w:sz w:val="20"/>
                <w:szCs w:val="20"/>
                <w:color w:val="auto"/>
              </w:rPr>
              <w:t>Delaware</w:t>
            </w:r>
          </w:p>
        </w:tc>
      </w:tr>
      <w:tr>
        <w:trPr>
          <w:trHeight w:val="229"/>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Definitive Healthcare, LLC</w:t>
            </w:r>
          </w:p>
        </w:tc>
        <w:tc>
          <w:tcPr>
            <w:tcW w:w="6820" w:type="dxa"/>
            <w:vAlign w:val="bottom"/>
            <w:gridSpan w:val="3"/>
          </w:tcPr>
          <w:p>
            <w:pPr>
              <w:ind w:left="122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30"/>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Analytical Wizards, Inc</w:t>
            </w:r>
          </w:p>
        </w:tc>
        <w:tc>
          <w:tcPr>
            <w:tcW w:w="6820" w:type="dxa"/>
            <w:vAlign w:val="bottom"/>
            <w:gridSpan w:val="3"/>
          </w:tcPr>
          <w:p>
            <w:pPr>
              <w:ind w:left="1220"/>
              <w:spacing w:after="0"/>
              <w:rPr>
                <w:sz w:val="20"/>
                <w:szCs w:val="20"/>
                <w:color w:val="auto"/>
              </w:rPr>
            </w:pPr>
            <w:r>
              <w:rPr>
                <w:rFonts w:ascii="Times New Roman" w:cs="Times New Roman" w:eastAsia="Times New Roman" w:hAnsi="Times New Roman"/>
                <w:sz w:val="20"/>
                <w:szCs w:val="20"/>
                <w:color w:val="auto"/>
              </w:rPr>
              <w:t>Delaware</w:t>
            </w:r>
          </w:p>
        </w:tc>
      </w:tr>
      <w:tr>
        <w:trPr>
          <w:trHeight w:val="229"/>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Analytical Wizards Services Private Ltd</w:t>
            </w:r>
          </w:p>
        </w:tc>
        <w:tc>
          <w:tcPr>
            <w:tcW w:w="6820" w:type="dxa"/>
            <w:vAlign w:val="bottom"/>
            <w:gridSpan w:val="3"/>
          </w:tcPr>
          <w:p>
            <w:pPr>
              <w:ind w:left="1220"/>
              <w:spacing w:after="0"/>
              <w:rPr>
                <w:sz w:val="20"/>
                <w:szCs w:val="20"/>
                <w:color w:val="auto"/>
              </w:rPr>
            </w:pPr>
            <w:r>
              <w:rPr>
                <w:rFonts w:ascii="Times New Roman" w:cs="Times New Roman" w:eastAsia="Times New Roman" w:hAnsi="Times New Roman"/>
                <w:sz w:val="20"/>
                <w:szCs w:val="20"/>
                <w:color w:val="auto"/>
              </w:rPr>
              <w:t>India</w:t>
            </w:r>
          </w:p>
        </w:tc>
      </w:tr>
      <w:tr>
        <w:trPr>
          <w:trHeight w:val="230"/>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Monocl Holding Company, LLC</w:t>
            </w:r>
          </w:p>
        </w:tc>
        <w:tc>
          <w:tcPr>
            <w:tcW w:w="6820" w:type="dxa"/>
            <w:vAlign w:val="bottom"/>
            <w:gridSpan w:val="3"/>
          </w:tcPr>
          <w:p>
            <w:pPr>
              <w:ind w:left="1220"/>
              <w:spacing w:after="0"/>
              <w:rPr>
                <w:sz w:val="20"/>
                <w:szCs w:val="20"/>
                <w:color w:val="auto"/>
              </w:rPr>
            </w:pPr>
            <w:r>
              <w:rPr>
                <w:rFonts w:ascii="Times New Roman" w:cs="Times New Roman" w:eastAsia="Times New Roman" w:hAnsi="Times New Roman"/>
                <w:sz w:val="20"/>
                <w:szCs w:val="20"/>
                <w:color w:val="auto"/>
              </w:rPr>
              <w:t>Delaware</w:t>
            </w:r>
          </w:p>
        </w:tc>
      </w:tr>
      <w:tr>
        <w:trPr>
          <w:trHeight w:val="229"/>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Monocl Company, LLC</w:t>
            </w:r>
          </w:p>
        </w:tc>
        <w:tc>
          <w:tcPr>
            <w:tcW w:w="6820" w:type="dxa"/>
            <w:vAlign w:val="bottom"/>
            <w:gridSpan w:val="3"/>
          </w:tcPr>
          <w:p>
            <w:pPr>
              <w:ind w:left="1220"/>
              <w:spacing w:after="0"/>
              <w:rPr>
                <w:sz w:val="20"/>
                <w:szCs w:val="20"/>
                <w:color w:val="auto"/>
              </w:rPr>
            </w:pPr>
            <w:r>
              <w:rPr>
                <w:rFonts w:ascii="Times New Roman" w:cs="Times New Roman" w:eastAsia="Times New Roman" w:hAnsi="Times New Roman"/>
                <w:sz w:val="20"/>
                <w:szCs w:val="20"/>
                <w:color w:val="auto"/>
              </w:rPr>
              <w:t>Delaware</w:t>
            </w:r>
          </w:p>
        </w:tc>
      </w:tr>
      <w:tr>
        <w:trPr>
          <w:trHeight w:val="229"/>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Monocl AB</w:t>
            </w:r>
          </w:p>
        </w:tc>
        <w:tc>
          <w:tcPr>
            <w:tcW w:w="6820" w:type="dxa"/>
            <w:vAlign w:val="bottom"/>
            <w:gridSpan w:val="3"/>
          </w:tcPr>
          <w:p>
            <w:pPr>
              <w:ind w:left="1220"/>
              <w:spacing w:after="0"/>
              <w:rPr>
                <w:sz w:val="20"/>
                <w:szCs w:val="20"/>
                <w:color w:val="auto"/>
              </w:rPr>
            </w:pPr>
            <w:r>
              <w:rPr>
                <w:rFonts w:ascii="Times New Roman" w:cs="Times New Roman" w:eastAsia="Times New Roman" w:hAnsi="Times New Roman"/>
                <w:sz w:val="20"/>
                <w:szCs w:val="20"/>
                <w:color w:val="auto"/>
              </w:rPr>
              <w:t>Sweden</w:t>
            </w:r>
          </w:p>
        </w:tc>
      </w:tr>
      <w:tr>
        <w:trPr>
          <w:trHeight w:val="230"/>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Healthcare Sales Enablement, LLC</w:t>
            </w:r>
          </w:p>
        </w:tc>
        <w:tc>
          <w:tcPr>
            <w:tcW w:w="6820" w:type="dxa"/>
            <w:vAlign w:val="bottom"/>
            <w:gridSpan w:val="3"/>
          </w:tcPr>
          <w:p>
            <w:pPr>
              <w:ind w:left="1220"/>
              <w:spacing w:after="0"/>
              <w:rPr>
                <w:sz w:val="20"/>
                <w:szCs w:val="20"/>
                <w:color w:val="auto"/>
              </w:rPr>
            </w:pPr>
            <w:r>
              <w:rPr>
                <w:rFonts w:ascii="Times New Roman" w:cs="Times New Roman" w:eastAsia="Times New Roman" w:hAnsi="Times New Roman"/>
                <w:sz w:val="20"/>
                <w:szCs w:val="20"/>
                <w:color w:val="auto"/>
              </w:rPr>
              <w:t>Delaware</w:t>
            </w:r>
          </w:p>
        </w:tc>
      </w:tr>
      <w:tr>
        <w:trPr>
          <w:trHeight w:val="258"/>
        </w:trPr>
        <w:tc>
          <w:tcPr>
            <w:tcW w:w="20" w:type="dxa"/>
            <w:vAlign w:val="bottom"/>
          </w:tcPr>
          <w:p>
            <w:pPr>
              <w:spacing w:after="0"/>
              <w:rPr>
                <w:sz w:val="22"/>
                <w:szCs w:val="22"/>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Populi, LLC</w:t>
            </w:r>
          </w:p>
        </w:tc>
        <w:tc>
          <w:tcPr>
            <w:tcW w:w="6820" w:type="dxa"/>
            <w:vAlign w:val="bottom"/>
            <w:gridSpan w:val="3"/>
          </w:tcPr>
          <w:p>
            <w:pPr>
              <w:ind w:left="1220"/>
              <w:spacing w:after="0"/>
              <w:rPr>
                <w:sz w:val="20"/>
                <w:szCs w:val="20"/>
                <w:color w:val="auto"/>
              </w:rPr>
            </w:pPr>
            <w:r>
              <w:rPr>
                <w:rFonts w:ascii="Times New Roman" w:cs="Times New Roman" w:eastAsia="Times New Roman" w:hAnsi="Times New Roman"/>
                <w:sz w:val="20"/>
                <w:szCs w:val="20"/>
                <w:color w:val="auto"/>
              </w:rPr>
              <w:t>Delaware</w:t>
            </w:r>
          </w:p>
        </w:tc>
      </w:tr>
      <w:tr>
        <w:trPr>
          <w:trHeight w:val="1621"/>
        </w:trPr>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17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333-267791 on Form S-3 and Registration Statement Nos. 333-259535, 333-270059,333-274370, 333-277492, and 333-280140 on Form S-8 of our reports dated February 27, 2025, relating to the financial statements of Definitive Healthcare Corp. and the effectiveness of Definitive Healthcare Corp.’s internal control over financial reporting appearing in this Annual Report on Form 10-K for the year ended December 31,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Coop, certify that:</w:t>
      </w:r>
    </w:p>
    <w:p>
      <w:pPr>
        <w:spacing w:after="0" w:line="225" w:lineRule="exact"/>
        <w:rPr>
          <w:sz w:val="20"/>
          <w:szCs w:val="20"/>
          <w:color w:val="auto"/>
        </w:rPr>
      </w:pPr>
    </w:p>
    <w:p>
      <w:pPr>
        <w:ind w:left="520" w:hanging="512"/>
        <w:spacing w:after="0"/>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Definitive Healthcare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80"/>
        <w:spacing w:after="0"/>
        <w:tabs>
          <w:tab w:leader="none" w:pos="680" w:val="left"/>
          <w:tab w:leader="none" w:pos="6440" w:val="left"/>
        </w:tabs>
        <w:rPr>
          <w:sz w:val="20"/>
          <w:szCs w:val="20"/>
          <w:color w:val="auto"/>
        </w:rPr>
      </w:pPr>
      <w:r>
        <w:rPr>
          <w:rFonts w:ascii="Times New Roman" w:cs="Times New Roman" w:eastAsia="Times New Roman" w:hAnsi="Times New Roman"/>
          <w:sz w:val="18"/>
          <w:szCs w:val="18"/>
          <w:color w:val="auto"/>
        </w:rPr>
        <w:t>Date:</w:t>
        <w:tab/>
        <w:t>February 27, 2025</w:t>
      </w:r>
      <w:r>
        <w:rPr>
          <w:sz w:val="20"/>
          <w:szCs w:val="20"/>
          <w:color w:val="auto"/>
        </w:rPr>
        <w:tab/>
      </w:r>
      <w:r>
        <w:rPr>
          <w:rFonts w:ascii="Times New Roman" w:cs="Times New Roman" w:eastAsia="Times New Roman" w:hAnsi="Times New Roman"/>
          <w:sz w:val="18"/>
          <w:szCs w:val="18"/>
          <w:color w:val="auto"/>
        </w:rPr>
        <w:t>/s/ Kevin Coop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26035</wp:posOffset>
            </wp:positionV>
            <wp:extent cx="302577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5">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5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Kevin Coop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-127635</wp:posOffset>
            </wp:positionV>
            <wp:extent cx="300037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Booth, certify that:</w:t>
      </w:r>
    </w:p>
    <w:p>
      <w:pPr>
        <w:spacing w:after="0" w:line="225" w:lineRule="exact"/>
        <w:rPr>
          <w:sz w:val="20"/>
          <w:szCs w:val="20"/>
          <w:color w:val="auto"/>
        </w:rPr>
      </w:pPr>
    </w:p>
    <w:p>
      <w:pPr>
        <w:ind w:left="520" w:hanging="512"/>
        <w:spacing w:after="0"/>
        <w:tabs>
          <w:tab w:leader="none" w:pos="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Definitive Healthcare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   February 27, 2025</w:t>
            </w:r>
          </w:p>
        </w:tc>
        <w:tc>
          <w:tcPr>
            <w:tcW w:w="102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Richard Booth</w:t>
            </w:r>
          </w:p>
        </w:tc>
      </w:tr>
      <w:tr>
        <w:trPr>
          <w:trHeight w:val="191"/>
        </w:trPr>
        <w:tc>
          <w:tcPr>
            <w:tcW w:w="580" w:type="dxa"/>
            <w:vAlign w:val="bottom"/>
          </w:tcPr>
          <w:p>
            <w:pPr>
              <w:spacing w:after="0"/>
              <w:rPr>
                <w:sz w:val="16"/>
                <w:szCs w:val="16"/>
                <w:color w:val="auto"/>
              </w:rPr>
            </w:pPr>
          </w:p>
        </w:tc>
        <w:tc>
          <w:tcPr>
            <w:tcW w:w="4940" w:type="dxa"/>
            <w:vAlign w:val="bottom"/>
            <w:tcBorders>
              <w:top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47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Richard Booth</w:t>
            </w:r>
          </w:p>
        </w:tc>
      </w:tr>
      <w:tr>
        <w:trPr>
          <w:trHeight w:val="214"/>
        </w:trPr>
        <w:tc>
          <w:tcPr>
            <w:tcW w:w="5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1222"/>
        </w:trPr>
        <w:tc>
          <w:tcPr>
            <w:tcW w:w="58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Definitive Healthcare Corp. (the “Company”) for the annual period ended December 31, 2024 as filed with the Securities and Exchange Commission on the date hereof (the “Report”), Kevin Coop, Chief Executive Officer of the Company, and Richard Booth, Chief Financial Officer of the Company, each hereby certifies, pursuant to the requirement set forth in Rule 13a-14(b) of the Securities Exchange Act of 1934, as amended, (the “Exchange Act”) and Section 1350 of Chapter 63 of Title 18 of the United States Code (18 U.S.C. § 1350), as adopted pursuant to § 906 of the Sarbanes-Oxley Act of 2002, that, to the best of his knowledge:</w:t>
      </w:r>
    </w:p>
    <w:p>
      <w:pPr>
        <w:spacing w:after="0" w:line="183" w:lineRule="exact"/>
        <w:rPr>
          <w:sz w:val="20"/>
          <w:szCs w:val="20"/>
          <w:color w:val="auto"/>
        </w:rPr>
      </w:pPr>
    </w:p>
    <w:p>
      <w:pPr>
        <w:ind w:left="1020" w:hanging="503"/>
        <w:spacing w:after="0"/>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5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Kevin Coop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26035</wp:posOffset>
            </wp:positionV>
            <wp:extent cx="282892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3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5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Kevin Coop</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26035</wp:posOffset>
            </wp:positionV>
            <wp:extent cx="282892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3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5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Richard Booth</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10-K to which it relates,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the Form 10-K), irrespective of any general incorporation language contained in such filing.</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1" w:name="page202"/>
    <w:bookmarkEnd w:id="2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1)"/>
      <w:numFmt w:val="decimal"/>
      <w:start w:val="1"/>
    </w:lvl>
    <w:lvl w:ilvl="1">
      <w:lvlJc w:val="left"/>
      <w:lvlText w:val="•"/>
      <w:numFmt w:val="bullet"/>
      <w:start w:val="1"/>
    </w:lvl>
  </w:abstractNum>
  <w:abstractNum w:abstractNumId="3">
    <w:nsid w:val="15B5AF5C"/>
    <w:multiLevelType w:val="hybridMultilevel"/>
    <w:lvl w:ilvl="0">
      <w:lvlJc w:val="left"/>
      <w:lvlText w:val="•"/>
      <w:numFmt w:val="bullet"/>
      <w:start w:val="1"/>
    </w:lvl>
    <w:lvl w:ilvl="1">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1)"/>
      <w:numFmt w:val="decimal"/>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1)"/>
      <w:numFmt w:val="lowerLetter"/>
      <w:start w:val="1"/>
    </w:lvl>
  </w:abstractNum>
  <w:abstractNum w:abstractNumId="21">
    <w:nsid w:val="100F8FCA"/>
    <w:multiLevelType w:val="hybridMultilevel"/>
    <w:lvl w:ilvl="0">
      <w:lvlJc w:val="left"/>
      <w:lvlText w:val="(%1)"/>
      <w:numFmt w:val="lowerLetter"/>
      <w:start w:val="1"/>
    </w:lvl>
  </w:abstractNum>
  <w:abstractNum w:abstractNumId="22">
    <w:nsid w:val="6590700B"/>
    <w:multiLevelType w:val="hybridMultilevel"/>
    <w:lvl w:ilvl="0">
      <w:lvlJc w:val="left"/>
      <w:lvlText w:val="(%1)"/>
      <w:numFmt w:val="lowerLetter"/>
      <w:start w:val="4"/>
    </w:lvl>
  </w:abstractNum>
  <w:abstractNum w:abstractNumId="23">
    <w:nsid w:val="15014ACB"/>
    <w:multiLevelType w:val="hybridMultilevel"/>
    <w:lvl w:ilvl="0">
      <w:lvlJc w:val="left"/>
      <w:lvlText w:val="(%1)"/>
      <w:numFmt w:val="lowerRoman"/>
      <w:start w:val="1"/>
    </w:lvl>
  </w:abstractNum>
  <w:abstractNum w:abstractNumId="24">
    <w:nsid w:val="5F5E7FD0"/>
    <w:multiLevelType w:val="hybridMultilevel"/>
    <w:lvl w:ilvl="0">
      <w:lvlJc w:val="left"/>
      <w:lvlText w:val="(%1)"/>
      <w:numFmt w:val="decimal"/>
      <w:start w:val="1"/>
    </w:lvl>
  </w:abstractNum>
  <w:abstractNum w:abstractNumId="25">
    <w:nsid w:val="98A3148"/>
    <w:multiLevelType w:val="hybridMultilevel"/>
    <w:lvl w:ilvl="0">
      <w:lvlJc w:val="left"/>
      <w:lvlText w:val="(%1)"/>
      <w:numFmt w:val="decimal"/>
      <w:start w:val="2"/>
    </w:lvl>
  </w:abstractNum>
  <w:abstractNum w:abstractNumId="26">
    <w:nsid w:val="799D0247"/>
    <w:multiLevelType w:val="hybridMultilevel"/>
    <w:lvl w:ilvl="0">
      <w:lvlJc w:val="left"/>
      <w:lvlText w:val="(%1)"/>
      <w:numFmt w:val="decimal"/>
      <w:start w:val="3"/>
    </w:lvl>
  </w:abstractNum>
  <w:abstractNum w:abstractNumId="27">
    <w:nsid w:val="6B94764"/>
    <w:multiLevelType w:val="hybridMultilevel"/>
    <w:lvl w:ilvl="0">
      <w:lvlJc w:val="left"/>
      <w:lvlText w:val="*"/>
      <w:numFmt w:val="bullet"/>
      <w:start w:val="1"/>
    </w:lvl>
    <w:lvl w:ilvl="1">
      <w:lvlJc w:val="left"/>
      <w:lvlText w:val="%2"/>
      <w:numFmt w:val="decimal"/>
      <w:start w:val="104"/>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1."/>
      <w:numFmt w:val="decimal"/>
      <w:start w:val="1"/>
    </w:lvl>
  </w:abstractNum>
  <w:abstractNum w:abstractNumId="32">
    <w:nsid w:val="5DC79EA8"/>
    <w:multiLevelType w:val="hybridMultilevel"/>
    <w:lvl w:ilvl="0">
      <w:lvlJc w:val="left"/>
      <w:lvlText w:val="%1."/>
      <w:numFmt w:val="decimal"/>
      <w:start w:val="2"/>
    </w:lvl>
  </w:abstractNum>
  <w:abstractNum w:abstractNumId="33">
    <w:nsid w:val="540A471C"/>
    <w:multiLevelType w:val="hybridMultilevel"/>
    <w:lvl w:ilvl="0">
      <w:lvlJc w:val="left"/>
      <w:lvlText w:val="%1."/>
      <w:numFmt w:val="decimal"/>
      <w:start w:val="3"/>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1."/>
      <w:numFmt w:val="decimal"/>
      <w:start w:val="4"/>
    </w:lvl>
  </w:abstractNum>
  <w:abstractNum w:abstractNumId="39">
    <w:nsid w:val="42963E5A"/>
    <w:multiLevelType w:val="hybridMultilevel"/>
    <w:lvl w:ilvl="0">
      <w:lvlJc w:val="left"/>
      <w:lvlText w:val="%1."/>
      <w:numFmt w:val="decimal"/>
      <w:start w:val="5"/>
    </w:lvl>
  </w:abstractNum>
  <w:abstractNum w:abstractNumId="40">
    <w:nsid w:val="A0382C5"/>
    <w:multiLevelType w:val="hybridMultilevel"/>
    <w:lvl w:ilvl="0">
      <w:lvlJc w:val="left"/>
      <w:lvlText w:val="%1."/>
      <w:numFmt w:val="decimal"/>
      <w:start w:val="842"/>
    </w:lvl>
  </w:abstractNum>
  <w:abstractNum w:abstractNumId="41">
    <w:nsid w:val="8F2B15E"/>
    <w:multiLevelType w:val="hybridMultilevel"/>
    <w:lvl w:ilvl="0">
      <w:lvlJc w:val="left"/>
      <w:lvlText w:val="%1."/>
      <w:numFmt w:val="decimal"/>
      <w:start w:val="6"/>
    </w:lvl>
  </w:abstractNum>
  <w:abstractNum w:abstractNumId="42">
    <w:nsid w:val="1A32234B"/>
    <w:multiLevelType w:val="hybridMultilevel"/>
    <w:lvl w:ilvl="0">
      <w:lvlJc w:val="left"/>
      <w:lvlText w:val="%1."/>
      <w:numFmt w:val="decimal"/>
      <w:start w:val="7"/>
    </w:lvl>
  </w:abstractNum>
  <w:abstractNum w:abstractNumId="43">
    <w:nsid w:val="3B0FD379"/>
    <w:multiLevelType w:val="hybridMultilevel"/>
    <w:lvl w:ilvl="0">
      <w:lvlJc w:val="left"/>
      <w:lvlText w:val="%1."/>
      <w:numFmt w:val="decimal"/>
      <w:start w:val="8"/>
    </w:lvl>
  </w:abstractNum>
  <w:abstractNum w:abstractNumId="44">
    <w:nsid w:val="68EB2F63"/>
    <w:multiLevelType w:val="hybridMultilevel"/>
    <w:lvl w:ilvl="0">
      <w:lvlJc w:val="left"/>
      <w:lvlText w:val="%1."/>
      <w:numFmt w:val="decimal"/>
      <w:start w:val="9"/>
    </w:lvl>
  </w:abstractNum>
  <w:abstractNum w:abstractNumId="45">
    <w:nsid w:val="4962813B"/>
    <w:multiLevelType w:val="hybridMultilevel"/>
    <w:lvl w:ilvl="0">
      <w:lvlJc w:val="left"/>
      <w:lvlText w:val="%1."/>
      <w:numFmt w:val="decimal"/>
      <w:start w:val="10"/>
    </w:lvl>
  </w:abstractNum>
  <w:abstractNum w:abstractNumId="46">
    <w:nsid w:val="60B6DF70"/>
    <w:multiLevelType w:val="hybridMultilevel"/>
    <w:lvl w:ilvl="0">
      <w:lvlJc w:val="left"/>
      <w:lvlText w:val="%1."/>
      <w:numFmt w:val="decimal"/>
      <w:start w:val="11"/>
    </w:lvl>
  </w:abstractNum>
  <w:abstractNum w:abstractNumId="47">
    <w:nsid w:val="6A5EE64"/>
    <w:multiLevelType w:val="hybridMultilevel"/>
    <w:lvl w:ilvl="0">
      <w:lvlJc w:val="left"/>
      <w:lvlText w:val="%1."/>
      <w:numFmt w:val="decimal"/>
      <w:start w:val="12"/>
    </w:lvl>
  </w:abstractNum>
  <w:abstractNum w:abstractNumId="48">
    <w:nsid w:val="14330624"/>
    <w:multiLevelType w:val="hybridMultilevel"/>
    <w:lvl w:ilvl="0">
      <w:lvlJc w:val="left"/>
      <w:lvlText w:val="%1."/>
      <w:numFmt w:val="decimal"/>
      <w:start w:val="13"/>
    </w:lvl>
  </w:abstractNum>
  <w:abstractNum w:abstractNumId="49">
    <w:nsid w:val="7FFFCA11"/>
    <w:multiLevelType w:val="hybridMultilevel"/>
    <w:lvl w:ilvl="0">
      <w:lvlJc w:val="left"/>
      <w:lvlText w:val="%1."/>
      <w:numFmt w:val="decimal"/>
      <w:start w:val="14"/>
    </w:lvl>
  </w:abstractNum>
  <w:abstractNum w:abstractNumId="50">
    <w:nsid w:val="1A27709E"/>
    <w:multiLevelType w:val="hybridMultilevel"/>
    <w:lvl w:ilvl="0">
      <w:lvlJc w:val="left"/>
      <w:lvlText w:val="%1."/>
      <w:numFmt w:val="decimal"/>
      <w:start w:val="15"/>
    </w:lvl>
  </w:abstractNum>
  <w:abstractNum w:abstractNumId="51">
    <w:nsid w:val="71EA1109"/>
    <w:multiLevelType w:val="hybridMultilevel"/>
    <w:lvl w:ilvl="0">
      <w:lvlJc w:val="left"/>
      <w:lvlText w:val="%1."/>
      <w:numFmt w:val="decimal"/>
      <w:start w:val="16"/>
    </w:lvl>
  </w:abstractNum>
  <w:abstractNum w:abstractNumId="52">
    <w:nsid w:val="100F59DC"/>
    <w:multiLevelType w:val="hybridMultilevel"/>
    <w:lvl w:ilvl="0">
      <w:lvlJc w:val="left"/>
      <w:lvlText w:val="%1."/>
      <w:numFmt w:val="decimal"/>
      <w:start w:val="17"/>
    </w:lvl>
  </w:abstractNum>
  <w:abstractNum w:abstractNumId="53">
    <w:nsid w:val="7FB7E0AA"/>
    <w:multiLevelType w:val="hybridMultilevel"/>
    <w:lvl w:ilvl="0">
      <w:lvlJc w:val="left"/>
      <w:lvlText w:val="(%1)"/>
      <w:numFmt w:val="decimal"/>
      <w:start w:val="1"/>
    </w:lvl>
  </w:abstractNum>
  <w:abstractNum w:abstractNumId="54">
    <w:nsid w:val="6EB5BD4"/>
    <w:multiLevelType w:val="hybridMultilevel"/>
    <w:lvl w:ilvl="0">
      <w:lvlJc w:val="left"/>
      <w:lvlText w:val="%1."/>
      <w:numFmt w:val="decimal"/>
      <w:start w:val="18"/>
    </w:lvl>
  </w:abstractNum>
  <w:abstractNum w:abstractNumId="55">
    <w:nsid w:val="6F6DD9AC"/>
    <w:multiLevelType w:val="hybridMultilevel"/>
    <w:lvl w:ilvl="0">
      <w:lvlJc w:val="left"/>
      <w:lvlText w:val="%1."/>
      <w:numFmt w:val="decimal"/>
      <w:start w:val="19"/>
    </w:lvl>
  </w:abstractNum>
  <w:abstractNum w:abstractNumId="56">
    <w:nsid w:val="94211F2"/>
    <w:multiLevelType w:val="hybridMultilevel"/>
    <w:lvl w:ilvl="0">
      <w:lvlJc w:val="left"/>
      <w:lvlText w:val="%1."/>
      <w:numFmt w:val="decimal"/>
      <w:start w:val="20"/>
    </w:lvl>
  </w:abstractNum>
  <w:abstractNum w:abstractNumId="57">
    <w:nsid w:val="885E1B"/>
    <w:multiLevelType w:val="hybridMultilevel"/>
    <w:lvl w:ilvl="0">
      <w:lvlJc w:val="left"/>
      <w:lvlText w:val="%1."/>
      <w:numFmt w:val="decimal"/>
      <w:start w:val="21"/>
    </w:lvl>
  </w:abstractNum>
  <w:abstractNum w:abstractNumId="58">
    <w:nsid w:val="76272110"/>
    <w:multiLevelType w:val="hybridMultilevel"/>
    <w:lvl w:ilvl="0">
      <w:lvlJc w:val="left"/>
      <w:lvlText w:val="(%1)"/>
      <w:numFmt w:val="decimal"/>
      <w:start w:val="3"/>
    </w:lvl>
  </w:abstractNum>
  <w:abstractNum w:abstractNumId="59">
    <w:nsid w:val="4C04A8AF"/>
    <w:multiLevelType w:val="hybridMultilevel"/>
    <w:lvl w:ilvl="0">
      <w:lvlJc w:val="left"/>
      <w:lvlText w:val="%1."/>
      <w:numFmt w:val="decimal"/>
      <w:start w:val="22"/>
    </w:lvl>
  </w:abstractNum>
  <w:abstractNum w:abstractNumId="60">
    <w:nsid w:val="1716703B"/>
    <w:multiLevelType w:val="hybridMultilevel"/>
    <w:lvl w:ilvl="0">
      <w:lvlJc w:val="left"/>
      <w:lvlText w:val="%1."/>
      <w:numFmt w:val="decimal"/>
      <w:start w:val="23"/>
    </w:lvl>
  </w:abstractNum>
  <w:abstractNum w:abstractNumId="61">
    <w:nsid w:val="14E17E33"/>
    <w:multiLevelType w:val="hybridMultilevel"/>
    <w:lvl w:ilvl="0">
      <w:lvlJc w:val="left"/>
      <w:lvlText w:val="%1."/>
      <w:numFmt w:val="decimal"/>
      <w:start w:val="1"/>
    </w:lvl>
  </w:abstractNum>
  <w:abstractNum w:abstractNumId="62">
    <w:nsid w:val="3222E7CD"/>
    <w:multiLevelType w:val="hybridMultilevel"/>
    <w:lvl w:ilvl="0">
      <w:lvlJc w:val="left"/>
      <w:lvlText w:val="%1."/>
      <w:numFmt w:val="decimal"/>
      <w:start w:val="3"/>
    </w:lvl>
  </w:abstractNum>
  <w:abstractNum w:abstractNumId="63">
    <w:nsid w:val="74DE0EE3"/>
    <w:multiLevelType w:val="hybridMultilevel"/>
    <w:lvl w:ilvl="0">
      <w:lvlJc w:val="left"/>
      <w:lvlText w:val="%1."/>
      <w:numFmt w:val="decimal"/>
      <w:start w:val="4"/>
    </w:lvl>
  </w:abstractNum>
  <w:abstractNum w:abstractNumId="64">
    <w:nsid w:val="68EBC550"/>
    <w:multiLevelType w:val="hybridMultilevel"/>
    <w:lvl w:ilvl="0">
      <w:lvlJc w:val="left"/>
      <w:lvlText w:val="%1."/>
      <w:numFmt w:val="decimal"/>
      <w:start w:val="5"/>
    </w:lvl>
  </w:abstractNum>
  <w:abstractNum w:abstractNumId="65">
    <w:nsid w:val="2DF6D648"/>
    <w:multiLevelType w:val="hybridMultilevel"/>
    <w:lvl w:ilvl="0">
      <w:lvlJc w:val="left"/>
      <w:lvlText w:val="%1."/>
      <w:numFmt w:val="decimal"/>
      <w:start w:val="6"/>
    </w:lvl>
  </w:abstractNum>
  <w:abstractNum w:abstractNumId="66">
    <w:nsid w:val="46B7D447"/>
    <w:multiLevelType w:val="hybridMultilevel"/>
    <w:lvl w:ilvl="0">
      <w:lvlJc w:val="left"/>
      <w:lvlText w:val="(%1)"/>
      <w:numFmt w:val="lowerRoman"/>
      <w:start w:val="2"/>
    </w:lvl>
  </w:abstractNum>
  <w:abstractNum w:abstractNumId="67">
    <w:nsid w:val="4A2AC315"/>
    <w:multiLevelType w:val="hybridMultilevel"/>
    <w:lvl w:ilvl="0">
      <w:lvlJc w:val="left"/>
      <w:lvlText w:val="%1."/>
      <w:numFmt w:val="decimal"/>
      <w:start w:val="7"/>
    </w:lvl>
  </w:abstractNum>
  <w:abstractNum w:abstractNumId="68">
    <w:nsid w:val="39EE015C"/>
    <w:multiLevelType w:val="hybridMultilevel"/>
    <w:lvl w:ilvl="0">
      <w:lvlJc w:val="left"/>
      <w:lvlText w:val="%1."/>
      <w:numFmt w:val="decimal"/>
      <w:start w:val="8"/>
    </w:lvl>
  </w:abstractNum>
  <w:abstractNum w:abstractNumId="69">
    <w:nsid w:val="57FC4FBB"/>
    <w:multiLevelType w:val="hybridMultilevel"/>
    <w:lvl w:ilvl="0">
      <w:lvlJc w:val="left"/>
      <w:lvlText w:val="%1."/>
      <w:numFmt w:val="decimal"/>
      <w:start w:val="9"/>
    </w:lvl>
  </w:abstractNum>
  <w:abstractNum w:abstractNumId="70">
    <w:nsid w:val="CC1016F"/>
    <w:multiLevelType w:val="hybridMultilevel"/>
    <w:lvl w:ilvl="0">
      <w:lvlJc w:val="left"/>
      <w:lvlText w:val="(%1)"/>
      <w:numFmt w:val="lowerLetter"/>
      <w:start w:val="1"/>
    </w:lvl>
  </w:abstractNum>
  <w:abstractNum w:abstractNumId="71">
    <w:nsid w:val="43F18422"/>
    <w:multiLevelType w:val="hybridMultilevel"/>
    <w:lvl w:ilvl="0">
      <w:lvlJc w:val="left"/>
      <w:lvlText w:val="(%1)"/>
      <w:numFmt w:val="lowerLetter"/>
      <w:start w:val="1"/>
    </w:lvl>
  </w:abstractNum>
  <w:abstractNum w:abstractNumId="72">
    <w:nsid w:val="60EF0119"/>
    <w:multiLevelType w:val="hybridMultilevel"/>
    <w:lvl w:ilvl="0">
      <w:lvlJc w:val="left"/>
      <w:lvlText w:val="(%1)"/>
      <w:numFmt w:val="lowerLetter"/>
      <w:start w:val="2"/>
    </w:lvl>
  </w:abstractNum>
  <w:abstractNum w:abstractNumId="73">
    <w:nsid w:val="26F324BA"/>
    <w:multiLevelType w:val="hybridMultilevel"/>
    <w:lvl w:ilvl="0">
      <w:lvlJc w:val="left"/>
      <w:lvlText w:val="%1"/>
      <w:numFmt w:val="decimal"/>
      <w:start w:val="1"/>
    </w:lvl>
    <w:lvl w:ilvl="1">
      <w:lvlJc w:val="left"/>
      <w:lvlText w:val="(%2)"/>
      <w:numFmt w:val="lowerLetter"/>
      <w:start w:val="1"/>
    </w:lvl>
  </w:abstractNum>
  <w:abstractNum w:abstractNumId="74">
    <w:nsid w:val="7F01579B"/>
    <w:multiLevelType w:val="hybridMultilevel"/>
    <w:lvl w:ilvl="0">
      <w:lvlJc w:val="left"/>
      <w:lvlText w:val="(%1)"/>
      <w:numFmt w:val="decimal"/>
      <w:start w:val="2"/>
    </w:lvl>
    <w:lvl w:ilvl="1">
      <w:lvlJc w:val="left"/>
      <w:lvlText w:val="(%2)"/>
      <w:numFmt w:val="lowerLetter"/>
      <w:start w:val="2"/>
    </w:lvl>
  </w:abstractNum>
  <w:abstractNum w:abstractNumId="75">
    <w:nsid w:val="49DA307D"/>
    <w:multiLevelType w:val="hybridMultilevel"/>
    <w:lvl w:ilvl="0">
      <w:lvlJc w:val="left"/>
      <w:lvlText w:val="(%1)"/>
      <w:numFmt w:val="lowerLetter"/>
      <w:start w:val="1"/>
    </w:lvl>
  </w:abstractNum>
  <w:abstractNum w:abstractNumId="76">
    <w:nsid w:val="7055A5F5"/>
    <w:multiLevelType w:val="hybridMultilevel"/>
    <w:lvl w:ilvl="0">
      <w:lvlJc w:val="left"/>
      <w:lvlText w:val="%1."/>
      <w:numFmt w:val="decimal"/>
      <w:start w:val="1"/>
    </w:lvl>
    <w:lvl w:ilvl="1">
      <w:lvlJc w:val="left"/>
      <w:lvlText w:val="(%2)"/>
      <w:numFmt w:val="lowerLetter"/>
      <w:start w:val="1"/>
    </w:lvl>
  </w:abstractNum>
  <w:abstractNum w:abstractNumId="77">
    <w:nsid w:val="5FB8370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78">
    <w:nsid w:val="50801EE1"/>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79">
    <w:nsid w:val="488AC1A"/>
    <w:multiLevelType w:val="hybridMultilevel"/>
    <w:lvl w:ilvl="0">
      <w:lvlJc w:val="left"/>
      <w:lvlText w:val="(%1)"/>
      <w:numFmt w:val="lowerRoman"/>
      <w:start w:val="2"/>
    </w:lvl>
  </w:abstractNum>
  <w:abstractNum w:abstractNumId="80">
    <w:nsid w:val="5FB8011C"/>
    <w:multiLevelType w:val="hybridMultilevel"/>
    <w:lvl w:ilvl="0">
      <w:lvlJc w:val="left"/>
      <w:lvlText w:val="%1."/>
      <w:numFmt w:val="decimal"/>
      <w:start w:val="4"/>
    </w:lvl>
    <w:lvl w:ilvl="1">
      <w:lvlJc w:val="left"/>
      <w:lvlText w:val="(%2)"/>
      <w:numFmt w:val="lowerLetter"/>
      <w:start w:val="1"/>
    </w:lvl>
  </w:abstractNum>
  <w:abstractNum w:abstractNumId="81">
    <w:nsid w:val="6AA78F7F"/>
    <w:multiLevelType w:val="hybridMultilevel"/>
    <w:lvl w:ilvl="0">
      <w:lvlJc w:val="left"/>
      <w:lvlText w:val="%1"/>
      <w:numFmt w:val="decimal"/>
      <w:start w:val="1"/>
    </w:lvl>
    <w:lvl w:ilvl="1">
      <w:lvlJc w:val="left"/>
      <w:lvlText w:val="(%2)"/>
      <w:numFmt w:val="lowerLetter"/>
      <w:start w:val="3"/>
    </w:lvl>
  </w:abstractNum>
  <w:abstractNum w:abstractNumId="82">
    <w:nsid w:val="7672BD23"/>
    <w:multiLevelType w:val="hybridMultilevel"/>
    <w:lvl w:ilvl="0">
      <w:lvlJc w:val="left"/>
      <w:lvlText w:val="%1."/>
      <w:numFmt w:val="decimal"/>
      <w:start w:val="9"/>
    </w:lvl>
    <w:lvl w:ilvl="1">
      <w:lvlJc w:val="left"/>
      <w:lvlText w:val="%2"/>
      <w:numFmt w:val="lowerLetter"/>
      <w:start w:val="1"/>
    </w:lvl>
  </w:abstractNum>
  <w:abstractNum w:abstractNumId="83">
    <w:nsid w:val="6FC75AF8"/>
    <w:multiLevelType w:val="hybridMultilevel"/>
    <w:lvl w:ilvl="0">
      <w:lvlJc w:val="left"/>
      <w:lvlText w:val="%1."/>
      <w:numFmt w:val="decimal"/>
      <w:start w:val="10"/>
    </w:lvl>
  </w:abstractNum>
  <w:abstractNum w:abstractNumId="84">
    <w:nsid w:val="6A5F7029"/>
    <w:multiLevelType w:val="hybridMultilevel"/>
    <w:lvl w:ilvl="0">
      <w:lvlJc w:val="left"/>
      <w:lvlText w:val="%1."/>
      <w:numFmt w:val="decimal"/>
      <w:start w:val="14"/>
    </w:lvl>
  </w:abstractNum>
  <w:abstractNum w:abstractNumId="85">
    <w:nsid w:val="7D5E18F8"/>
    <w:multiLevelType w:val="hybridMultilevel"/>
    <w:lvl w:ilvl="0">
      <w:lvlJc w:val="left"/>
      <w:lvlText w:val="%1."/>
      <w:numFmt w:val="decimal"/>
      <w:start w:val="1"/>
    </w:lvl>
  </w:abstractNum>
  <w:abstractNum w:abstractNumId="86">
    <w:nsid w:val="5F3534A4"/>
    <w:multiLevelType w:val="hybridMultilevel"/>
    <w:lvl w:ilvl="0">
      <w:lvlJc w:val="left"/>
      <w:lvlText w:val="(%1)"/>
      <w:numFmt w:val="lowerLetter"/>
      <w:start w:val="1"/>
    </w:lvl>
  </w:abstractNum>
  <w:abstractNum w:abstractNumId="87">
    <w:nsid w:val="73A1821B"/>
    <w:multiLevelType w:val="hybridMultilevel"/>
    <w:lvl w:ilvl="0">
      <w:lvlJc w:val="left"/>
      <w:lvlText w:val="%1."/>
      <w:numFmt w:val="decimal"/>
      <w:start w:val="2"/>
    </w:lvl>
    <w:lvl w:ilvl="1">
      <w:lvlJc w:val="left"/>
      <w:lvlText w:val="(%2)"/>
      <w:numFmt w:val="lowerLetter"/>
      <w:start w:val="1"/>
    </w:lvl>
  </w:abstractNum>
  <w:abstractNum w:abstractNumId="88">
    <w:nsid w:val="7DE67713"/>
    <w:multiLevelType w:val="hybridMultilevel"/>
    <w:lvl w:ilvl="0">
      <w:lvlJc w:val="left"/>
      <w:lvlText w:val="(%1)"/>
      <w:numFmt w:val="decimal"/>
      <w:start w:val="10"/>
    </w:lvl>
  </w:abstractNum>
  <w:abstractNum w:abstractNumId="89">
    <w:nsid w:val="555C55B5"/>
    <w:multiLevelType w:val="hybridMultilevel"/>
    <w:lvl w:ilvl="0">
      <w:lvlJc w:val="left"/>
      <w:lvlText w:val="(%1)"/>
      <w:numFmt w:val="lowerLetter"/>
      <w:start w:val="3"/>
    </w:lvl>
  </w:abstractNum>
  <w:abstractNum w:abstractNumId="90">
    <w:nsid w:val="3FA62ACA"/>
    <w:multiLevelType w:val="hybridMultilevel"/>
    <w:lvl w:ilvl="0">
      <w:lvlJc w:val="left"/>
      <w:lvlText w:val="(%1)"/>
      <w:numFmt w:val="lowerLetter"/>
      <w:start w:val="1"/>
    </w:lvl>
  </w:abstractNum>
  <w:abstractNum w:abstractNumId="91">
    <w:nsid w:val="14FCE74E"/>
    <w:multiLevelType w:val="hybridMultilevel"/>
    <w:lvl w:ilvl="0">
      <w:lvlJc w:val="left"/>
      <w:lvlText w:val="(%1)"/>
      <w:numFmt w:val="lowerLetter"/>
      <w:start w:val="2"/>
    </w:lvl>
  </w:abstractNum>
  <w:abstractNum w:abstractNumId="92">
    <w:nsid w:val="6A3DD3E8"/>
    <w:multiLevelType w:val="hybridMultilevel"/>
    <w:lvl w:ilvl="0">
      <w:lvlJc w:val="left"/>
      <w:lvlText w:val="(%1)"/>
      <w:numFmt w:val="lowerLetter"/>
      <w:start w:val="1"/>
    </w:lvl>
    <w:lvl w:ilvl="1">
      <w:lvlJc w:val="left"/>
      <w:lvlText w:val="(%2)"/>
      <w:numFmt w:val="lowerLetter"/>
      <w:start w:val="9"/>
    </w:lvl>
  </w:abstractNum>
  <w:abstractNum w:abstractNumId="93">
    <w:nsid w:val="71C91298"/>
    <w:multiLevelType w:val="hybridMultilevel"/>
    <w:lvl w:ilvl="0">
      <w:lvlJc w:val="left"/>
      <w:lvlText w:val="%1"/>
      <w:numFmt w:val="decimal"/>
      <w:start w:val="1"/>
    </w:lvl>
    <w:lvl w:ilvl="1">
      <w:lvlJc w:val="left"/>
      <w:lvlText w:val="(%2)"/>
      <w:numFmt w:val="lowerLetter"/>
      <w:start w:val="35"/>
    </w:lvl>
  </w:abstractNum>
  <w:abstractNum w:abstractNumId="94">
    <w:nsid w:val="9DAF632"/>
    <w:multiLevelType w:val="hybridMultilevel"/>
    <w:lvl w:ilvl="0">
      <w:lvlJc w:val="left"/>
      <w:lvlText w:val="%1."/>
      <w:numFmt w:val="decimal"/>
      <w:start w:val="5"/>
    </w:lvl>
    <w:lvl w:ilvl="1">
      <w:lvlJc w:val="left"/>
      <w:lvlText w:val="(%2)"/>
      <w:numFmt w:val="lowerLetter"/>
      <w:start w:val="1"/>
    </w:lvl>
  </w:abstractNum>
  <w:abstractNum w:abstractNumId="95">
    <w:nsid w:val="53299938"/>
    <w:multiLevelType w:val="hybridMultilevel"/>
    <w:lvl w:ilvl="0">
      <w:lvlJc w:val="left"/>
      <w:lvlText w:val="(%1)"/>
      <w:numFmt w:val="lowerLetter"/>
      <w:start w:val="8"/>
    </w:lvl>
  </w:abstractNum>
  <w:abstractNum w:abstractNumId="96">
    <w:nsid w:val="1FBFE8E0"/>
    <w:multiLevelType w:val="hybridMultilevel"/>
    <w:lvl w:ilvl="0">
      <w:lvlJc w:val="left"/>
      <w:lvlText w:val="%1."/>
      <w:numFmt w:val="upperLetter"/>
      <w:start w:val="9"/>
    </w:lvl>
  </w:abstractNum>
  <w:abstractNum w:abstractNumId="97">
    <w:nsid w:val="5092CA79"/>
    <w:multiLevelType w:val="hybridMultilevel"/>
    <w:lvl w:ilvl="0">
      <w:lvlJc w:val="left"/>
      <w:lvlText w:val="%1."/>
      <w:numFmt w:val="upperLetter"/>
      <w:start w:val="4"/>
    </w:lvl>
    <w:lvl w:ilvl="1">
      <w:lvlJc w:val="left"/>
      <w:lvlText w:val="(%2)"/>
      <w:numFmt w:val="decimal"/>
      <w:start w:val="1"/>
    </w:lvl>
  </w:abstractNum>
  <w:abstractNum w:abstractNumId="98">
    <w:nsid w:val="1D545C4D"/>
    <w:multiLevelType w:val="hybridMultilevel"/>
    <w:lvl w:ilvl="0">
      <w:lvlJc w:val="left"/>
      <w:lvlText w:val="%1"/>
      <w:numFmt w:val="upperLetter"/>
      <w:start w:val="1"/>
    </w:lvl>
    <w:lvl w:ilvl="1">
      <w:lvlJc w:val="left"/>
      <w:lvlText w:val="%2."/>
      <w:numFmt w:val="upperLetter"/>
      <w:start w:val="5"/>
    </w:lvl>
    <w:lvl w:ilvl="2">
      <w:lvlJc w:val="left"/>
      <w:lvlText w:val="•"/>
      <w:numFmt w:val="bullet"/>
      <w:start w:val="1"/>
    </w:lvl>
  </w:abstractNum>
  <w:abstractNum w:abstractNumId="99">
    <w:nsid w:val="59ADEA3D"/>
    <w:multiLevelType w:val="hybridMultilevel"/>
    <w:lvl w:ilvl="0">
      <w:lvlJc w:val="left"/>
      <w:lvlText w:val="%1"/>
      <w:numFmt w:val="upperLetter"/>
      <w:start w:val="1"/>
    </w:lvl>
    <w:lvl w:ilvl="1">
      <w:lvlJc w:val="left"/>
      <w:lvlText w:val="%2."/>
      <w:numFmt w:val="upperLetter"/>
      <w:start w:val="1"/>
    </w:lvl>
    <w:lvl w:ilvl="2">
      <w:lvlJc w:val="left"/>
      <w:lvlText w:val="•"/>
      <w:numFmt w:val="bullet"/>
      <w:start w:val="1"/>
    </w:lvl>
  </w:abstractNum>
  <w:abstractNum w:abstractNumId="100">
    <w:nsid w:val="288F1A34"/>
    <w:multiLevelType w:val="hybridMultilevel"/>
    <w:lvl w:ilvl="0">
      <w:lvlJc w:val="left"/>
      <w:lvlText w:val="•"/>
      <w:numFmt w:val="bullet"/>
      <w:start w:val="1"/>
    </w:lvl>
  </w:abstractNum>
  <w:abstractNum w:abstractNumId="101">
    <w:nsid w:val="2A155DBC"/>
    <w:multiLevelType w:val="hybridMultilevel"/>
    <w:lvl w:ilvl="0">
      <w:lvlJc w:val="left"/>
      <w:lvlText w:val="•"/>
      <w:numFmt w:val="bullet"/>
      <w:start w:val="1"/>
    </w:lvl>
  </w:abstractNum>
  <w:abstractNum w:abstractNumId="102">
    <w:nsid w:val="1D9F6E5F"/>
    <w:multiLevelType w:val="hybridMultilevel"/>
    <w:lvl w:ilvl="0">
      <w:lvlJc w:val="left"/>
      <w:lvlText w:val="(%1)"/>
      <w:numFmt w:val="decimal"/>
      <w:start w:val="1"/>
    </w:lvl>
    <w:lvl w:ilvl="1">
      <w:lvlJc w:val="left"/>
      <w:lvlText w:val="•"/>
      <w:numFmt w:val="bullet"/>
      <w:start w:val="1"/>
    </w:lvl>
  </w:abstractNum>
  <w:abstractNum w:abstractNumId="103">
    <w:nsid w:val="97E1B4E"/>
    <w:multiLevelType w:val="hybridMultilevel"/>
    <w:lvl w:ilvl="0">
      <w:lvlJc w:val="left"/>
      <w:lvlText w:val="•"/>
      <w:numFmt w:val="bullet"/>
      <w:start w:val="1"/>
    </w:lvl>
  </w:abstractNum>
  <w:abstractNum w:abstractNumId="104">
    <w:nsid w:val="51088277"/>
    <w:multiLevelType w:val="hybridMultilevel"/>
    <w:lvl w:ilvl="0">
      <w:lvlJc w:val="left"/>
      <w:lvlText w:val="•"/>
      <w:numFmt w:val="bullet"/>
      <w:start w:val="1"/>
    </w:lvl>
  </w:abstractNum>
  <w:abstractNum w:abstractNumId="105">
    <w:nsid w:val="1CA0C5FA"/>
    <w:multiLevelType w:val="hybridMultilevel"/>
    <w:lvl w:ilvl="0">
      <w:lvlJc w:val="left"/>
      <w:lvlText w:val="%1."/>
      <w:numFmt w:val="upperLetter"/>
      <w:start w:val="61"/>
    </w:lvl>
    <w:lvl w:ilvl="1">
      <w:lvlJc w:val="left"/>
      <w:lvlText w:val="•"/>
      <w:numFmt w:val="bullet"/>
      <w:start w:val="1"/>
    </w:lvl>
  </w:abstractNum>
  <w:abstractNum w:abstractNumId="106">
    <w:nsid w:val="53584BCB"/>
    <w:multiLevelType w:val="hybridMultilevel"/>
    <w:lvl w:ilvl="0">
      <w:lvlJc w:val="left"/>
      <w:lvlText w:val="%1."/>
      <w:numFmt w:val="upperLetter"/>
      <w:start w:val="1"/>
    </w:lvl>
    <w:lvl w:ilvl="1">
      <w:lvlJc w:val="left"/>
      <w:lvlText w:val="•"/>
      <w:numFmt w:val="bullet"/>
      <w:start w:val="1"/>
    </w:lvl>
  </w:abstractNum>
  <w:abstractNum w:abstractNumId="107">
    <w:nsid w:val="415E286C"/>
    <w:multiLevelType w:val="hybridMultilevel"/>
    <w:lvl w:ilvl="0">
      <w:lvlJc w:val="left"/>
      <w:lvlText w:val="%1."/>
      <w:numFmt w:val="upperLetter"/>
      <w:start w:val="3"/>
    </w:lvl>
    <w:lvl w:ilvl="1">
      <w:lvlJc w:val="left"/>
      <w:lvlText w:val="•"/>
      <w:numFmt w:val="bullet"/>
      <w:start w:val="1"/>
    </w:lvl>
  </w:abstractNum>
  <w:abstractNum w:abstractNumId="108">
    <w:nsid w:val="7C58FD05"/>
    <w:multiLevelType w:val="hybridMultilevel"/>
    <w:lvl w:ilvl="0">
      <w:lvlJc w:val="left"/>
      <w:lvlText w:val="%1."/>
      <w:numFmt w:val="upperLetter"/>
      <w:start w:val="4"/>
    </w:lvl>
    <w:lvl w:ilvl="1">
      <w:lvlJc w:val="left"/>
      <w:lvlText w:val="•"/>
      <w:numFmt w:val="bullet"/>
      <w:start w:val="1"/>
    </w:lvl>
  </w:abstractNum>
  <w:abstractNum w:abstractNumId="109">
    <w:nsid w:val="23D86AAC"/>
    <w:multiLevelType w:val="hybridMultilevel"/>
    <w:lvl w:ilvl="0">
      <w:lvlJc w:val="left"/>
      <w:lvlText w:val="%1."/>
      <w:numFmt w:val="upperLetter"/>
      <w:start w:val="5"/>
    </w:lvl>
  </w:abstractNum>
  <w:abstractNum w:abstractNumId="110">
    <w:nsid w:val="45E6D486"/>
    <w:multiLevelType w:val="hybridMultilevel"/>
    <w:lvl w:ilvl="0">
      <w:lvlJc w:val="left"/>
      <w:lvlText w:val="%1."/>
      <w:numFmt w:val="upperLetter"/>
      <w:start w:val="22"/>
    </w:lvl>
  </w:abstractNum>
  <w:abstractNum w:abstractNumId="111">
    <w:nsid w:val="5C10FE21"/>
    <w:multiLevelType w:val="hybridMultilevel"/>
    <w:lvl w:ilvl="0">
      <w:lvlJc w:val="left"/>
      <w:lvlText w:val="(%1)"/>
      <w:numFmt w:val="decimal"/>
      <w:start w:val="3"/>
    </w:lvl>
  </w:abstractNum>
  <w:abstractNum w:abstractNumId="112">
    <w:nsid w:val="E7FFA2B"/>
    <w:multiLevelType w:val="hybridMultilevel"/>
    <w:lvl w:ilvl="0">
      <w:lvlJc w:val="left"/>
      <w:lvlText w:val="%1."/>
      <w:numFmt w:val="decimal"/>
      <w:start w:val="1"/>
    </w:lvl>
    <w:lvl w:ilvl="1">
      <w:lvlJc w:val="left"/>
      <w:lvlText w:val="(%2)"/>
      <w:numFmt w:val="lowerLetter"/>
      <w:start w:val="1"/>
    </w:lvl>
  </w:abstractNum>
  <w:abstractNum w:abstractNumId="113">
    <w:nsid w:val="3C5991AA"/>
    <w:multiLevelType w:val="hybridMultilevel"/>
    <w:lvl w:ilvl="0">
      <w:lvlJc w:val="left"/>
      <w:lvlText w:val="%1."/>
      <w:numFmt w:val="decimal"/>
      <w:start w:val="1"/>
    </w:lvl>
    <w:lvl w:ilvl="1">
      <w:lvlJc w:val="left"/>
      <w:lvlText w:val="(%2)"/>
      <w:numFmt w:val="lowerLetter"/>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7" Type="http://schemas.openxmlformats.org/officeDocument/2006/relationships/image" Target="media/image159.png"/><Relationship Id="rId208" Type="http://schemas.openxmlformats.org/officeDocument/2006/relationships/image" Target="media/image160.pn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png"/><Relationship Id="rId212" Type="http://schemas.openxmlformats.org/officeDocument/2006/relationships/image" Target="media/image164.png"/><Relationship Id="rId213" Type="http://schemas.openxmlformats.org/officeDocument/2006/relationships/image" Target="media/image165.png"/><Relationship Id="rId214" Type="http://schemas.openxmlformats.org/officeDocument/2006/relationships/image" Target="media/image166.png"/><Relationship Id="rId215" Type="http://schemas.openxmlformats.org/officeDocument/2006/relationships/image" Target="media/image167.png"/><Relationship Id="rId216" Type="http://schemas.openxmlformats.org/officeDocument/2006/relationships/image" Target="media/image168.png"/><Relationship Id="rId217"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220" Type="http://schemas.openxmlformats.org/officeDocument/2006/relationships/image" Target="media/image172.png"/><Relationship Id="rId221" Type="http://schemas.openxmlformats.org/officeDocument/2006/relationships/image" Target="media/image173.png"/><Relationship Id="rId222" Type="http://schemas.openxmlformats.org/officeDocument/2006/relationships/image" Target="media/image174.png"/><Relationship Id="rId223" Type="http://schemas.openxmlformats.org/officeDocument/2006/relationships/image" Target="media/image175.png"/><Relationship Id="rId224"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png"/><Relationship Id="rId227" Type="http://schemas.openxmlformats.org/officeDocument/2006/relationships/image" Target="media/image179.png"/><Relationship Id="rId228" Type="http://schemas.openxmlformats.org/officeDocument/2006/relationships/image" Target="media/image180.png"/><Relationship Id="rId229" Type="http://schemas.openxmlformats.org/officeDocument/2006/relationships/image" Target="media/image181.png"/><Relationship Id="rId230" Type="http://schemas.openxmlformats.org/officeDocument/2006/relationships/image" Target="media/image182.png"/><Relationship Id="rId231" Type="http://schemas.openxmlformats.org/officeDocument/2006/relationships/image" Target="media/image183.png"/><Relationship Id="rId232" Type="http://schemas.openxmlformats.org/officeDocument/2006/relationships/image" Target="media/image184.png"/><Relationship Id="rId233" Type="http://schemas.openxmlformats.org/officeDocument/2006/relationships/image" Target="media/image185.png"/><Relationship Id="rId234" Type="http://schemas.openxmlformats.org/officeDocument/2006/relationships/image" Target="media/image186.png"/><Relationship Id="rId235" Type="http://schemas.openxmlformats.org/officeDocument/2006/relationships/image" Target="media/image187.png"/><Relationship Id="rId236" Type="http://schemas.openxmlformats.org/officeDocument/2006/relationships/image" Target="media/image188.png"/><Relationship Id="rId237" Type="http://schemas.openxmlformats.org/officeDocument/2006/relationships/image" Target="media/image189.png"/><Relationship Id="rId238" Type="http://schemas.openxmlformats.org/officeDocument/2006/relationships/image" Target="media/image190.png"/><Relationship Id="rId239" Type="http://schemas.openxmlformats.org/officeDocument/2006/relationships/image" Target="media/image191.png"/><Relationship Id="rId240" Type="http://schemas.openxmlformats.org/officeDocument/2006/relationships/image" Target="media/image192.png"/><Relationship Id="rId241" Type="http://schemas.openxmlformats.org/officeDocument/2006/relationships/image" Target="media/image193.png"/><Relationship Id="rId242" Type="http://schemas.openxmlformats.org/officeDocument/2006/relationships/image" Target="media/image194.png"/><Relationship Id="rId243" Type="http://schemas.openxmlformats.org/officeDocument/2006/relationships/image" Target="media/image195.png"/><Relationship Id="rId244" Type="http://schemas.openxmlformats.org/officeDocument/2006/relationships/image" Target="media/image196.png"/><Relationship Id="rId245" Type="http://schemas.openxmlformats.org/officeDocument/2006/relationships/image" Target="media/image197.png"/><Relationship Id="rId246" Type="http://schemas.openxmlformats.org/officeDocument/2006/relationships/image" Target="media/image198.png"/><Relationship Id="rId247" Type="http://schemas.openxmlformats.org/officeDocument/2006/relationships/image" Target="media/image199.png"/><Relationship Id="rId248" Type="http://schemas.openxmlformats.org/officeDocument/2006/relationships/image" Target="media/image200.png"/><Relationship Id="rId249" Type="http://schemas.openxmlformats.org/officeDocument/2006/relationships/image" Target="media/image201.png"/><Relationship Id="rId250" Type="http://schemas.openxmlformats.org/officeDocument/2006/relationships/image" Target="media/image202.png"/><Relationship Id="rId251" Type="http://schemas.openxmlformats.org/officeDocument/2006/relationships/image" Target="media/image203.png"/><Relationship Id="rId252" Type="http://schemas.openxmlformats.org/officeDocument/2006/relationships/image" Target="media/image204.png"/><Relationship Id="rId253" Type="http://schemas.openxmlformats.org/officeDocument/2006/relationships/image" Target="media/image205.png"/><Relationship Id="rId254" Type="http://schemas.openxmlformats.org/officeDocument/2006/relationships/image" Target="media/image206.png"/><Relationship Id="rId255" Type="http://schemas.openxmlformats.org/officeDocument/2006/relationships/image" Target="media/image207.png"/><Relationship Id="rId256" Type="http://schemas.openxmlformats.org/officeDocument/2006/relationships/image" Target="media/image208.png"/><Relationship Id="rId257" Type="http://schemas.openxmlformats.org/officeDocument/2006/relationships/image" Target="media/image209.png"/><Relationship Id="rId258" Type="http://schemas.openxmlformats.org/officeDocument/2006/relationships/image" Target="media/image210.png"/><Relationship Id="rId259" Type="http://schemas.openxmlformats.org/officeDocument/2006/relationships/image" Target="media/image211.png"/><Relationship Id="rId260" Type="http://schemas.openxmlformats.org/officeDocument/2006/relationships/image" Target="media/image212.png"/><Relationship Id="rId261" Type="http://schemas.openxmlformats.org/officeDocument/2006/relationships/image" Target="media/image213.png"/><Relationship Id="rId262" Type="http://schemas.openxmlformats.org/officeDocument/2006/relationships/image" Target="media/image214.png"/><Relationship Id="rId263" Type="http://schemas.openxmlformats.org/officeDocument/2006/relationships/image" Target="media/image215.png"/><Relationship Id="rId264" Type="http://schemas.openxmlformats.org/officeDocument/2006/relationships/image" Target="media/image216.png"/><Relationship Id="rId265" Type="http://schemas.openxmlformats.org/officeDocument/2006/relationships/image" Target="media/image217.png"/><Relationship Id="rId266" Type="http://schemas.openxmlformats.org/officeDocument/2006/relationships/image" Target="media/image218.png"/><Relationship Id="rId267" Type="http://schemas.openxmlformats.org/officeDocument/2006/relationships/image" Target="media/image219.png"/><Relationship Id="rId268" Type="http://schemas.openxmlformats.org/officeDocument/2006/relationships/image" Target="media/image220.png"/><Relationship Id="rId269" Type="http://schemas.openxmlformats.org/officeDocument/2006/relationships/image" Target="media/image221.png"/><Relationship Id="rId270" Type="http://schemas.openxmlformats.org/officeDocument/2006/relationships/image" Target="media/image222.png"/><Relationship Id="rId271" Type="http://schemas.openxmlformats.org/officeDocument/2006/relationships/image" Target="media/image223.png"/><Relationship Id="rId272" Type="http://schemas.openxmlformats.org/officeDocument/2006/relationships/image" Target="media/image224.png"/><Relationship Id="rId273" Type="http://schemas.openxmlformats.org/officeDocument/2006/relationships/image" Target="media/image225.png"/><Relationship Id="rId274" Type="http://schemas.openxmlformats.org/officeDocument/2006/relationships/image" Target="media/image226.png"/><Relationship Id="rId275" Type="http://schemas.openxmlformats.org/officeDocument/2006/relationships/image" Target="media/image227.png"/><Relationship Id="rId276" Type="http://schemas.openxmlformats.org/officeDocument/2006/relationships/image" Target="media/image228.png"/><Relationship Id="rId277" Type="http://schemas.openxmlformats.org/officeDocument/2006/relationships/image" Target="media/image229.png"/><Relationship Id="rId278" Type="http://schemas.openxmlformats.org/officeDocument/2006/relationships/image" Target="media/image230.png"/><Relationship Id="rId279" Type="http://schemas.openxmlformats.org/officeDocument/2006/relationships/image" Target="media/image231.png"/><Relationship Id="rId280" Type="http://schemas.openxmlformats.org/officeDocument/2006/relationships/image" Target="media/image232.png"/><Relationship Id="rId281" Type="http://schemas.openxmlformats.org/officeDocument/2006/relationships/image" Target="media/image233.png"/><Relationship Id="rId282" Type="http://schemas.openxmlformats.org/officeDocument/2006/relationships/image" Target="media/image234.png"/><Relationship Id="rId283" Type="http://schemas.openxmlformats.org/officeDocument/2006/relationships/image" Target="media/image235.png"/><Relationship Id="rId284" Type="http://schemas.openxmlformats.org/officeDocument/2006/relationships/image" Target="media/image236.png"/><Relationship Id="rId285" Type="http://schemas.openxmlformats.org/officeDocument/2006/relationships/image" Target="media/image237.png"/><Relationship Id="rId286" Type="http://schemas.openxmlformats.org/officeDocument/2006/relationships/image" Target="media/image238.png"/><Relationship Id="rId287" Type="http://schemas.openxmlformats.org/officeDocument/2006/relationships/image" Target="media/image239.png"/><Relationship Id="rId288" Type="http://schemas.openxmlformats.org/officeDocument/2006/relationships/image" Target="media/image240.png"/><Relationship Id="rId289" Type="http://schemas.openxmlformats.org/officeDocument/2006/relationships/image" Target="media/image241.png"/><Relationship Id="rId290" Type="http://schemas.openxmlformats.org/officeDocument/2006/relationships/image" Target="media/image242.png"/><Relationship Id="rId291" Type="http://schemas.openxmlformats.org/officeDocument/2006/relationships/image" Target="media/image243.png"/><Relationship Id="rId292" Type="http://schemas.openxmlformats.org/officeDocument/2006/relationships/image" Target="media/image244.png"/><Relationship Id="rId293" Type="http://schemas.openxmlformats.org/officeDocument/2006/relationships/image" Target="media/image245.png"/><Relationship Id="rId294" Type="http://schemas.openxmlformats.org/officeDocument/2006/relationships/image" Target="media/image246.png"/><Relationship Id="rId295" Type="http://schemas.openxmlformats.org/officeDocument/2006/relationships/image" Target="media/image247.png"/><Relationship Id="rId296" Type="http://schemas.openxmlformats.org/officeDocument/2006/relationships/image" Target="media/image248.png"/><Relationship Id="rId297" Type="http://schemas.openxmlformats.org/officeDocument/2006/relationships/image" Target="media/image249.png"/><Relationship Id="rId298" Type="http://schemas.openxmlformats.org/officeDocument/2006/relationships/image" Target="media/image250.png"/><Relationship Id="rId299" Type="http://schemas.openxmlformats.org/officeDocument/2006/relationships/image" Target="media/image251.png"/><Relationship Id="rId300" Type="http://schemas.openxmlformats.org/officeDocument/2006/relationships/image" Target="media/image252.png"/><Relationship Id="rId301" Type="http://schemas.openxmlformats.org/officeDocument/2006/relationships/image" Target="media/image253.png"/><Relationship Id="rId302" Type="http://schemas.openxmlformats.org/officeDocument/2006/relationships/image" Target="media/image254.png"/><Relationship Id="rId303" Type="http://schemas.openxmlformats.org/officeDocument/2006/relationships/image" Target="media/image255.png"/><Relationship Id="rId304" Type="http://schemas.openxmlformats.org/officeDocument/2006/relationships/image" Target="media/image256.png"/><Relationship Id="rId305" Type="http://schemas.openxmlformats.org/officeDocument/2006/relationships/image" Target="media/image257.png"/><Relationship Id="rId306" Type="http://schemas.openxmlformats.org/officeDocument/2006/relationships/image" Target="media/image258.png"/><Relationship Id="rId307" Type="http://schemas.openxmlformats.org/officeDocument/2006/relationships/image" Target="media/image259.png"/><Relationship Id="rId308" Type="http://schemas.openxmlformats.org/officeDocument/2006/relationships/image" Target="media/image260.png"/><Relationship Id="rId309" Type="http://schemas.openxmlformats.org/officeDocument/2006/relationships/image" Target="media/image261.png"/><Relationship Id="rId310" Type="http://schemas.openxmlformats.org/officeDocument/2006/relationships/image" Target="media/image262.png"/><Relationship Id="rId311" Type="http://schemas.openxmlformats.org/officeDocument/2006/relationships/image" Target="media/image263.png"/><Relationship Id="rId312" Type="http://schemas.openxmlformats.org/officeDocument/2006/relationships/image" Target="media/image264.png"/><Relationship Id="rId313" Type="http://schemas.openxmlformats.org/officeDocument/2006/relationships/image" Target="media/image265.png"/><Relationship Id="rId314" Type="http://schemas.openxmlformats.org/officeDocument/2006/relationships/image" Target="media/image266.png"/><Relationship Id="rId315" Type="http://schemas.openxmlformats.org/officeDocument/2006/relationships/image" Target="media/image267.png"/><Relationship Id="rId316" Type="http://schemas.openxmlformats.org/officeDocument/2006/relationships/image" Target="media/image268.png"/><Relationship Id="rId317" Type="http://schemas.openxmlformats.org/officeDocument/2006/relationships/image" Target="media/image269.png"/><Relationship Id="rId318" Type="http://schemas.openxmlformats.org/officeDocument/2006/relationships/image" Target="media/image270.png"/><Relationship Id="rId319" Type="http://schemas.openxmlformats.org/officeDocument/2006/relationships/image" Target="media/image271.png"/><Relationship Id="rId320" Type="http://schemas.openxmlformats.org/officeDocument/2006/relationships/image" Target="media/image272.png"/><Relationship Id="rId321" Type="http://schemas.openxmlformats.org/officeDocument/2006/relationships/image" Target="media/image273.png"/><Relationship Id="rId322" Type="http://schemas.openxmlformats.org/officeDocument/2006/relationships/image" Target="media/image274.png"/><Relationship Id="rId323" Type="http://schemas.openxmlformats.org/officeDocument/2006/relationships/image" Target="media/image275.png"/><Relationship Id="rId324" Type="http://schemas.openxmlformats.org/officeDocument/2006/relationships/image" Target="media/image276.png"/><Relationship Id="rId325" Type="http://schemas.openxmlformats.org/officeDocument/2006/relationships/image" Target="media/image277.png"/><Relationship Id="rId326" Type="http://schemas.openxmlformats.org/officeDocument/2006/relationships/image" Target="media/image278.png"/><Relationship Id="rId327" Type="http://schemas.openxmlformats.org/officeDocument/2006/relationships/image" Target="media/image279.png"/><Relationship Id="rId328" Type="http://schemas.openxmlformats.org/officeDocument/2006/relationships/image" Target="media/image280.png"/><Relationship Id="rId329" Type="http://schemas.openxmlformats.org/officeDocument/2006/relationships/image" Target="media/image281.png"/><Relationship Id="rId330" Type="http://schemas.openxmlformats.org/officeDocument/2006/relationships/image" Target="media/image282.png"/><Relationship Id="rId331" Type="http://schemas.openxmlformats.org/officeDocument/2006/relationships/image" Target="media/image283.png"/><Relationship Id="rId332" Type="http://schemas.openxmlformats.org/officeDocument/2006/relationships/image" Target="media/image284.png"/><Relationship Id="rId333" Type="http://schemas.openxmlformats.org/officeDocument/2006/relationships/image" Target="media/image285.png"/><Relationship Id="rId334" Type="http://schemas.openxmlformats.org/officeDocument/2006/relationships/image" Target="media/image286.png"/><Relationship Id="rId335" Type="http://schemas.openxmlformats.org/officeDocument/2006/relationships/image" Target="media/image287.png"/><Relationship Id="rId336" Type="http://schemas.openxmlformats.org/officeDocument/2006/relationships/image" Target="media/image288.png"/><Relationship Id="rId337" Type="http://schemas.openxmlformats.org/officeDocument/2006/relationships/image" Target="media/image289.png"/><Relationship Id="rId338" Type="http://schemas.openxmlformats.org/officeDocument/2006/relationships/image" Target="media/image290.png"/><Relationship Id="rId339" Type="http://schemas.openxmlformats.org/officeDocument/2006/relationships/image" Target="media/image291.png"/><Relationship Id="rId340" Type="http://schemas.openxmlformats.org/officeDocument/2006/relationships/image" Target="media/image292.png"/><Relationship Id="rId341" Type="http://schemas.openxmlformats.org/officeDocument/2006/relationships/image" Target="media/image293.png"/><Relationship Id="rId342" Type="http://schemas.openxmlformats.org/officeDocument/2006/relationships/image" Target="media/image294.png"/><Relationship Id="rId343" Type="http://schemas.openxmlformats.org/officeDocument/2006/relationships/image" Target="media/image295.png"/><Relationship Id="rId344" Type="http://schemas.openxmlformats.org/officeDocument/2006/relationships/image" Target="media/image296.png"/><Relationship Id="rId345" Type="http://schemas.openxmlformats.org/officeDocument/2006/relationships/image" Target="media/image297.png"/><Relationship Id="rId346" Type="http://schemas.openxmlformats.org/officeDocument/2006/relationships/image" Target="media/image298.png"/><Relationship Id="rId347" Type="http://schemas.openxmlformats.org/officeDocument/2006/relationships/image" Target="media/image299.png"/><Relationship Id="rId348" Type="http://schemas.openxmlformats.org/officeDocument/2006/relationships/image" Target="media/image300.png"/><Relationship Id="rId349" Type="http://schemas.openxmlformats.org/officeDocument/2006/relationships/image" Target="media/image301.png"/><Relationship Id="rId350" Type="http://schemas.openxmlformats.org/officeDocument/2006/relationships/image" Target="media/image302.png"/><Relationship Id="rId351" Type="http://schemas.openxmlformats.org/officeDocument/2006/relationships/image" Target="media/image303.png"/><Relationship Id="rId352" Type="http://schemas.openxmlformats.org/officeDocument/2006/relationships/image" Target="media/image304.png"/><Relationship Id="rId353" Type="http://schemas.openxmlformats.org/officeDocument/2006/relationships/image" Target="media/image305.png"/><Relationship Id="rId354" Type="http://schemas.openxmlformats.org/officeDocument/2006/relationships/image" Target="media/image306.png"/><Relationship Id="rId355" Type="http://schemas.openxmlformats.org/officeDocument/2006/relationships/image" Target="media/image307.png"/><Relationship Id="rId356" Type="http://schemas.openxmlformats.org/officeDocument/2006/relationships/image" Target="media/image308.png"/><Relationship Id="rId357" Type="http://schemas.openxmlformats.org/officeDocument/2006/relationships/image" Target="media/image309.png"/><Relationship Id="rId358" Type="http://schemas.openxmlformats.org/officeDocument/2006/relationships/image" Target="media/image310.png"/><Relationship Id="rId359" Type="http://schemas.openxmlformats.org/officeDocument/2006/relationships/image" Target="media/image311.png"/><Relationship Id="rId360" Type="http://schemas.openxmlformats.org/officeDocument/2006/relationships/image" Target="media/image312.png"/><Relationship Id="rId361" Type="http://schemas.openxmlformats.org/officeDocument/2006/relationships/image" Target="media/image313.png"/><Relationship Id="rId362" Type="http://schemas.openxmlformats.org/officeDocument/2006/relationships/image" Target="media/image314.png"/><Relationship Id="rId363" Type="http://schemas.openxmlformats.org/officeDocument/2006/relationships/image" Target="media/image315.png"/><Relationship Id="rId364" Type="http://schemas.openxmlformats.org/officeDocument/2006/relationships/image" Target="media/image316.png"/><Relationship Id="rId365" Type="http://schemas.openxmlformats.org/officeDocument/2006/relationships/image" Target="media/image317.png"/><Relationship Id="rId366" Type="http://schemas.openxmlformats.org/officeDocument/2006/relationships/image" Target="media/image318.png"/><Relationship Id="rId367" Type="http://schemas.openxmlformats.org/officeDocument/2006/relationships/image" Target="media/image319.png"/><Relationship Id="rId368" Type="http://schemas.openxmlformats.org/officeDocument/2006/relationships/image" Target="media/image320.png"/><Relationship Id="rId369" Type="http://schemas.openxmlformats.org/officeDocument/2006/relationships/image" Target="media/image321.png"/><Relationship Id="rId370" Type="http://schemas.openxmlformats.org/officeDocument/2006/relationships/image" Target="media/image322.png"/><Relationship Id="rId371" Type="http://schemas.openxmlformats.org/officeDocument/2006/relationships/image" Target="media/image323.png"/><Relationship Id="rId372" Type="http://schemas.openxmlformats.org/officeDocument/2006/relationships/image" Target="media/image324.png"/><Relationship Id="rId373" Type="http://schemas.openxmlformats.org/officeDocument/2006/relationships/image" Target="media/image325.png"/><Relationship Id="rId374" Type="http://schemas.openxmlformats.org/officeDocument/2006/relationships/image" Target="media/image326.png"/><Relationship Id="rId375" Type="http://schemas.openxmlformats.org/officeDocument/2006/relationships/image" Target="media/image327.png"/><Relationship Id="rId376" Type="http://schemas.openxmlformats.org/officeDocument/2006/relationships/image" Target="media/image328.png"/><Relationship Id="rId377" Type="http://schemas.openxmlformats.org/officeDocument/2006/relationships/image" Target="media/image329.png"/><Relationship Id="rId378" Type="http://schemas.openxmlformats.org/officeDocument/2006/relationships/image" Target="media/image330.png"/><Relationship Id="rId379" Type="http://schemas.openxmlformats.org/officeDocument/2006/relationships/image" Target="media/image331.png"/><Relationship Id="rId380" Type="http://schemas.openxmlformats.org/officeDocument/2006/relationships/image" Target="media/image332.png"/><Relationship Id="rId381" Type="http://schemas.openxmlformats.org/officeDocument/2006/relationships/image" Target="media/image333.png"/><Relationship Id="rId382" Type="http://schemas.openxmlformats.org/officeDocument/2006/relationships/image" Target="media/image334.png"/><Relationship Id="rId383" Type="http://schemas.openxmlformats.org/officeDocument/2006/relationships/image" Target="media/image335.png"/><Relationship Id="rId384" Type="http://schemas.openxmlformats.org/officeDocument/2006/relationships/image" Target="media/image336.png"/><Relationship Id="rId385" Type="http://schemas.openxmlformats.org/officeDocument/2006/relationships/image" Target="media/image337.png"/><Relationship Id="rId386" Type="http://schemas.openxmlformats.org/officeDocument/2006/relationships/image" Target="media/image338.png"/><Relationship Id="rId387" Type="http://schemas.openxmlformats.org/officeDocument/2006/relationships/image" Target="media/image339.png"/><Relationship Id="rId388" Type="http://schemas.openxmlformats.org/officeDocument/2006/relationships/image" Target="media/image340.png"/><Relationship Id="rId389" Type="http://schemas.openxmlformats.org/officeDocument/2006/relationships/image" Target="media/image341.png"/><Relationship Id="rId390" Type="http://schemas.openxmlformats.org/officeDocument/2006/relationships/image" Target="media/image342.png"/><Relationship Id="rId391" Type="http://schemas.openxmlformats.org/officeDocument/2006/relationships/image" Target="media/image343.png"/><Relationship Id="rId392" Type="http://schemas.openxmlformats.org/officeDocument/2006/relationships/image" Target="media/image344.png"/><Relationship Id="rId393" Type="http://schemas.openxmlformats.org/officeDocument/2006/relationships/image" Target="media/image345.png"/><Relationship Id="rId394" Type="http://schemas.openxmlformats.org/officeDocument/2006/relationships/image" Target="media/image346.png"/><Relationship Id="rId395" Type="http://schemas.openxmlformats.org/officeDocument/2006/relationships/image" Target="media/image347.png"/><Relationship Id="rId396" Type="http://schemas.openxmlformats.org/officeDocument/2006/relationships/image" Target="media/image348.png"/><Relationship Id="rId397" Type="http://schemas.openxmlformats.org/officeDocument/2006/relationships/image" Target="media/image349.png"/><Relationship Id="rId398" Type="http://schemas.openxmlformats.org/officeDocument/2006/relationships/image" Target="media/image350.png"/><Relationship Id="rId399" Type="http://schemas.openxmlformats.org/officeDocument/2006/relationships/image" Target="media/image351.png"/><Relationship Id="rId400" Type="http://schemas.openxmlformats.org/officeDocument/2006/relationships/image" Target="media/image352.png"/><Relationship Id="rId401" Type="http://schemas.openxmlformats.org/officeDocument/2006/relationships/image" Target="media/image353.png"/><Relationship Id="rId402" Type="http://schemas.openxmlformats.org/officeDocument/2006/relationships/image" Target="media/image354.png"/><Relationship Id="rId403" Type="http://schemas.openxmlformats.org/officeDocument/2006/relationships/image" Target="media/image355.png"/><Relationship Id="rId404" Type="http://schemas.openxmlformats.org/officeDocument/2006/relationships/image" Target="media/image356.png"/><Relationship Id="rId405" Type="http://schemas.openxmlformats.org/officeDocument/2006/relationships/image" Target="media/image357.png"/><Relationship Id="rId406" Type="http://schemas.openxmlformats.org/officeDocument/2006/relationships/image" Target="media/image358.png"/><Relationship Id="rId407" Type="http://schemas.openxmlformats.org/officeDocument/2006/relationships/image" Target="media/image359.png"/><Relationship Id="rId408" Type="http://schemas.openxmlformats.org/officeDocument/2006/relationships/image" Target="media/image360.png"/><Relationship Id="rId409" Type="http://schemas.openxmlformats.org/officeDocument/2006/relationships/image" Target="media/image361.png"/><Relationship Id="rId410" Type="http://schemas.openxmlformats.org/officeDocument/2006/relationships/image" Target="media/image362.png"/><Relationship Id="rId411" Type="http://schemas.openxmlformats.org/officeDocument/2006/relationships/image" Target="media/image363.png"/><Relationship Id="rId412" Type="http://schemas.openxmlformats.org/officeDocument/2006/relationships/image" Target="media/image364.png"/><Relationship Id="rId413" Type="http://schemas.openxmlformats.org/officeDocument/2006/relationships/image" Target="media/image365.png"/><Relationship Id="rId414" Type="http://schemas.openxmlformats.org/officeDocument/2006/relationships/image" Target="media/image366.png"/><Relationship Id="rId415" Type="http://schemas.openxmlformats.org/officeDocument/2006/relationships/image" Target="media/image367.png"/><Relationship Id="rId416" Type="http://schemas.openxmlformats.org/officeDocument/2006/relationships/image" Target="media/image368.png"/><Relationship Id="rId417" Type="http://schemas.openxmlformats.org/officeDocument/2006/relationships/image" Target="media/image369.png"/><Relationship Id="rId418" Type="http://schemas.openxmlformats.org/officeDocument/2006/relationships/image" Target="media/image370.png"/><Relationship Id="rId419" Type="http://schemas.openxmlformats.org/officeDocument/2006/relationships/image" Target="media/image371.png"/><Relationship Id="rId420" Type="http://schemas.openxmlformats.org/officeDocument/2006/relationships/image" Target="media/image372.png"/><Relationship Id="rId421" Type="http://schemas.openxmlformats.org/officeDocument/2006/relationships/image" Target="media/image373.png"/><Relationship Id="rId422" Type="http://schemas.openxmlformats.org/officeDocument/2006/relationships/image" Target="media/image374.png"/><Relationship Id="rId423" Type="http://schemas.openxmlformats.org/officeDocument/2006/relationships/image" Target="media/image375.png"/><Relationship Id="rId424" Type="http://schemas.openxmlformats.org/officeDocument/2006/relationships/image" Target="media/image376.png"/><Relationship Id="rId425" Type="http://schemas.openxmlformats.org/officeDocument/2006/relationships/image" Target="media/image377.png"/><Relationship Id="rId426" Type="http://schemas.openxmlformats.org/officeDocument/2006/relationships/image" Target="media/image378.png"/><Relationship Id="rId427" Type="http://schemas.openxmlformats.org/officeDocument/2006/relationships/image" Target="media/image379.png"/><Relationship Id="rId428" Type="http://schemas.openxmlformats.org/officeDocument/2006/relationships/image" Target="media/image380.png"/><Relationship Id="rId429" Type="http://schemas.openxmlformats.org/officeDocument/2006/relationships/image" Target="media/image381.png"/><Relationship Id="rId430" Type="http://schemas.openxmlformats.org/officeDocument/2006/relationships/image" Target="media/image382.png"/><Relationship Id="rId431" Type="http://schemas.openxmlformats.org/officeDocument/2006/relationships/image" Target="media/image383.png"/><Relationship Id="rId432" Type="http://schemas.openxmlformats.org/officeDocument/2006/relationships/image" Target="media/image384.png"/><Relationship Id="rId433" Type="http://schemas.openxmlformats.org/officeDocument/2006/relationships/image" Target="media/image385.png"/><Relationship Id="rId434" Type="http://schemas.openxmlformats.org/officeDocument/2006/relationships/image" Target="media/image386.png"/><Relationship Id="rId435" Type="http://schemas.openxmlformats.org/officeDocument/2006/relationships/image" Target="media/image387.png"/><Relationship Id="rId436" Type="http://schemas.openxmlformats.org/officeDocument/2006/relationships/image" Target="media/image388.png"/><Relationship Id="rId437" Type="http://schemas.openxmlformats.org/officeDocument/2006/relationships/image" Target="media/image389.png"/><Relationship Id="rId438" Type="http://schemas.openxmlformats.org/officeDocument/2006/relationships/image" Target="media/image390.png"/><Relationship Id="rId439" Type="http://schemas.openxmlformats.org/officeDocument/2006/relationships/image" Target="media/image391.png"/><Relationship Id="rId440" Type="http://schemas.openxmlformats.org/officeDocument/2006/relationships/image" Target="media/image392.png"/><Relationship Id="rId441" Type="http://schemas.openxmlformats.org/officeDocument/2006/relationships/image" Target="media/image393.png"/><Relationship Id="rId442" Type="http://schemas.openxmlformats.org/officeDocument/2006/relationships/image" Target="media/image394.png"/><Relationship Id="rId443" Type="http://schemas.openxmlformats.org/officeDocument/2006/relationships/image" Target="media/image395.png"/><Relationship Id="rId444" Type="http://schemas.openxmlformats.org/officeDocument/2006/relationships/image" Target="media/image396.png"/><Relationship Id="rId445" Type="http://schemas.openxmlformats.org/officeDocument/2006/relationships/image" Target="media/image397.png"/><Relationship Id="rId446" Type="http://schemas.openxmlformats.org/officeDocument/2006/relationships/image" Target="media/image398.png"/><Relationship Id="rId447" Type="http://schemas.openxmlformats.org/officeDocument/2006/relationships/image" Target="media/image399.png"/><Relationship Id="rId448" Type="http://schemas.openxmlformats.org/officeDocument/2006/relationships/image" Target="media/image400.png"/><Relationship Id="rId449" Type="http://schemas.openxmlformats.org/officeDocument/2006/relationships/image" Target="media/image401.png"/><Relationship Id="rId450" Type="http://schemas.openxmlformats.org/officeDocument/2006/relationships/image" Target="media/image402.png"/><Relationship Id="rId451" Type="http://schemas.openxmlformats.org/officeDocument/2006/relationships/image" Target="media/image403.png"/><Relationship Id="rId452" Type="http://schemas.openxmlformats.org/officeDocument/2006/relationships/image" Target="media/image404.png"/><Relationship Id="rId453" Type="http://schemas.openxmlformats.org/officeDocument/2006/relationships/image" Target="media/image405.png"/><Relationship Id="rId454" Type="http://schemas.openxmlformats.org/officeDocument/2006/relationships/image" Target="media/image406.png"/><Relationship Id="rId455" Type="http://schemas.openxmlformats.org/officeDocument/2006/relationships/image" Target="media/image407.png"/><Relationship Id="rId456" Type="http://schemas.openxmlformats.org/officeDocument/2006/relationships/image" Target="media/image408.png"/><Relationship Id="rId457" Type="http://schemas.openxmlformats.org/officeDocument/2006/relationships/image" Target="media/image409.png"/><Relationship Id="rId458" Type="http://schemas.openxmlformats.org/officeDocument/2006/relationships/image" Target="media/image410.png"/><Relationship Id="rId459" Type="http://schemas.openxmlformats.org/officeDocument/2006/relationships/image" Target="media/image411.png"/><Relationship Id="rId460" Type="http://schemas.openxmlformats.org/officeDocument/2006/relationships/image" Target="media/image412.png"/><Relationship Id="rId461" Type="http://schemas.openxmlformats.org/officeDocument/2006/relationships/image" Target="media/image413.png"/><Relationship Id="rId462" Type="http://schemas.openxmlformats.org/officeDocument/2006/relationships/image" Target="media/image414.png"/><Relationship Id="rId463" Type="http://schemas.openxmlformats.org/officeDocument/2006/relationships/image" Target="media/image415.png"/><Relationship Id="rId464" Type="http://schemas.openxmlformats.org/officeDocument/2006/relationships/image" Target="media/image416.png"/><Relationship Id="rId465" Type="http://schemas.openxmlformats.org/officeDocument/2006/relationships/image" Target="media/image417.png"/><Relationship Id="rId466" Type="http://schemas.openxmlformats.org/officeDocument/2006/relationships/image" Target="media/image418.png"/><Relationship Id="rId467" Type="http://schemas.openxmlformats.org/officeDocument/2006/relationships/image" Target="media/image419.png"/><Relationship Id="rId468" Type="http://schemas.openxmlformats.org/officeDocument/2006/relationships/image" Target="media/image420.png"/><Relationship Id="rId469" Type="http://schemas.openxmlformats.org/officeDocument/2006/relationships/image" Target="media/image421.png"/><Relationship Id="rId470" Type="http://schemas.openxmlformats.org/officeDocument/2006/relationships/image" Target="media/image422.png"/><Relationship Id="rId471" Type="http://schemas.openxmlformats.org/officeDocument/2006/relationships/image" Target="media/image423.png"/><Relationship Id="rId472" Type="http://schemas.openxmlformats.org/officeDocument/2006/relationships/image" Target="media/image424.png"/><Relationship Id="rId473" Type="http://schemas.openxmlformats.org/officeDocument/2006/relationships/image" Target="media/image425.png"/><Relationship Id="rId474" Type="http://schemas.openxmlformats.org/officeDocument/2006/relationships/image" Target="media/image426.png"/><Relationship Id="rId475" Type="http://schemas.openxmlformats.org/officeDocument/2006/relationships/image" Target="media/image427.png"/><Relationship Id="rId476" Type="http://schemas.openxmlformats.org/officeDocument/2006/relationships/image" Target="media/image428.png"/><Relationship Id="rId477" Type="http://schemas.openxmlformats.org/officeDocument/2006/relationships/image" Target="media/image429.png"/><Relationship Id="rId478" Type="http://schemas.openxmlformats.org/officeDocument/2006/relationships/image" Target="media/image430.png"/><Relationship Id="rId479" Type="http://schemas.openxmlformats.org/officeDocument/2006/relationships/image" Target="media/image431.png"/><Relationship Id="rId480" Type="http://schemas.openxmlformats.org/officeDocument/2006/relationships/image" Target="media/image432.png"/><Relationship Id="rId481" Type="http://schemas.openxmlformats.org/officeDocument/2006/relationships/image" Target="media/image433.png"/><Relationship Id="rId482" Type="http://schemas.openxmlformats.org/officeDocument/2006/relationships/image" Target="media/image434.png"/><Relationship Id="rId483" Type="http://schemas.openxmlformats.org/officeDocument/2006/relationships/image" Target="media/image435.png"/><Relationship Id="rId484" Type="http://schemas.openxmlformats.org/officeDocument/2006/relationships/image" Target="media/image436.png"/><Relationship Id="rId485" Type="http://schemas.openxmlformats.org/officeDocument/2006/relationships/image" Target="media/image437.png"/><Relationship Id="rId486" Type="http://schemas.openxmlformats.org/officeDocument/2006/relationships/image" Target="media/image438.png"/><Relationship Id="rId487" Type="http://schemas.openxmlformats.org/officeDocument/2006/relationships/image" Target="media/image439.png"/><Relationship Id="rId488" Type="http://schemas.openxmlformats.org/officeDocument/2006/relationships/image" Target="media/image440.png"/><Relationship Id="rId489" Type="http://schemas.openxmlformats.org/officeDocument/2006/relationships/image" Target="media/image441.png"/><Relationship Id="rId490" Type="http://schemas.openxmlformats.org/officeDocument/2006/relationships/image" Target="media/image442.png"/><Relationship Id="rId491" Type="http://schemas.openxmlformats.org/officeDocument/2006/relationships/image" Target="media/image443.png"/><Relationship Id="rId492" Type="http://schemas.openxmlformats.org/officeDocument/2006/relationships/image" Target="media/image444.png"/><Relationship Id="rId493" Type="http://schemas.openxmlformats.org/officeDocument/2006/relationships/image" Target="media/image445.png"/><Relationship Id="rId494" Type="http://schemas.openxmlformats.org/officeDocument/2006/relationships/image" Target="media/image446.png"/><Relationship Id="rId495" Type="http://schemas.openxmlformats.org/officeDocument/2006/relationships/image" Target="media/image447.png"/><Relationship Id="rId496" Type="http://schemas.openxmlformats.org/officeDocument/2006/relationships/image" Target="media/image448.png"/><Relationship Id="rId497" Type="http://schemas.openxmlformats.org/officeDocument/2006/relationships/image" Target="media/image449.png"/><Relationship Id="rId498" Type="http://schemas.openxmlformats.org/officeDocument/2006/relationships/image" Target="media/image450.png"/><Relationship Id="rId499" Type="http://schemas.openxmlformats.org/officeDocument/2006/relationships/image" Target="media/image451.png"/><Relationship Id="rId500" Type="http://schemas.openxmlformats.org/officeDocument/2006/relationships/image" Target="media/image452.png"/><Relationship Id="rId501" Type="http://schemas.openxmlformats.org/officeDocument/2006/relationships/image" Target="media/image453.png"/><Relationship Id="rId502" Type="http://schemas.openxmlformats.org/officeDocument/2006/relationships/image" Target="media/image454.png"/><Relationship Id="rId503" Type="http://schemas.openxmlformats.org/officeDocument/2006/relationships/image" Target="media/image455.png"/><Relationship Id="rId504" Type="http://schemas.openxmlformats.org/officeDocument/2006/relationships/image" Target="media/image456.png"/><Relationship Id="rId505" Type="http://schemas.openxmlformats.org/officeDocument/2006/relationships/image" Target="media/image457.png"/><Relationship Id="rId506" Type="http://schemas.openxmlformats.org/officeDocument/2006/relationships/image" Target="media/image458.png"/><Relationship Id="rId507" Type="http://schemas.openxmlformats.org/officeDocument/2006/relationships/image" Target="media/image459.png"/><Relationship Id="rId508" Type="http://schemas.openxmlformats.org/officeDocument/2006/relationships/image" Target="media/image460.png"/><Relationship Id="rId509" Type="http://schemas.openxmlformats.org/officeDocument/2006/relationships/image" Target="media/image461.png"/><Relationship Id="rId510" Type="http://schemas.openxmlformats.org/officeDocument/2006/relationships/image" Target="media/image462.png"/><Relationship Id="rId511" Type="http://schemas.openxmlformats.org/officeDocument/2006/relationships/image" Target="media/image463.png"/><Relationship Id="rId512" Type="http://schemas.openxmlformats.org/officeDocument/2006/relationships/image" Target="media/image464.png"/><Relationship Id="rId513" Type="http://schemas.openxmlformats.org/officeDocument/2006/relationships/image" Target="media/image465.png"/><Relationship Id="rId514" Type="http://schemas.openxmlformats.org/officeDocument/2006/relationships/image" Target="media/image466.png"/><Relationship Id="rId515" Type="http://schemas.openxmlformats.org/officeDocument/2006/relationships/image" Target="media/image467.png"/><Relationship Id="rId516" Type="http://schemas.openxmlformats.org/officeDocument/2006/relationships/image" Target="media/image468.png"/><Relationship Id="rId517" Type="http://schemas.openxmlformats.org/officeDocument/2006/relationships/image" Target="media/image469.png"/><Relationship Id="rId518" Type="http://schemas.openxmlformats.org/officeDocument/2006/relationships/image" Target="media/image470.png"/><Relationship Id="rId519" Type="http://schemas.openxmlformats.org/officeDocument/2006/relationships/image" Target="media/image471.png"/><Relationship Id="rId520" Type="http://schemas.openxmlformats.org/officeDocument/2006/relationships/image" Target="media/image472.png"/><Relationship Id="rId521" Type="http://schemas.openxmlformats.org/officeDocument/2006/relationships/image" Target="media/image473.png"/><Relationship Id="rId522" Type="http://schemas.openxmlformats.org/officeDocument/2006/relationships/image" Target="media/image474.png"/><Relationship Id="rId523" Type="http://schemas.openxmlformats.org/officeDocument/2006/relationships/image" Target="media/image475.png"/><Relationship Id="rId524" Type="http://schemas.openxmlformats.org/officeDocument/2006/relationships/image" Target="media/image476.png"/><Relationship Id="rId525" Type="http://schemas.openxmlformats.org/officeDocument/2006/relationships/image" Target="media/image477.png"/><Relationship Id="rId526" Type="http://schemas.openxmlformats.org/officeDocument/2006/relationships/image" Target="media/image478.png"/><Relationship Id="rId527" Type="http://schemas.openxmlformats.org/officeDocument/2006/relationships/image" Target="media/image479.png"/><Relationship Id="rId528" Type="http://schemas.openxmlformats.org/officeDocument/2006/relationships/image" Target="media/image480.png"/><Relationship Id="rId529" Type="http://schemas.openxmlformats.org/officeDocument/2006/relationships/image" Target="media/image481.png"/><Relationship Id="rId530" Type="http://schemas.openxmlformats.org/officeDocument/2006/relationships/image" Target="media/image482.png"/><Relationship Id="rId531" Type="http://schemas.openxmlformats.org/officeDocument/2006/relationships/image" Target="media/image483.png"/><Relationship Id="rId532" Type="http://schemas.openxmlformats.org/officeDocument/2006/relationships/image" Target="media/image484.png"/><Relationship Id="rId533" Type="http://schemas.openxmlformats.org/officeDocument/2006/relationships/image" Target="media/image485.png"/><Relationship Id="rId534" Type="http://schemas.openxmlformats.org/officeDocument/2006/relationships/image" Target="media/image486.png"/><Relationship Id="rId535" Type="http://schemas.openxmlformats.org/officeDocument/2006/relationships/image" Target="media/image487.png"/><Relationship Id="rId536" Type="http://schemas.openxmlformats.org/officeDocument/2006/relationships/image" Target="media/image488.png"/><Relationship Id="rId537" Type="http://schemas.openxmlformats.org/officeDocument/2006/relationships/image" Target="media/image489.png"/><Relationship Id="rId538" Type="http://schemas.openxmlformats.org/officeDocument/2006/relationships/image" Target="media/image490.png"/><Relationship Id="rId539" Type="http://schemas.openxmlformats.org/officeDocument/2006/relationships/image" Target="media/image491.png"/><Relationship Id="rId540" Type="http://schemas.openxmlformats.org/officeDocument/2006/relationships/image" Target="media/image492.png"/><Relationship Id="rId541" Type="http://schemas.openxmlformats.org/officeDocument/2006/relationships/image" Target="media/image493.png"/><Relationship Id="rId542" Type="http://schemas.openxmlformats.org/officeDocument/2006/relationships/image" Target="media/image494.png"/><Relationship Id="rId543" Type="http://schemas.openxmlformats.org/officeDocument/2006/relationships/image" Target="media/image495.png"/><Relationship Id="rId544" Type="http://schemas.openxmlformats.org/officeDocument/2006/relationships/image" Target="media/image496.png"/><Relationship Id="rId545" Type="http://schemas.openxmlformats.org/officeDocument/2006/relationships/image" Target="media/image497.png"/><Relationship Id="rId546" Type="http://schemas.openxmlformats.org/officeDocument/2006/relationships/image" Target="media/image498.png"/><Relationship Id="rId547" Type="http://schemas.openxmlformats.org/officeDocument/2006/relationships/image" Target="media/image499.png"/><Relationship Id="rId548" Type="http://schemas.openxmlformats.org/officeDocument/2006/relationships/image" Target="media/image500.png"/><Relationship Id="rId549" Type="http://schemas.openxmlformats.org/officeDocument/2006/relationships/image" Target="media/image501.png"/><Relationship Id="rId550" Type="http://schemas.openxmlformats.org/officeDocument/2006/relationships/image" Target="media/image502.png"/><Relationship Id="rId551" Type="http://schemas.openxmlformats.org/officeDocument/2006/relationships/image" Target="media/image503.png"/><Relationship Id="rId552" Type="http://schemas.openxmlformats.org/officeDocument/2006/relationships/image" Target="media/image504.png"/><Relationship Id="rId553" Type="http://schemas.openxmlformats.org/officeDocument/2006/relationships/image" Target="media/image505.png"/><Relationship Id="rId554" Type="http://schemas.openxmlformats.org/officeDocument/2006/relationships/image" Target="media/image506.png"/><Relationship Id="rId555" Type="http://schemas.openxmlformats.org/officeDocument/2006/relationships/image" Target="media/image507.png"/><Relationship Id="rId556" Type="http://schemas.openxmlformats.org/officeDocument/2006/relationships/image" Target="media/image508.png"/><Relationship Id="rId557" Type="http://schemas.openxmlformats.org/officeDocument/2006/relationships/image" Target="media/image509.png"/><Relationship Id="rId558" Type="http://schemas.openxmlformats.org/officeDocument/2006/relationships/image" Target="media/image510.png"/><Relationship Id="rId559" Type="http://schemas.openxmlformats.org/officeDocument/2006/relationships/image" Target="media/image511.png"/><Relationship Id="rId560" Type="http://schemas.openxmlformats.org/officeDocument/2006/relationships/image" Target="media/image512.png"/><Relationship Id="rId561" Type="http://schemas.openxmlformats.org/officeDocument/2006/relationships/image" Target="media/image513.png"/><Relationship Id="rId562" Type="http://schemas.openxmlformats.org/officeDocument/2006/relationships/image" Target="media/image514.png"/><Relationship Id="rId563" Type="http://schemas.openxmlformats.org/officeDocument/2006/relationships/image" Target="media/image515.png"/><Relationship Id="rId564" Type="http://schemas.openxmlformats.org/officeDocument/2006/relationships/image" Target="media/image516.png"/><Relationship Id="rId565" Type="http://schemas.openxmlformats.org/officeDocument/2006/relationships/image" Target="media/image517.png"/><Relationship Id="rId566" Type="http://schemas.openxmlformats.org/officeDocument/2006/relationships/image" Target="media/image518.png"/><Relationship Id="rId567" Type="http://schemas.openxmlformats.org/officeDocument/2006/relationships/image" Target="media/image519.png"/><Relationship Id="rId568" Type="http://schemas.openxmlformats.org/officeDocument/2006/relationships/image" Target="media/image520.png"/><Relationship Id="rId569" Type="http://schemas.openxmlformats.org/officeDocument/2006/relationships/image" Target="media/image521.png"/><Relationship Id="rId570" Type="http://schemas.openxmlformats.org/officeDocument/2006/relationships/image" Target="media/image522.png"/><Relationship Id="rId571" Type="http://schemas.openxmlformats.org/officeDocument/2006/relationships/image" Target="media/image523.png"/><Relationship Id="rId572" Type="http://schemas.openxmlformats.org/officeDocument/2006/relationships/image" Target="media/image524.png"/><Relationship Id="rId573" Type="http://schemas.openxmlformats.org/officeDocument/2006/relationships/image" Target="media/image525.png"/><Relationship Id="rId574" Type="http://schemas.openxmlformats.org/officeDocument/2006/relationships/image" Target="media/image526.png"/><Relationship Id="rId575" Type="http://schemas.openxmlformats.org/officeDocument/2006/relationships/image" Target="media/image527.png"/><Relationship Id="rId576" Type="http://schemas.openxmlformats.org/officeDocument/2006/relationships/image" Target="media/image528.png"/><Relationship Id="rId577" Type="http://schemas.openxmlformats.org/officeDocument/2006/relationships/image" Target="media/image529.png"/><Relationship Id="rId578" Type="http://schemas.openxmlformats.org/officeDocument/2006/relationships/image" Target="media/image530.png"/><Relationship Id="rId579" Type="http://schemas.openxmlformats.org/officeDocument/2006/relationships/image" Target="media/image531.png"/><Relationship Id="rId580" Type="http://schemas.openxmlformats.org/officeDocument/2006/relationships/image" Target="media/image532.png"/><Relationship Id="rId581" Type="http://schemas.openxmlformats.org/officeDocument/2006/relationships/image" Target="media/image533.png"/><Relationship Id="rId582" Type="http://schemas.openxmlformats.org/officeDocument/2006/relationships/image" Target="media/image534.png"/><Relationship Id="rId583" Type="http://schemas.openxmlformats.org/officeDocument/2006/relationships/image" Target="media/image535.png"/><Relationship Id="rId584" Type="http://schemas.openxmlformats.org/officeDocument/2006/relationships/image" Target="media/image536.png"/><Relationship Id="rId585" Type="http://schemas.openxmlformats.org/officeDocument/2006/relationships/image" Target="media/image537.png"/><Relationship Id="rId586" Type="http://schemas.openxmlformats.org/officeDocument/2006/relationships/image" Target="media/image538.png"/><Relationship Id="rId587" Type="http://schemas.openxmlformats.org/officeDocument/2006/relationships/image" Target="media/image539.png"/><Relationship Id="rId588" Type="http://schemas.openxmlformats.org/officeDocument/2006/relationships/image" Target="media/image540.png"/><Relationship Id="rId589" Type="http://schemas.openxmlformats.org/officeDocument/2006/relationships/image" Target="media/image541.png"/><Relationship Id="rId590" Type="http://schemas.openxmlformats.org/officeDocument/2006/relationships/image" Target="media/image542.png"/><Relationship Id="rId591" Type="http://schemas.openxmlformats.org/officeDocument/2006/relationships/image" Target="media/image543.png"/><Relationship Id="rId592" Type="http://schemas.openxmlformats.org/officeDocument/2006/relationships/image" Target="media/image544.png"/><Relationship Id="rId593" Type="http://schemas.openxmlformats.org/officeDocument/2006/relationships/image" Target="media/image545.png"/><Relationship Id="rId594" Type="http://schemas.openxmlformats.org/officeDocument/2006/relationships/image" Target="media/image546.png"/><Relationship Id="rId595" Type="http://schemas.openxmlformats.org/officeDocument/2006/relationships/image" Target="media/image547.png"/><Relationship Id="rId596" Type="http://schemas.openxmlformats.org/officeDocument/2006/relationships/image" Target="media/image548.png"/><Relationship Id="rId597" Type="http://schemas.openxmlformats.org/officeDocument/2006/relationships/image" Target="media/image549.png"/><Relationship Id="rId598" Type="http://schemas.openxmlformats.org/officeDocument/2006/relationships/image" Target="media/image550.png"/><Relationship Id="rId599" Type="http://schemas.openxmlformats.org/officeDocument/2006/relationships/image" Target="media/image551.png"/><Relationship Id="rId600" Type="http://schemas.openxmlformats.org/officeDocument/2006/relationships/image" Target="media/image552.png"/><Relationship Id="rId601" Type="http://schemas.openxmlformats.org/officeDocument/2006/relationships/image" Target="media/image553.png"/><Relationship Id="rId602" Type="http://schemas.openxmlformats.org/officeDocument/2006/relationships/image" Target="media/image554.png"/><Relationship Id="rId603" Type="http://schemas.openxmlformats.org/officeDocument/2006/relationships/image" Target="media/image555.png"/><Relationship Id="rId604" Type="http://schemas.openxmlformats.org/officeDocument/2006/relationships/image" Target="media/image556.png"/><Relationship Id="rId605" Type="http://schemas.openxmlformats.org/officeDocument/2006/relationships/image" Target="media/image557.png"/><Relationship Id="rId606" Type="http://schemas.openxmlformats.org/officeDocument/2006/relationships/image" Target="media/image558.png"/><Relationship Id="rId607" Type="http://schemas.openxmlformats.org/officeDocument/2006/relationships/image" Target="media/image559.png"/><Relationship Id="rId608" Type="http://schemas.openxmlformats.org/officeDocument/2006/relationships/image" Target="media/image560.png"/><Relationship Id="rId609" Type="http://schemas.openxmlformats.org/officeDocument/2006/relationships/image" Target="media/image561.png"/><Relationship Id="rId610" Type="http://schemas.openxmlformats.org/officeDocument/2006/relationships/image" Target="media/image562.png"/><Relationship Id="rId611" Type="http://schemas.openxmlformats.org/officeDocument/2006/relationships/image" Target="media/image563.png"/><Relationship Id="rId612" Type="http://schemas.openxmlformats.org/officeDocument/2006/relationships/image" Target="media/image564.png"/><Relationship Id="rId613" Type="http://schemas.openxmlformats.org/officeDocument/2006/relationships/image" Target="media/image565.png"/><Relationship Id="rId614" Type="http://schemas.openxmlformats.org/officeDocument/2006/relationships/image" Target="media/image566.png"/><Relationship Id="rId615" Type="http://schemas.openxmlformats.org/officeDocument/2006/relationships/image" Target="media/image567.png"/><Relationship Id="rId616" Type="http://schemas.openxmlformats.org/officeDocument/2006/relationships/image" Target="media/image568.png"/><Relationship Id="rId617" Type="http://schemas.openxmlformats.org/officeDocument/2006/relationships/image" Target="media/image569.png"/><Relationship Id="rId618" Type="http://schemas.openxmlformats.org/officeDocument/2006/relationships/image" Target="media/image570.png"/><Relationship Id="rId619" Type="http://schemas.openxmlformats.org/officeDocument/2006/relationships/image" Target="media/image571.png"/><Relationship Id="rId620" Type="http://schemas.openxmlformats.org/officeDocument/2006/relationships/image" Target="media/image572.png"/><Relationship Id="rId621" Type="http://schemas.openxmlformats.org/officeDocument/2006/relationships/image" Target="media/image573.png"/><Relationship Id="rId622" Type="http://schemas.openxmlformats.org/officeDocument/2006/relationships/image" Target="media/image574.png"/><Relationship Id="rId623" Type="http://schemas.openxmlformats.org/officeDocument/2006/relationships/image" Target="media/image575.png"/><Relationship Id="rId624" Type="http://schemas.openxmlformats.org/officeDocument/2006/relationships/image" Target="media/image576.png"/><Relationship Id="rId625" Type="http://schemas.openxmlformats.org/officeDocument/2006/relationships/image" Target="media/image577.png"/><Relationship Id="rId626" Type="http://schemas.openxmlformats.org/officeDocument/2006/relationships/image" Target="media/image578.png"/><Relationship Id="rId627" Type="http://schemas.openxmlformats.org/officeDocument/2006/relationships/image" Target="media/image579.png"/><Relationship Id="rId628" Type="http://schemas.openxmlformats.org/officeDocument/2006/relationships/image" Target="media/image580.png"/><Relationship Id="rId629" Type="http://schemas.openxmlformats.org/officeDocument/2006/relationships/image" Target="media/image581.png"/><Relationship Id="rId630" Type="http://schemas.openxmlformats.org/officeDocument/2006/relationships/image" Target="media/image582.png"/><Relationship Id="rId631" Type="http://schemas.openxmlformats.org/officeDocument/2006/relationships/image" Target="media/image583.png"/><Relationship Id="rId632" Type="http://schemas.openxmlformats.org/officeDocument/2006/relationships/image" Target="media/image584.png"/><Relationship Id="rId162" Type="http://schemas.openxmlformats.org/officeDocument/2006/relationships/hyperlink" Target="https://www.sec.gov/Archives/edgar/data/1861795/000095017021003484/dh-ex3_1.htm" TargetMode="External"/><Relationship Id="rId163" Type="http://schemas.openxmlformats.org/officeDocument/2006/relationships/hyperlink" Target="https://www.sec.gov/Archives/edgar/data/1861795/000095017021003484/dh-ex3_2.htm" TargetMode="External"/><Relationship Id="rId164" Type="http://schemas.openxmlformats.org/officeDocument/2006/relationships/hyperlink" Target="https://www.sec.gov/Archives/edgar/data/1861795/000095017021003484/dh-ex3_3.htm" TargetMode="External"/><Relationship Id="rId165" Type="http://schemas.openxmlformats.org/officeDocument/2006/relationships/hyperlink" Target="https://www.sec.gov/Archives/edgar/data/1861795/000095017022003770/dh-ex4_1.htm" TargetMode="External"/><Relationship Id="rId166" Type="http://schemas.openxmlformats.org/officeDocument/2006/relationships/hyperlink" Target="https://www.sec.gov/Archives/edgar/data/1861795/000119312521277423/d402153dex101.htm" TargetMode="External"/><Relationship Id="rId167" Type="http://schemas.openxmlformats.org/officeDocument/2006/relationships/hyperlink" Target="https://www.sec.gov/Archives/edgar/data/1861795/000095017022021958/dh-ex10_5.htm" TargetMode="External"/><Relationship Id="rId168" Type="http://schemas.openxmlformats.org/officeDocument/2006/relationships/hyperlink" Target="https://www.sec.gov/Archives/edgar/data/1861795/000095017021003484/dh-ex10_8.htm" TargetMode="External"/><Relationship Id="rId169" Type="http://schemas.openxmlformats.org/officeDocument/2006/relationships/hyperlink" Target="https://www.sec.gov/Archives/edgar/data/1861795/000095017021003484/dh-ex10_9.htm" TargetMode="External"/><Relationship Id="rId170" Type="http://schemas.openxmlformats.org/officeDocument/2006/relationships/hyperlink" Target="https://www.sec.gov/Archives/edgar/data/1861795/000095017021003484/dh-ex10_10.htm" TargetMode="External"/><Relationship Id="rId171" Type="http://schemas.openxmlformats.org/officeDocument/2006/relationships/hyperlink" Target="https://www.sec.gov/Archives/edgar/data/1861795/000095017021003484/dh-ex10_11.htm" TargetMode="External"/><Relationship Id="rId172" Type="http://schemas.openxmlformats.org/officeDocument/2006/relationships/hyperlink" Target="https://www.sec.gov/Archives/edgar/data/1861795/000095017021003484/dh-ex10_12.htm" TargetMode="External"/><Relationship Id="rId173" Type="http://schemas.openxmlformats.org/officeDocument/2006/relationships/hyperlink" Target="https://www.sec.gov/Archives/edgar/data/1861795/000095017021003484/dh-ex10_13.htm" TargetMode="External"/><Relationship Id="rId174" Type="http://schemas.openxmlformats.org/officeDocument/2006/relationships/hyperlink" Target="https://www.sec.gov/Archives/edgar/data/1861795/000095017021003484/dh-ex10_14.htm" TargetMode="External"/><Relationship Id="rId177" Type="http://schemas.openxmlformats.org/officeDocument/2006/relationships/hyperlink" Target="https://www.sec.gov/Archives/edgar/data/1861795/000119312521266049/d127783dex1019.htm" TargetMode="External"/><Relationship Id="rId178" Type="http://schemas.openxmlformats.org/officeDocument/2006/relationships/hyperlink" Target="https://www.sec.gov/Archives/edgar/data/1861795/000119312521330014/d204687dex1021.htm" TargetMode="External"/><Relationship Id="rId179" Type="http://schemas.openxmlformats.org/officeDocument/2006/relationships/hyperlink" Target="https://www.sec.gov/Archives/edgar/data/1861795/000119312521252899/d127783dex101.htm" TargetMode="External"/><Relationship Id="rId180" Type="http://schemas.openxmlformats.org/officeDocument/2006/relationships/hyperlink" Target="https://www.sec.gov/Archives/edgar/data/1861795/000095017022003770/dh-ex10_12.htm" TargetMode="External"/><Relationship Id="rId181" Type="http://schemas.openxmlformats.org/officeDocument/2006/relationships/hyperlink" Target="https://www.sec.gov/Archives/edgar/data/1861795/000119312521252899/d127783dex103.htm" TargetMode="External"/><Relationship Id="rId182" Type="http://schemas.openxmlformats.org/officeDocument/2006/relationships/hyperlink" Target="https://www.sec.gov/Archives/edgar/data/1861795/000119312521252899/d127783dex104.htm" TargetMode="External"/><Relationship Id="rId183" Type="http://schemas.openxmlformats.org/officeDocument/2006/relationships/hyperlink" Target="https://www.sec.gov/Archives/edgar/data/1861795/000095017022021909/dh-ex10_2.htm" TargetMode="External"/><Relationship Id="rId184" Type="http://schemas.openxmlformats.org/officeDocument/2006/relationships/hyperlink" Target="https://www.sec.gov/Archives/edgar/data/1861795/000095017023004643/dh-ex10_17.htm" TargetMode="External"/><Relationship Id="rId185" Type="http://schemas.openxmlformats.org/officeDocument/2006/relationships/hyperlink" Target="https://www.sec.gov/Archives/edgar/data/1861795/000119312522256657/d383931dex101.htm" TargetMode="External"/><Relationship Id="rId186" Type="http://schemas.openxmlformats.org/officeDocument/2006/relationships/hyperlink" Target="https://www.sec.gov/Archives/edgar/data/1861795/000095017023004128/dh-ex10_2.htm" TargetMode="External"/><Relationship Id="rId187" Type="http://schemas.openxmlformats.org/officeDocument/2006/relationships/hyperlink" Target="https://www.sec.gov/Archives/edgar/data/1861795/000119312521252899/d127783dex106.htm" TargetMode="External"/><Relationship Id="rId188" Type="http://schemas.openxmlformats.org/officeDocument/2006/relationships/hyperlink" Target="https://www.sec.gov/Archives/edgar/data/1861795/000119312521252899/d127783dex107.htm" TargetMode="External"/><Relationship Id="rId189" Type="http://schemas.openxmlformats.org/officeDocument/2006/relationships/hyperlink" Target="https://www.sec.gov/Archives/edgar/data/1861795/000119312521252899/d127783dex109.htm" TargetMode="External"/><Relationship Id="rId190" Type="http://schemas.openxmlformats.org/officeDocument/2006/relationships/hyperlink" Target="https://www.sec.gov/Archives/edgar/data/1861795/000119312522142304/d329213dex102.htm" TargetMode="External"/><Relationship Id="rId191" Type="http://schemas.openxmlformats.org/officeDocument/2006/relationships/hyperlink" Target="https://www.sec.gov/Archives/edgar/data/1861795/000095017023004128/dh-ex10_1.htm" TargetMode="External"/><Relationship Id="rId192" Type="http://schemas.openxmlformats.org/officeDocument/2006/relationships/hyperlink" Target="https://www.sec.gov/Archives/edgar/data/1861795/000095017023004643/dh-ex10_30.htm" TargetMode="External"/><Relationship Id="rId193" Type="http://schemas.openxmlformats.org/officeDocument/2006/relationships/hyperlink" Target="https://www.sec.gov/Archives/edgar/data/1861795/000095017022021909/dh-ex10_1.htm" TargetMode="External"/><Relationship Id="rId194" Type="http://schemas.openxmlformats.org/officeDocument/2006/relationships/hyperlink" Target="https://www.sec.gov/Archives/edgar/data/1861795/000095017023065480/dh-ex10_1.htm" TargetMode="External"/><Relationship Id="rId195" Type="http://schemas.openxmlformats.org/officeDocument/2006/relationships/hyperlink" Target="https://www.sec.gov/Archives/edgar/data/1861795/000095017023004643/dh-ex10_36.htm" TargetMode="External"/><Relationship Id="rId196" Type="http://schemas.openxmlformats.org/officeDocument/2006/relationships/hyperlink" Target="https://www.sec.gov/Archives/edgar/data/1861795/000119312523229619/d501211dex992.htm" TargetMode="External"/><Relationship Id="rId197" Type="http://schemas.openxmlformats.org/officeDocument/2006/relationships/hyperlink" Target="https://www.sec.gov/Archives/edgar/data/1861795/000119312523229619/d501211dex993.htm" TargetMode="External"/><Relationship Id="rId200" Type="http://schemas.openxmlformats.org/officeDocument/2006/relationships/hyperlink" Target="https://www.sec.gov/Archives/edgar/data/1861795/000119312524008562/d683059dex101.htm" TargetMode="External"/><Relationship Id="rId201" Type="http://schemas.openxmlformats.org/officeDocument/2006/relationships/hyperlink" Target="https://www.sec.gov/Archives/edgar/data/1861795/000095017023042435/dh-ex10_1.htm" TargetMode="External"/><Relationship Id="rId202" Type="http://schemas.openxmlformats.org/officeDocument/2006/relationships/hyperlink" Target="https://www.sec.gov/Archives/edgar/data/1861795/000095017024064571/dh-ex10_1.htm" TargetMode="External"/><Relationship Id="rId203" Type="http://schemas.openxmlformats.org/officeDocument/2006/relationships/hyperlink" Target="https://www.sec.gov/Archives/edgar/data/1861795/000095017024064571/dh-ex10_2.htm" TargetMode="External"/><Relationship Id="rId204" Type="http://schemas.openxmlformats.org/officeDocument/2006/relationships/hyperlink" Target="https://www.sec.gov/Archives/edgar/data/1861795/000095017024123356/dh-ex10_1.htm" TargetMode="External"/><Relationship Id="rId205" Type="http://schemas.openxmlformats.org/officeDocument/2006/relationships/hyperlink" Target="https://www.sec.gov/Archives/edgar/data/1861795/000095017025006199/dh-ex10_1.htm" TargetMode="External"/><Relationship Id="rId206" Type="http://schemas.openxmlformats.org/officeDocument/2006/relationships/hyperlink" Target="https://www.sec.gov/Archives/edgar/data/1861795/000095017024022134/dh-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2025-02-27T16:29:13Z</dcterms:created>
  <dcterms:modified xsi:type="dcterms:W3CDTF">2025-02-27T16:29:13Z</dcterms:modified>
</cp:coreProperties>
</file>