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1"/>
          <w:szCs w:val="21"/>
          <w:color w:val="auto"/>
        </w:rPr>
        <w:t>SEC Form 4</w:t>
      </w:r>
    </w:p>
    <w:p>
      <w:pPr>
        <w:spacing w:after="0" w:line="39" w:lineRule="exact"/>
        <w:rPr>
          <w:sz w:val="24"/>
          <w:szCs w:val="24"/>
          <w:color w:val="auto"/>
        </w:rPr>
      </w:pPr>
    </w:p>
    <w:p>
      <w:pPr>
        <w:ind w:left="7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54" w:lineRule="exact"/>
        <w:rPr>
          <w:sz w:val="24"/>
          <w:szCs w:val="24"/>
          <w:color w:val="auto"/>
        </w:rPr>
      </w:pPr>
    </w:p>
    <w:p>
      <w:pPr>
        <w:ind w:left="3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-241935</wp:posOffset>
            </wp:positionV>
            <wp:extent cx="135255" cy="13525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5255" cy="135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2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66"/>
        </w:trPr>
        <w:tc>
          <w:tcPr>
            <w:tcW w:w="6400" w:type="dxa"/>
            <w:vAlign w:val="bottom"/>
          </w:tcPr>
          <w:p>
            <w:pPr>
              <w:jc w:val="center"/>
              <w:ind w:right="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"/>
        </w:trPr>
        <w:tc>
          <w:tcPr>
            <w:tcW w:w="6400" w:type="dxa"/>
            <w:vAlign w:val="bottom"/>
            <w:vMerge w:val="restart"/>
          </w:tcPr>
          <w:p>
            <w:pPr>
              <w:jc w:val="center"/>
              <w:ind w:right="73"/>
              <w:spacing w:after="0" w:line="14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0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9"/>
        </w:trPr>
        <w:tc>
          <w:tcPr>
            <w:tcW w:w="64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400" w:type="dxa"/>
            <w:vAlign w:val="bottom"/>
            <w:vMerge w:val="restart"/>
          </w:tcPr>
          <w:p>
            <w:pPr>
              <w:jc w:val="center"/>
              <w:ind w:right="5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2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5"/>
        </w:trPr>
        <w:tc>
          <w:tcPr>
            <w:tcW w:w="64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7"/>
        </w:trPr>
        <w:tc>
          <w:tcPr>
            <w:tcW w:w="6400" w:type="dxa"/>
            <w:vAlign w:val="bottom"/>
            <w:vMerge w:val="restart"/>
          </w:tcPr>
          <w:p>
            <w:pPr>
              <w:jc w:val="center"/>
              <w:ind w:right="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4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40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5325745</wp:posOffset>
            </wp:positionH>
            <wp:positionV relativeFrom="paragraph">
              <wp:posOffset>-646430</wp:posOffset>
            </wp:positionV>
            <wp:extent cx="59055" cy="65976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4048125</wp:posOffset>
            </wp:positionH>
            <wp:positionV relativeFrom="paragraph">
              <wp:posOffset>-646430</wp:posOffset>
            </wp:positionV>
            <wp:extent cx="59055" cy="65976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-1569720</wp:posOffset>
            </wp:positionH>
            <wp:positionV relativeFrom="paragraph">
              <wp:posOffset>24765</wp:posOffset>
            </wp:positionV>
            <wp:extent cx="6989445" cy="493331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89445" cy="493331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09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200" w:space="260"/>
            <w:col w:w="8620"/>
          </w:cols>
          <w:pgMar w:left="460" w:top="225" w:right="35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1"/>
          <w:szCs w:val="21"/>
          <w:u w:val="single" w:color="auto"/>
          <w:color w:val="0000EE"/>
        </w:rPr>
      </w:pPr>
      <w:hyperlink r:id="rId12">
        <w:r>
          <w:rPr>
            <w:rFonts w:ascii="Arial" w:cs="Arial" w:eastAsia="Arial" w:hAnsi="Arial"/>
            <w:sz w:val="21"/>
            <w:szCs w:val="21"/>
            <w:u w:val="single" w:color="auto"/>
            <w:color w:val="0000EE"/>
          </w:rPr>
          <w:t>Haywood Jeffrey Charles</w:t>
        </w:r>
      </w:hyperlink>
    </w:p>
    <w:p>
      <w:pPr>
        <w:spacing w:after="0" w:line="313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20" w:val="left"/>
          <w:tab w:leader="none" w:pos="25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(Middle)</w:t>
      </w:r>
    </w:p>
    <w:p>
      <w:pPr>
        <w:spacing w:after="0" w:line="77" w:lineRule="exact"/>
        <w:rPr>
          <w:sz w:val="24"/>
          <w:szCs w:val="24"/>
          <w:color w:val="auto"/>
        </w:rPr>
      </w:pPr>
    </w:p>
    <w:p>
      <w:pPr>
        <w:ind w:left="120"/>
        <w:spacing w:after="0" w:line="292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140 NEW MONTGOMERY STREET, 20TH FLOOR</w:t>
      </w:r>
    </w:p>
    <w:p>
      <w:pPr>
        <w:spacing w:after="0" w:line="284" w:lineRule="exact"/>
        <w:rPr>
          <w:sz w:val="24"/>
          <w:szCs w:val="24"/>
          <w:color w:val="auto"/>
        </w:r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(Street)</w:t>
      </w:r>
    </w:p>
    <w:p>
      <w:pPr>
        <w:spacing w:after="0" w:line="37" w:lineRule="exact"/>
        <w:rPr>
          <w:sz w:val="24"/>
          <w:szCs w:val="24"/>
          <w:color w:val="auto"/>
        </w:rPr>
      </w:pPr>
    </w:p>
    <w:p>
      <w:pPr>
        <w:ind w:left="120" w:right="2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34"/>
          <w:szCs w:val="34"/>
          <w:color w:val="0000FF"/>
          <w:vertAlign w:val="superscript"/>
        </w:rPr>
        <w:t>SAN</w:t>
      </w:r>
      <w:r>
        <w:rPr>
          <w:rFonts w:ascii="Arial" w:cs="Arial" w:eastAsia="Arial" w:hAnsi="Arial"/>
          <w:sz w:val="17"/>
          <w:szCs w:val="17"/>
          <w:color w:val="0000FF"/>
        </w:rPr>
        <w:t xml:space="preserve"> CA 94105 FRANCISCO</w:t>
      </w:r>
    </w:p>
    <w:p>
      <w:pPr>
        <w:spacing w:after="0" w:line="355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20" w:val="left"/>
          <w:tab w:leader="none" w:pos="25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(City)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(State)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(Zip)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2.</w:t>
            </w:r>
          </w:p>
        </w:tc>
        <w:tc>
          <w:tcPr>
            <w:tcW w:w="36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Issuer Name </w:t>
            </w: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 Ticker or Trading Symbol</w:t>
            </w:r>
          </w:p>
        </w:tc>
        <w:tc>
          <w:tcPr>
            <w:tcW w:w="2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5.</w:t>
            </w:r>
          </w:p>
        </w:tc>
        <w:tc>
          <w:tcPr>
            <w:tcW w:w="31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Relationship of Reporting Person(s) to Issuer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1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740" w:type="dxa"/>
            <w:vAlign w:val="bottom"/>
            <w:gridSpan w:val="3"/>
          </w:tcPr>
          <w:p>
            <w:pPr>
              <w:spacing w:after="0" w:line="142" w:lineRule="exact"/>
              <w:rPr>
                <w:rFonts w:ascii="Arial" w:cs="Arial" w:eastAsia="Arial" w:hAnsi="Arial"/>
                <w:sz w:val="16"/>
                <w:szCs w:val="16"/>
                <w:color w:val="0000EE"/>
              </w:rPr>
            </w:pPr>
            <w:hyperlink r:id="rId13">
              <w:r>
                <w:rPr>
                  <w:rFonts w:ascii="Arial" w:cs="Arial" w:eastAsia="Arial" w:hAnsi="Arial"/>
                  <w:sz w:val="16"/>
                  <w:szCs w:val="16"/>
                  <w:color w:val="0000EE"/>
                </w:rPr>
                <w:t xml:space="preserve">Definitive Healthcare Corp. </w:t>
              </w:r>
            </w:hyperlink>
            <w:r>
              <w:rPr>
                <w:rFonts w:ascii="Arial" w:cs="Arial" w:eastAsia="Arial" w:hAnsi="Arial"/>
                <w:sz w:val="16"/>
                <w:szCs w:val="16"/>
                <w:color w:val="000000"/>
              </w:rPr>
              <w:t>[</w:t>
            </w:r>
            <w:r>
              <w:rPr>
                <w:rFonts w:ascii="Arial" w:cs="Arial" w:eastAsia="Arial" w:hAnsi="Arial"/>
                <w:sz w:val="16"/>
                <w:szCs w:val="16"/>
                <w:color w:val="0000EE"/>
              </w:rPr>
              <w:t xml:space="preserve"> 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DH</w:t>
            </w:r>
            <w:r>
              <w:rPr>
                <w:rFonts w:ascii="Arial" w:cs="Arial" w:eastAsia="Arial" w:hAnsi="Arial"/>
                <w:sz w:val="16"/>
                <w:szCs w:val="16"/>
                <w:color w:val="0000EE"/>
              </w:rPr>
              <w:t xml:space="preserve"> </w:t>
            </w:r>
            <w:r>
              <w:rPr>
                <w:rFonts w:ascii="Arial" w:cs="Arial" w:eastAsia="Arial" w:hAnsi="Arial"/>
                <w:sz w:val="16"/>
                <w:szCs w:val="16"/>
                <w:color w:val="000000"/>
              </w:rPr>
              <w:t>]</w:t>
            </w:r>
          </w:p>
        </w:tc>
        <w:tc>
          <w:tcPr>
            <w:tcW w:w="186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(Check all applicable)</w:t>
            </w: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0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0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4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60" w:type="dxa"/>
            <w:vAlign w:val="bottom"/>
            <w:vMerge w:val="restart"/>
          </w:tcPr>
          <w:p>
            <w:pPr>
              <w:ind w:left="80"/>
              <w:spacing w:after="0" w:line="16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 xml:space="preserve">X   </w:t>
            </w:r>
            <w:r>
              <w:rPr>
                <w:rFonts w:ascii="Arial" w:cs="Arial" w:eastAsia="Arial" w:hAnsi="Arial"/>
                <w:sz w:val="13"/>
                <w:szCs w:val="13"/>
                <w:color w:val="000000"/>
              </w:rPr>
              <w:t>Director</w:t>
            </w:r>
          </w:p>
        </w:tc>
        <w:tc>
          <w:tcPr>
            <w:tcW w:w="1440" w:type="dxa"/>
            <w:vAlign w:val="bottom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6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4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0"/>
        </w:trPr>
        <w:tc>
          <w:tcPr>
            <w:tcW w:w="2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3.</w:t>
            </w:r>
          </w:p>
        </w:tc>
        <w:tc>
          <w:tcPr>
            <w:tcW w:w="36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 of Earliest Transaction (Month/Day/Year)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66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144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0"/>
        </w:trPr>
        <w:tc>
          <w:tcPr>
            <w:tcW w:w="244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08/23/2023</w:t>
            </w:r>
          </w:p>
        </w:tc>
        <w:tc>
          <w:tcPr>
            <w:tcW w:w="13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66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144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6"/>
        </w:trPr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1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9"/>
        </w:trPr>
        <w:tc>
          <w:tcPr>
            <w:tcW w:w="2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4.</w:t>
            </w:r>
          </w:p>
        </w:tc>
        <w:tc>
          <w:tcPr>
            <w:tcW w:w="36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If Amendment, Date of Original Filed (Month/Day/Year)</w:t>
            </w:r>
          </w:p>
        </w:tc>
        <w:tc>
          <w:tcPr>
            <w:tcW w:w="2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6.</w:t>
            </w:r>
          </w:p>
        </w:tc>
        <w:tc>
          <w:tcPr>
            <w:tcW w:w="31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39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Line)</w:t>
      </w:r>
    </w:p>
    <w:p>
      <w:pPr>
        <w:spacing w:after="0" w:line="2" w:lineRule="exact"/>
        <w:rPr>
          <w:sz w:val="24"/>
          <w:szCs w:val="24"/>
          <w:color w:val="auto"/>
        </w:rPr>
      </w:pPr>
    </w:p>
    <w:p>
      <w:pPr>
        <w:ind w:left="4100"/>
        <w:spacing w:after="0"/>
        <w:tabs>
          <w:tab w:leader="none" w:pos="440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98" w:lineRule="exact"/>
        <w:rPr>
          <w:sz w:val="24"/>
          <w:szCs w:val="24"/>
          <w:color w:val="auto"/>
        </w:rPr>
      </w:pPr>
    </w:p>
    <w:p>
      <w:pPr>
        <w:ind w:left="44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More than One Reporting</w:t>
      </w:r>
    </w:p>
    <w:p>
      <w:pPr>
        <w:spacing w:after="0" w:line="5" w:lineRule="exact"/>
        <w:rPr>
          <w:sz w:val="24"/>
          <w:szCs w:val="24"/>
          <w:color w:val="auto"/>
        </w:rPr>
      </w:pPr>
    </w:p>
    <w:p>
      <w:pPr>
        <w:ind w:left="44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Person</w:t>
      </w:r>
    </w:p>
    <w:p>
      <w:pPr>
        <w:spacing w:after="0" w:line="151" w:lineRule="exact"/>
        <w:rPr>
          <w:sz w:val="24"/>
          <w:szCs w:val="24"/>
          <w:color w:val="auto"/>
        </w:r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1"/>
          <w:szCs w:val="21"/>
          <w:color w:val="auto"/>
        </w:rPr>
        <w:t>Rule 10b5-1(c) Transaction Indication</w:t>
      </w:r>
    </w:p>
    <w:p>
      <w:pPr>
        <w:spacing w:after="0" w:line="222" w:lineRule="exact"/>
        <w:rPr>
          <w:sz w:val="24"/>
          <w:szCs w:val="24"/>
          <w:color w:val="auto"/>
        </w:rPr>
      </w:pPr>
    </w:p>
    <w:p>
      <w:pPr>
        <w:ind w:left="340" w:right="420"/>
        <w:spacing w:after="0" w:line="257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Check this box to indicate that a transaction was made pursuant to a contract, instruction or written plan that is intended to satisfy the affirmative defense conditions of Rule 10b5-1(c). See Instruction 10.</w:t>
      </w:r>
    </w:p>
    <w:p>
      <w:pPr>
        <w:spacing w:after="0" w:line="189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280" w:space="560"/>
            <w:col w:w="7240"/>
          </w:cols>
          <w:pgMar w:left="460" w:top="225" w:right="359" w:bottom="1440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27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4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580" w:type="dxa"/>
            <w:vAlign w:val="bottom"/>
            <w:gridSpan w:val="2"/>
          </w:tcPr>
          <w:p>
            <w:pPr>
              <w:ind w:left="5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6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760" w:type="dxa"/>
            <w:vAlign w:val="bottom"/>
            <w:gridSpan w:val="5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58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  <w:gridSpan w:val="2"/>
          </w:tcPr>
          <w:p>
            <w:pPr>
              <w:ind w:left="12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Transaction</w:t>
            </w:r>
          </w:p>
        </w:tc>
        <w:tc>
          <w:tcPr>
            <w:tcW w:w="3140" w:type="dxa"/>
            <w:vAlign w:val="bottom"/>
            <w:gridSpan w:val="8"/>
          </w:tcPr>
          <w:p>
            <w:pPr>
              <w:ind w:left="8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   Securities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80" w:type="dxa"/>
            <w:vAlign w:val="bottom"/>
            <w:gridSpan w:val="2"/>
          </w:tcPr>
          <w:p>
            <w:pPr>
              <w:ind w:left="5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440" w:type="dxa"/>
            <w:vAlign w:val="bottom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if any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  <w:gridSpan w:val="2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restart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72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ind w:left="1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360" w:type="dxa"/>
            <w:vAlign w:val="bottom"/>
            <w:gridSpan w:val="2"/>
            <w:vMerge w:val="restart"/>
          </w:tcPr>
          <w:p>
            <w:pPr>
              <w:jc w:val="right"/>
              <w:ind w:righ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88"/>
              </w:rPr>
              <w:t>Price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6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6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Class A Common Stock</w:t>
            </w:r>
          </w:p>
        </w:tc>
        <w:tc>
          <w:tcPr>
            <w:tcW w:w="15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08/23/2023</w:t>
            </w: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6"/>
                <w:szCs w:val="26"/>
                <w:color w:val="0000FF"/>
                <w:vertAlign w:val="subscript"/>
              </w:rPr>
              <w:t>J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6"/>
              </w:rPr>
              <w:t>21,625</w:t>
            </w: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A</w:t>
            </w: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right"/>
              <w:ind w:righ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0</w:t>
            </w:r>
          </w:p>
        </w:tc>
        <w:tc>
          <w:tcPr>
            <w:tcW w:w="13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5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41,934</w:t>
            </w: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1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780" w:type="dxa"/>
            <w:vAlign w:val="bottom"/>
            <w:tcBorders>
              <w:top w:val="single" w:sz="8" w:color="2C2C2C"/>
            </w:tcBorders>
            <w:gridSpan w:val="14"/>
          </w:tcPr>
          <w:p>
            <w:pPr>
              <w:ind w:left="8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9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280" w:type="dxa"/>
            <w:vAlign w:val="bottom"/>
            <w:gridSpan w:val="10"/>
          </w:tcPr>
          <w:p>
            <w:pPr>
              <w:ind w:left="5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  <w:right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4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7. Title and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16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    10.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7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0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Ownership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0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  <w:gridSpan w:val="4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Beneficially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  <w:gridSpan w:val="4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(I) (Instr.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 and 4)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8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2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</w:t>
            </w:r>
          </w:p>
        </w:tc>
        <w:tc>
          <w:tcPr>
            <w:tcW w:w="44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V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2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4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7005955</wp:posOffset>
            </wp:positionH>
            <wp:positionV relativeFrom="paragraph">
              <wp:posOffset>-1797685</wp:posOffset>
            </wp:positionV>
            <wp:extent cx="29845" cy="180213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845" cy="180213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3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58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008000"/>
        </w:rPr>
        <w:t>1. Pro rata distribution in kind from SE VII DHC AIV, L.P., of which the Reporting Person is a limited partner.</w:t>
      </w:r>
    </w:p>
    <w:p>
      <w:pPr>
        <w:spacing w:after="0" w:line="64" w:lineRule="exact"/>
        <w:rPr>
          <w:sz w:val="24"/>
          <w:szCs w:val="24"/>
          <w:color w:val="auto"/>
        </w:rPr>
      </w:pPr>
    </w:p>
    <w:tbl>
      <w:tblPr>
        <w:tblLayout w:type="fixed"/>
        <w:tblInd w:w="65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95"/>
        </w:trPr>
        <w:tc>
          <w:tcPr>
            <w:tcW w:w="162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3"/>
              </w:rPr>
              <w:t>/s/ Jeffrey C. Haywood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1"/>
              </w:rPr>
              <w:t>08/24/2023</w:t>
            </w:r>
          </w:p>
        </w:tc>
      </w:tr>
      <w:tr>
        <w:trPr>
          <w:trHeight w:val="233"/>
        </w:trPr>
        <w:tc>
          <w:tcPr>
            <w:tcW w:w="20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</w:t>
            </w:r>
          </w:p>
        </w:tc>
      </w:tr>
    </w:tbl>
    <w:p>
      <w:pPr>
        <w:spacing w:after="0" w:line="31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44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jc w:val="both"/>
        <w:ind w:left="40" w:right="3340" w:firstLine="7"/>
        <w:spacing w:after="0" w:line="319" w:lineRule="auto"/>
        <w:tabs>
          <w:tab w:leader="none" w:pos="181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25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327B23C6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4" Type="http://schemas.openxmlformats.org/officeDocument/2006/relationships/image" Target="media/image5.png"/><Relationship Id="rId12" Type="http://schemas.openxmlformats.org/officeDocument/2006/relationships/hyperlink" Target="http://www.sec.gov/cgi-bin/browse-edgar?action=getcompany&amp;CIK=0001878746" TargetMode="External"/><Relationship Id="rId13" Type="http://schemas.openxmlformats.org/officeDocument/2006/relationships/hyperlink" Target="http://www.sec.gov/cgi-bin/browse-edgar?action=getcompany&amp;CIK=0001861795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2023-08-24T18:10:44Z</dcterms:created>
  <dcterms:modified xsi:type="dcterms:W3CDTF">2023-08-24T18:10:44Z</dcterms:modified>
</cp:coreProperties>
</file>