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Shamsuddin Kate Marie</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DEFINITIVE HEALTHCARE CORP.</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492 OLD CONNECTICUT PATH, SUITE 401</w:t>
      </w:r>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9"/>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Arial" w:cs="Arial" w:eastAsia="Arial" w:hAnsi="Arial"/>
                <w:sz w:val="17"/>
                <w:szCs w:val="17"/>
                <w:color w:val="0000FF"/>
              </w:rPr>
              <w:t>FRAMINGHAM MA</w:t>
            </w:r>
          </w:p>
        </w:tc>
        <w:tc>
          <w:tcPr>
            <w:tcW w:w="1600" w:type="dxa"/>
            <w:vAlign w:val="bottom"/>
          </w:tcPr>
          <w:p>
            <w:pPr>
              <w:ind w:left="440"/>
              <w:spacing w:after="0"/>
              <w:rPr>
                <w:sz w:val="20"/>
                <w:szCs w:val="20"/>
                <w:color w:val="auto"/>
              </w:rPr>
            </w:pPr>
            <w:r>
              <w:rPr>
                <w:rFonts w:ascii="Arial" w:cs="Arial" w:eastAsia="Arial" w:hAnsi="Arial"/>
                <w:sz w:val="17"/>
                <w:szCs w:val="17"/>
                <w:color w:val="0000FF"/>
              </w:rPr>
              <w:t>01701</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Definitive Healthcare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DH</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40" w:type="dxa"/>
            <w:vAlign w:val="bottom"/>
            <w:tcBorders>
              <w:bottom w:val="single" w:sz="8" w:color="0000EE"/>
            </w:tcBorders>
          </w:tcPr>
          <w:p>
            <w:pPr>
              <w:spacing w:after="0"/>
              <w:rPr>
                <w:sz w:val="3"/>
                <w:szCs w:val="3"/>
                <w:color w:val="auto"/>
              </w:rPr>
            </w:pPr>
          </w:p>
        </w:tc>
        <w:tc>
          <w:tcPr>
            <w:tcW w:w="1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240" w:type="dxa"/>
            <w:vAlign w:val="bottom"/>
            <w:tcBorders>
              <w:bottom w:val="single" w:sz="8" w:color="2C2C2C"/>
            </w:tcBorders>
          </w:tcPr>
          <w:p>
            <w:pPr>
              <w:spacing w:after="0"/>
              <w:rPr>
                <w:sz w:val="6"/>
                <w:szCs w:val="6"/>
                <w:color w:val="auto"/>
              </w:rPr>
            </w:pPr>
          </w:p>
        </w:tc>
        <w:tc>
          <w:tcPr>
            <w:tcW w:w="13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5"/>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2440" w:type="dxa"/>
            <w:vAlign w:val="bottom"/>
            <w:gridSpan w:val="3"/>
          </w:tcPr>
          <w:p>
            <w:pPr>
              <w:ind w:left="80"/>
              <w:spacing w:after="0"/>
              <w:rPr>
                <w:sz w:val="20"/>
                <w:szCs w:val="20"/>
                <w:color w:val="auto"/>
              </w:rPr>
            </w:pPr>
            <w:r>
              <w:rPr>
                <w:rFonts w:ascii="Arial" w:cs="Arial" w:eastAsia="Arial" w:hAnsi="Arial"/>
                <w:sz w:val="17"/>
                <w:szCs w:val="17"/>
                <w:color w:val="0000FF"/>
              </w:rPr>
              <w:t>09/14/2023</w:t>
            </w: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400"/>
              <w:spacing w:after="0"/>
              <w:rPr>
                <w:sz w:val="20"/>
                <w:szCs w:val="20"/>
                <w:color w:val="auto"/>
              </w:rPr>
            </w:pPr>
            <w:r>
              <w:rPr>
                <w:rFonts w:ascii="Arial" w:cs="Arial" w:eastAsia="Arial" w:hAnsi="Arial"/>
                <w:sz w:val="17"/>
                <w:szCs w:val="17"/>
                <w:color w:val="0000FF"/>
              </w:rPr>
              <w:t>Chief Product Officer</w:t>
            </w:r>
          </w:p>
        </w:tc>
        <w:tc>
          <w:tcPr>
            <w:tcW w:w="0" w:type="dxa"/>
            <w:vAlign w:val="bottom"/>
          </w:tcPr>
          <w:p>
            <w:pPr>
              <w:spacing w:after="0"/>
              <w:rPr>
                <w:sz w:val="1"/>
                <w:szCs w:val="1"/>
                <w:color w:val="auto"/>
              </w:rPr>
            </w:pPr>
          </w:p>
        </w:tc>
      </w:tr>
      <w:tr>
        <w:trPr>
          <w:trHeight w:val="79"/>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4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tcPr>
          <w:p>
            <w:pPr>
              <w:spacing w:after="0"/>
              <w:rPr>
                <w:sz w:val="8"/>
                <w:szCs w:val="8"/>
                <w:color w:val="auto"/>
              </w:rPr>
            </w:pPr>
          </w:p>
        </w:tc>
        <w:tc>
          <w:tcPr>
            <w:tcW w:w="13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Arial" w:cs="Arial" w:eastAsia="Arial" w:hAnsi="Arial"/>
                <w:sz w:val="17"/>
                <w:szCs w:val="17"/>
                <w:color w:val="0000FF"/>
              </w:rPr>
              <w:t>09/14/2023</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F</w:t>
            </w:r>
            <w:r>
              <w:rPr>
                <w:rFonts w:ascii="Arial" w:cs="Arial" w:eastAsia="Arial" w:hAnsi="Arial"/>
                <w:sz w:val="11"/>
                <w:szCs w:val="11"/>
                <w:color w:val="008000"/>
              </w:rPr>
              <w:t>(1)</w:t>
            </w:r>
          </w:p>
        </w:tc>
        <w:tc>
          <w:tcPr>
            <w:tcW w:w="70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1,044</w:t>
            </w:r>
          </w:p>
        </w:tc>
        <w:tc>
          <w:tcPr>
            <w:tcW w:w="4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8.27</w:t>
            </w: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185,150</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54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transaction reported represents the withholding of shares by the issuer to satisfy the reporting person's tax withholding obligations in connection with the vesting and settlement of previously reported restricted stock units.</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rPr>
              <w:t>/s/ Matthew Ruderman, as</w:t>
            </w: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09/18/2023</w:t>
            </w:r>
          </w:p>
        </w:tc>
        <w:tc>
          <w:tcPr>
            <w:tcW w:w="0" w:type="dxa"/>
            <w:vAlign w:val="bottom"/>
          </w:tcPr>
          <w:p>
            <w:pPr>
              <w:spacing w:after="0"/>
              <w:rPr>
                <w:sz w:val="1"/>
                <w:szCs w:val="1"/>
                <w:color w:val="auto"/>
              </w:rPr>
            </w:pPr>
          </w:p>
        </w:tc>
      </w:tr>
      <w:tr>
        <w:trPr>
          <w:trHeight w:val="87"/>
        </w:trPr>
        <w:tc>
          <w:tcPr>
            <w:tcW w:w="1060" w:type="dxa"/>
            <w:vAlign w:val="bottom"/>
            <w:tcBorders>
              <w:top w:val="single" w:sz="8" w:color="auto"/>
            </w:tcBorders>
            <w:vMerge w:val="restart"/>
          </w:tcPr>
          <w:p>
            <w:pPr>
              <w:spacing w:after="0" w:line="194" w:lineRule="exact"/>
              <w:rPr>
                <w:sz w:val="20"/>
                <w:szCs w:val="20"/>
                <w:color w:val="auto"/>
              </w:rPr>
            </w:pPr>
            <w:r>
              <w:rPr>
                <w:rFonts w:ascii="Arial" w:cs="Arial" w:eastAsia="Arial" w:hAnsi="Arial"/>
                <w:sz w:val="17"/>
                <w:szCs w:val="17"/>
                <w:color w:val="0000FF"/>
                <w:w w:val="93"/>
              </w:rPr>
              <w:t>attorney in fact</w:t>
            </w:r>
          </w:p>
        </w:tc>
        <w:tc>
          <w:tcPr>
            <w:tcW w:w="760" w:type="dxa"/>
            <w:vAlign w:val="bottom"/>
            <w:tcBorders>
              <w:top w:val="single" w:sz="8" w:color="auto"/>
            </w:tcBorders>
            <w:vMerge w:val="restart"/>
          </w:tcPr>
          <w:p>
            <w:pPr>
              <w:spacing w:after="0"/>
              <w:rPr>
                <w:sz w:val="7"/>
                <w:szCs w:val="7"/>
                <w:color w:val="auto"/>
              </w:rPr>
            </w:pPr>
          </w:p>
        </w:tc>
        <w:tc>
          <w:tcPr>
            <w:tcW w:w="2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060" w:type="dxa"/>
            <w:vAlign w:val="bottom"/>
            <w:tcBorders>
              <w:top w:val="single" w:sz="8" w:color="auto"/>
              <w:bottom w:val="single" w:sz="8" w:color="auto"/>
            </w:tcBorders>
            <w:vMerge w:val="continue"/>
          </w:tcPr>
          <w:p>
            <w:pPr>
              <w:spacing w:after="0"/>
              <w:rPr>
                <w:sz w:val="7"/>
                <w:szCs w:val="7"/>
                <w:color w:val="auto"/>
              </w:rPr>
            </w:pPr>
          </w:p>
        </w:tc>
        <w:tc>
          <w:tcPr>
            <w:tcW w:w="760" w:type="dxa"/>
            <w:vAlign w:val="bottom"/>
            <w:tcBorders>
              <w:top w:val="single" w:sz="8" w:color="auto"/>
            </w:tcBorders>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78756" TargetMode="External"/><Relationship Id="rId13" Type="http://schemas.openxmlformats.org/officeDocument/2006/relationships/hyperlink" Target="http://www.sec.gov/cgi-bin/browse-edgar?action=getcompany&amp;CIK=00018617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2023-09-18T15:41:07Z</dcterms:created>
  <dcterms:modified xsi:type="dcterms:W3CDTF">2023-09-18T15:41:07Z</dcterms:modified>
</cp:coreProperties>
</file>