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09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09540"/>
                    </a:xfrm>
                    <a:prstGeom prst="rect">
                      <a:avLst/>
                    </a:prstGeom>
                    <a:noFill/>
                  </pic:spPr>
                </pic:pic>
              </a:graphicData>
            </a:graphic>
          </wp:anchor>
        </w:drawing>
      </w:r>
    </w:p>
    <w:p>
      <w:pPr>
        <w:sectPr>
          <w:pgSz w:w="11900" w:h="16838" w:orient="portrait"/>
          <w:cols w:equalWidth="0" w:num="1">
            <w:col w:w="10940"/>
          </w:cols>
          <w:pgMar w:left="480" w:top="236" w:right="479" w:bottom="1067"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Musslewhite Robert W</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20" w:type="dxa"/>
            <w:vAlign w:val="bottom"/>
            <w:tcBorders>
              <w:top w:val="single" w:sz="8" w:color="0000EE"/>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09/15/2021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800"/>
        <w:spacing w:after="0" w:line="269" w:lineRule="auto"/>
        <w:rPr>
          <w:sz w:val="20"/>
          <w:szCs w:val="20"/>
          <w:color w:val="auto"/>
        </w:rPr>
      </w:pPr>
      <w:r>
        <w:rPr>
          <w:rFonts w:ascii="Arial" w:cs="Arial" w:eastAsia="Arial" w:hAnsi="Arial"/>
          <w:sz w:val="20"/>
          <w:szCs w:val="20"/>
          <w:color w:val="0000FF"/>
        </w:rPr>
        <w:t>C/O DEFINITIVE HEALTHCARE CORP.</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550 COCHITUATE RD</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202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15"/>
                <w:szCs w:val="15"/>
                <w:color w:val="auto"/>
              </w:rPr>
            </w:pPr>
          </w:p>
        </w:tc>
      </w:tr>
      <w:tr>
        <w:trPr>
          <w:trHeight w:val="269"/>
        </w:trPr>
        <w:tc>
          <w:tcPr>
            <w:tcW w:w="2020" w:type="dxa"/>
            <w:vAlign w:val="bottom"/>
          </w:tcPr>
          <w:p>
            <w:pPr>
              <w:ind w:left="40"/>
              <w:spacing w:after="0"/>
              <w:rPr>
                <w:sz w:val="20"/>
                <w:szCs w:val="20"/>
                <w:color w:val="auto"/>
              </w:rPr>
            </w:pPr>
            <w:r>
              <w:rPr>
                <w:rFonts w:ascii="Arial" w:cs="Arial" w:eastAsia="Arial" w:hAnsi="Arial"/>
                <w:sz w:val="20"/>
                <w:szCs w:val="20"/>
                <w:color w:val="0000FF"/>
              </w:rPr>
              <w:t>FRAMINGHAM MA</w:t>
            </w:r>
          </w:p>
        </w:tc>
        <w:tc>
          <w:tcPr>
            <w:tcW w:w="720" w:type="dxa"/>
            <w:vAlign w:val="bottom"/>
          </w:tcPr>
          <w:p>
            <w:pPr>
              <w:jc w:val="right"/>
              <w:spacing w:after="0"/>
              <w:rPr>
                <w:sz w:val="20"/>
                <w:szCs w:val="20"/>
                <w:color w:val="auto"/>
              </w:rPr>
            </w:pPr>
            <w:r>
              <w:rPr>
                <w:rFonts w:ascii="Arial" w:cs="Arial" w:eastAsia="Arial" w:hAnsi="Arial"/>
                <w:sz w:val="20"/>
                <w:szCs w:val="20"/>
                <w:color w:val="0000FF"/>
              </w:rPr>
              <w:t>01701</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Definitive Healthcare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DH</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067"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4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3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9"/>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3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56"/>
        </w:trPr>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340" w:type="dxa"/>
            <w:vAlign w:val="bottom"/>
            <w:vMerge w:val="restart"/>
          </w:tcPr>
          <w:p>
            <w:pPr>
              <w:ind w:left="62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40" w:type="dxa"/>
            <w:vAlign w:val="bottom"/>
          </w:tcPr>
          <w:p>
            <w:pPr>
              <w:ind w:left="62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340" w:type="dxa"/>
            <w:vAlign w:val="bottom"/>
          </w:tcPr>
          <w:p>
            <w:pPr>
              <w:ind w:left="62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340" w:type="dxa"/>
            <w:vAlign w:val="bottom"/>
          </w:tcPr>
          <w:p>
            <w:pPr>
              <w:ind w:left="62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0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3060" w:type="dxa"/>
            <w:vAlign w:val="bottom"/>
          </w:tcPr>
          <w:p>
            <w:pPr>
              <w:ind w:left="80"/>
              <w:spacing w:after="0"/>
              <w:rPr>
                <w:sz w:val="20"/>
                <w:szCs w:val="20"/>
                <w:color w:val="auto"/>
              </w:rPr>
            </w:pPr>
            <w:r>
              <w:rPr>
                <w:rFonts w:ascii="Arial" w:cs="Arial" w:eastAsia="Arial" w:hAnsi="Arial"/>
                <w:sz w:val="20"/>
                <w:szCs w:val="20"/>
                <w:color w:val="0000FF"/>
              </w:rPr>
              <w:t>LLC Units of AIDH Management</w:t>
            </w:r>
          </w:p>
        </w:tc>
        <w:tc>
          <w:tcPr>
            <w:tcW w:w="9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(1)(2)</w:t>
            </w:r>
          </w:p>
        </w:tc>
        <w:tc>
          <w:tcPr>
            <w:tcW w:w="880" w:type="dxa"/>
            <w:vAlign w:val="bottom"/>
            <w:vMerge w:val="restart"/>
          </w:tcPr>
          <w:p>
            <w:pPr>
              <w:jc w:val="right"/>
              <w:ind w:right="197"/>
              <w:spacing w:after="0"/>
              <w:rPr>
                <w:sz w:val="20"/>
                <w:szCs w:val="20"/>
                <w:color w:val="auto"/>
              </w:rPr>
            </w:pPr>
            <w:r>
              <w:rPr>
                <w:rFonts w:ascii="Arial" w:cs="Arial" w:eastAsia="Arial" w:hAnsi="Arial"/>
                <w:sz w:val="13"/>
                <w:szCs w:val="13"/>
                <w:color w:val="008000"/>
              </w:rPr>
              <w:t>(1)(2)</w:t>
            </w:r>
          </w:p>
        </w:tc>
        <w:tc>
          <w:tcPr>
            <w:tcW w:w="1780" w:type="dxa"/>
            <w:vAlign w:val="bottom"/>
          </w:tcPr>
          <w:p>
            <w:pPr>
              <w:jc w:val="center"/>
              <w:ind w:left="2"/>
              <w:spacing w:after="0"/>
              <w:rPr>
                <w:sz w:val="20"/>
                <w:szCs w:val="20"/>
                <w:color w:val="auto"/>
              </w:rPr>
            </w:pPr>
            <w:r>
              <w:rPr>
                <w:rFonts w:ascii="Arial" w:cs="Arial" w:eastAsia="Arial" w:hAnsi="Arial"/>
                <w:sz w:val="20"/>
                <w:szCs w:val="20"/>
                <w:color w:val="0000FF"/>
                <w:w w:val="89"/>
              </w:rPr>
              <w:t>Class A common</w:t>
            </w:r>
          </w:p>
        </w:tc>
        <w:tc>
          <w:tcPr>
            <w:tcW w:w="1000" w:type="dxa"/>
            <w:vAlign w:val="bottom"/>
            <w:vMerge w:val="restart"/>
          </w:tcPr>
          <w:p>
            <w:pPr>
              <w:jc w:val="right"/>
              <w:ind w:right="122"/>
              <w:spacing w:after="0"/>
              <w:rPr>
                <w:sz w:val="20"/>
                <w:szCs w:val="20"/>
                <w:color w:val="auto"/>
              </w:rPr>
            </w:pPr>
            <w:r>
              <w:rPr>
                <w:rFonts w:ascii="Arial" w:cs="Arial" w:eastAsia="Arial" w:hAnsi="Arial"/>
                <w:sz w:val="20"/>
                <w:szCs w:val="20"/>
                <w:color w:val="0000FF"/>
              </w:rPr>
              <w:t>145,263</w:t>
            </w:r>
          </w:p>
        </w:tc>
        <w:tc>
          <w:tcPr>
            <w:tcW w:w="880" w:type="dxa"/>
            <w:vAlign w:val="bottom"/>
            <w:vMerge w:val="restart"/>
          </w:tcPr>
          <w:p>
            <w:pPr>
              <w:jc w:val="right"/>
              <w:ind w:right="317"/>
              <w:spacing w:after="0"/>
              <w:rPr>
                <w:sz w:val="20"/>
                <w:szCs w:val="20"/>
                <w:color w:val="auto"/>
              </w:rPr>
            </w:pPr>
            <w:r>
              <w:rPr>
                <w:rFonts w:ascii="Arial" w:cs="Arial" w:eastAsia="Arial" w:hAnsi="Arial"/>
                <w:sz w:val="13"/>
                <w:szCs w:val="13"/>
                <w:color w:val="008000"/>
              </w:rPr>
              <w:t>(1)(2)</w:t>
            </w:r>
          </w:p>
        </w:tc>
        <w:tc>
          <w:tcPr>
            <w:tcW w:w="740" w:type="dxa"/>
            <w:vAlign w:val="bottom"/>
            <w:vMerge w:val="restart"/>
          </w:tcPr>
          <w:p>
            <w:pPr>
              <w:jc w:val="center"/>
              <w:ind w:left="22"/>
              <w:spacing w:after="0"/>
              <w:rPr>
                <w:sz w:val="20"/>
                <w:szCs w:val="20"/>
                <w:color w:val="auto"/>
              </w:rPr>
            </w:pPr>
            <w:r>
              <w:rPr>
                <w:rFonts w:ascii="Arial" w:cs="Arial" w:eastAsia="Arial" w:hAnsi="Arial"/>
                <w:sz w:val="20"/>
                <w:szCs w:val="20"/>
                <w:color w:val="0000FF"/>
                <w:w w:val="96"/>
              </w:rPr>
              <w:t>D</w:t>
            </w: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8"/>
        </w:trPr>
        <w:tc>
          <w:tcPr>
            <w:tcW w:w="3060" w:type="dxa"/>
            <w:vAlign w:val="bottom"/>
            <w:vMerge w:val="restart"/>
          </w:tcPr>
          <w:p>
            <w:pPr>
              <w:ind w:left="80"/>
              <w:spacing w:after="0"/>
              <w:rPr>
                <w:sz w:val="20"/>
                <w:szCs w:val="20"/>
                <w:color w:val="auto"/>
              </w:rPr>
            </w:pPr>
            <w:r>
              <w:rPr>
                <w:rFonts w:ascii="Arial" w:cs="Arial" w:eastAsia="Arial" w:hAnsi="Arial"/>
                <w:sz w:val="20"/>
                <w:szCs w:val="20"/>
                <w:color w:val="0000FF"/>
              </w:rPr>
              <w:t>Holdings, LLC</w:t>
            </w:r>
          </w:p>
        </w:tc>
        <w:tc>
          <w:tcPr>
            <w:tcW w:w="9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ind w:left="2"/>
              <w:spacing w:after="0"/>
              <w:rPr>
                <w:sz w:val="20"/>
                <w:szCs w:val="20"/>
                <w:color w:val="auto"/>
              </w:rPr>
            </w:pPr>
            <w:r>
              <w:rPr>
                <w:rFonts w:ascii="Arial" w:cs="Arial" w:eastAsia="Arial" w:hAnsi="Arial"/>
                <w:sz w:val="20"/>
                <w:szCs w:val="20"/>
                <w:color w:val="0000FF"/>
                <w:w w:val="85"/>
              </w:rPr>
              <w:t>stock</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0"/>
        </w:trPr>
        <w:tc>
          <w:tcPr>
            <w:tcW w:w="3060" w:type="dxa"/>
            <w:vAlign w:val="bottom"/>
          </w:tcPr>
          <w:p>
            <w:pPr>
              <w:ind w:left="80"/>
              <w:spacing w:after="0"/>
              <w:rPr>
                <w:sz w:val="20"/>
                <w:szCs w:val="20"/>
                <w:color w:val="auto"/>
              </w:rPr>
            </w:pPr>
            <w:r>
              <w:rPr>
                <w:rFonts w:ascii="Arial" w:cs="Arial" w:eastAsia="Arial" w:hAnsi="Arial"/>
                <w:sz w:val="20"/>
                <w:szCs w:val="20"/>
                <w:color w:val="0000FF"/>
              </w:rPr>
              <w:t>LLC Units of AIDH Management</w:t>
            </w:r>
          </w:p>
        </w:tc>
        <w:tc>
          <w:tcPr>
            <w:tcW w:w="960" w:type="dxa"/>
            <w:vAlign w:val="bottom"/>
            <w:vMerge w:val="restart"/>
          </w:tcPr>
          <w:p>
            <w:pPr>
              <w:jc w:val="right"/>
              <w:ind w:right="257"/>
              <w:spacing w:after="0"/>
              <w:rPr>
                <w:sz w:val="20"/>
                <w:szCs w:val="20"/>
                <w:color w:val="auto"/>
              </w:rPr>
            </w:pPr>
            <w:r>
              <w:rPr>
                <w:rFonts w:ascii="Arial" w:cs="Arial" w:eastAsia="Arial" w:hAnsi="Arial"/>
                <w:sz w:val="13"/>
                <w:szCs w:val="13"/>
                <w:color w:val="008000"/>
              </w:rPr>
              <w:t>(1)(2)</w:t>
            </w:r>
          </w:p>
        </w:tc>
        <w:tc>
          <w:tcPr>
            <w:tcW w:w="880" w:type="dxa"/>
            <w:vAlign w:val="bottom"/>
            <w:vMerge w:val="restart"/>
          </w:tcPr>
          <w:p>
            <w:pPr>
              <w:jc w:val="right"/>
              <w:ind w:right="197"/>
              <w:spacing w:after="0"/>
              <w:rPr>
                <w:sz w:val="20"/>
                <w:szCs w:val="20"/>
                <w:color w:val="auto"/>
              </w:rPr>
            </w:pPr>
            <w:r>
              <w:rPr>
                <w:rFonts w:ascii="Arial" w:cs="Arial" w:eastAsia="Arial" w:hAnsi="Arial"/>
                <w:sz w:val="13"/>
                <w:szCs w:val="13"/>
                <w:color w:val="008000"/>
              </w:rPr>
              <w:t>(1)(2)</w:t>
            </w:r>
          </w:p>
        </w:tc>
        <w:tc>
          <w:tcPr>
            <w:tcW w:w="1780" w:type="dxa"/>
            <w:vAlign w:val="bottom"/>
          </w:tcPr>
          <w:p>
            <w:pPr>
              <w:jc w:val="center"/>
              <w:ind w:left="2"/>
              <w:spacing w:after="0"/>
              <w:rPr>
                <w:sz w:val="20"/>
                <w:szCs w:val="20"/>
                <w:color w:val="auto"/>
              </w:rPr>
            </w:pPr>
            <w:r>
              <w:rPr>
                <w:rFonts w:ascii="Arial" w:cs="Arial" w:eastAsia="Arial" w:hAnsi="Arial"/>
                <w:sz w:val="20"/>
                <w:szCs w:val="20"/>
                <w:color w:val="0000FF"/>
                <w:w w:val="89"/>
              </w:rPr>
              <w:t>Class A common</w:t>
            </w:r>
          </w:p>
        </w:tc>
        <w:tc>
          <w:tcPr>
            <w:tcW w:w="1000" w:type="dxa"/>
            <w:vAlign w:val="bottom"/>
            <w:vMerge w:val="restart"/>
          </w:tcPr>
          <w:p>
            <w:pPr>
              <w:jc w:val="right"/>
              <w:ind w:right="122"/>
              <w:spacing w:after="0"/>
              <w:rPr>
                <w:sz w:val="20"/>
                <w:szCs w:val="20"/>
                <w:color w:val="auto"/>
              </w:rPr>
            </w:pPr>
            <w:r>
              <w:rPr>
                <w:rFonts w:ascii="Arial" w:cs="Arial" w:eastAsia="Arial" w:hAnsi="Arial"/>
                <w:sz w:val="20"/>
                <w:szCs w:val="20"/>
                <w:color w:val="0000FF"/>
              </w:rPr>
              <w:t>332,893</w:t>
            </w:r>
          </w:p>
        </w:tc>
        <w:tc>
          <w:tcPr>
            <w:tcW w:w="880" w:type="dxa"/>
            <w:vAlign w:val="bottom"/>
            <w:vMerge w:val="restart"/>
          </w:tcPr>
          <w:p>
            <w:pPr>
              <w:jc w:val="right"/>
              <w:ind w:right="317"/>
              <w:spacing w:after="0"/>
              <w:rPr>
                <w:sz w:val="20"/>
                <w:szCs w:val="20"/>
                <w:color w:val="auto"/>
              </w:rPr>
            </w:pPr>
            <w:r>
              <w:rPr>
                <w:rFonts w:ascii="Arial" w:cs="Arial" w:eastAsia="Arial" w:hAnsi="Arial"/>
                <w:sz w:val="13"/>
                <w:szCs w:val="13"/>
                <w:color w:val="008000"/>
              </w:rPr>
              <w:t>(1)(2)</w:t>
            </w:r>
          </w:p>
        </w:tc>
        <w:tc>
          <w:tcPr>
            <w:tcW w:w="740" w:type="dxa"/>
            <w:vAlign w:val="bottom"/>
            <w:vMerge w:val="restart"/>
          </w:tcPr>
          <w:p>
            <w:pPr>
              <w:jc w:val="center"/>
              <w:ind w:left="42"/>
              <w:spacing w:after="0"/>
              <w:rPr>
                <w:sz w:val="20"/>
                <w:szCs w:val="20"/>
                <w:color w:val="auto"/>
              </w:rPr>
            </w:pPr>
            <w:r>
              <w:rPr>
                <w:rFonts w:ascii="Arial" w:cs="Arial" w:eastAsia="Arial" w:hAnsi="Arial"/>
                <w:sz w:val="20"/>
                <w:szCs w:val="20"/>
                <w:color w:val="0000FF"/>
              </w:rPr>
              <w:t>I</w:t>
            </w:r>
          </w:p>
        </w:tc>
        <w:tc>
          <w:tcPr>
            <w:tcW w:w="1600" w:type="dxa"/>
            <w:vAlign w:val="bottom"/>
            <w:vMerge w:val="restart"/>
          </w:tcPr>
          <w:p>
            <w:pPr>
              <w:ind w:left="240"/>
              <w:spacing w:after="0"/>
              <w:rPr>
                <w:sz w:val="20"/>
                <w:szCs w:val="20"/>
                <w:color w:val="auto"/>
              </w:rPr>
            </w:pPr>
            <w:r>
              <w:rPr>
                <w:rFonts w:ascii="Arial" w:cs="Arial" w:eastAsia="Arial" w:hAnsi="Arial"/>
                <w:sz w:val="20"/>
                <w:szCs w:val="20"/>
                <w:color w:val="0000FF"/>
              </w:rPr>
              <w:t>By trust</w:t>
            </w:r>
          </w:p>
        </w:tc>
        <w:tc>
          <w:tcPr>
            <w:tcW w:w="0" w:type="dxa"/>
            <w:vAlign w:val="bottom"/>
          </w:tcPr>
          <w:p>
            <w:pPr>
              <w:spacing w:after="0"/>
              <w:rPr>
                <w:sz w:val="1"/>
                <w:szCs w:val="1"/>
                <w:color w:val="auto"/>
              </w:rPr>
            </w:pPr>
          </w:p>
        </w:tc>
      </w:tr>
      <w:tr>
        <w:trPr>
          <w:trHeight w:val="128"/>
        </w:trPr>
        <w:tc>
          <w:tcPr>
            <w:tcW w:w="3060" w:type="dxa"/>
            <w:vAlign w:val="bottom"/>
            <w:vMerge w:val="restart"/>
          </w:tcPr>
          <w:p>
            <w:pPr>
              <w:ind w:left="80"/>
              <w:spacing w:after="0"/>
              <w:rPr>
                <w:sz w:val="20"/>
                <w:szCs w:val="20"/>
                <w:color w:val="auto"/>
              </w:rPr>
            </w:pPr>
            <w:r>
              <w:rPr>
                <w:rFonts w:ascii="Arial" w:cs="Arial" w:eastAsia="Arial" w:hAnsi="Arial"/>
                <w:sz w:val="20"/>
                <w:szCs w:val="20"/>
                <w:color w:val="0000FF"/>
              </w:rPr>
              <w:t>Holdings, LLC</w:t>
            </w:r>
          </w:p>
        </w:tc>
        <w:tc>
          <w:tcPr>
            <w:tcW w:w="96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ind w:left="2"/>
              <w:spacing w:after="0"/>
              <w:rPr>
                <w:sz w:val="20"/>
                <w:szCs w:val="20"/>
                <w:color w:val="auto"/>
              </w:rPr>
            </w:pPr>
            <w:r>
              <w:rPr>
                <w:rFonts w:ascii="Arial" w:cs="Arial" w:eastAsia="Arial" w:hAnsi="Arial"/>
                <w:sz w:val="20"/>
                <w:szCs w:val="20"/>
                <w:color w:val="0000FF"/>
                <w:w w:val="85"/>
              </w:rPr>
              <w:t>stock</w:t>
            </w: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6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200" w:firstLine="5"/>
        <w:spacing w:after="0" w:line="236"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AIDH Management Holdings, LLC ("Management Holdings") is a special purpose investment vehicle through which interests in AIDH Topco, LLC are indirectly owned. Certain unvested awards vest in equal installments on each of the first, second and third anniversaries of the Issuer's initial public offering, and the remainder of the unvested awards continue to vest pursuant to a four-year annual vesting schedule. Once vested the Reporting Person may exchange LLC Units of Management Holdings for LLC Units of AIDH Topco, LLC on a one-for-one basis, which are exchanged for shares of Class A common stock of the Issuer on a one-for-one basis, subject to certain exceptions, conditions and adjustments. The LLC Units of Management Holdings have no expiration date.</w:t>
      </w:r>
    </w:p>
    <w:p>
      <w:pPr>
        <w:spacing w:after="0" w:line="37" w:lineRule="exact"/>
        <w:rPr>
          <w:rFonts w:ascii="Arial" w:cs="Arial" w:eastAsia="Arial" w:hAnsi="Arial"/>
          <w:sz w:val="15"/>
          <w:szCs w:val="15"/>
          <w:color w:val="008000"/>
        </w:rPr>
      </w:pPr>
    </w:p>
    <w:p>
      <w:pPr>
        <w:ind w:left="40" w:right="160" w:firstLine="5"/>
        <w:spacing w:after="0" w:line="283" w:lineRule="auto"/>
        <w:tabs>
          <w:tab w:leader="none" w:pos="19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(Continued form Footnote 1) At the time of any such exchange, an equal number of shares of Class B Common Stock of the Issuer held by the Reporting Person, which have no economic value and entitle holders thereof to one vote per share on all matters on which stockholders of the Issuer are entitled to vote generally, are cancelled.</w:t>
      </w:r>
    </w:p>
    <w:p>
      <w:pPr>
        <w:spacing w:after="0" w:line="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Power of Attorney</w:t>
      </w:r>
    </w:p>
    <w:p>
      <w:pPr>
        <w:spacing w:after="0" w:line="38"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6"/>
              </w:rPr>
              <w:t>By: /s/ David Samuels, as</w:t>
            </w:r>
          </w:p>
        </w:tc>
        <w:tc>
          <w:tcPr>
            <w:tcW w:w="18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09/15/2021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067"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739" w:firstLine="936"/>
        <w:spacing w:after="0" w:line="271"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Jason Krantz, Richard Booth and David Samuels of Definitive Healthcare Corp. (the "Company") or any of them signing singly, and with full power of substitution, the undersigned's true and lawful attorney-in-fact to:</w:t>
      </w:r>
    </w:p>
    <w:p>
      <w:pPr>
        <w:spacing w:after="0" w:line="205" w:lineRule="exact"/>
        <w:rPr>
          <w:sz w:val="20"/>
          <w:szCs w:val="20"/>
          <w:color w:val="auto"/>
        </w:rPr>
      </w:pPr>
    </w:p>
    <w:p>
      <w:pPr>
        <w:ind w:left="1520" w:right="619" w:hanging="584"/>
        <w:spacing w:after="0" w:line="268" w:lineRule="auto"/>
        <w:tabs>
          <w:tab w:leader="none" w:pos="15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06" w:lineRule="exact"/>
        <w:rPr>
          <w:rFonts w:ascii="Courier New" w:cs="Courier New" w:eastAsia="Courier New" w:hAnsi="Courier New"/>
          <w:sz w:val="18"/>
          <w:szCs w:val="18"/>
          <w:color w:val="auto"/>
        </w:rPr>
      </w:pPr>
    </w:p>
    <w:p>
      <w:pPr>
        <w:ind w:left="1520" w:right="739" w:hanging="584"/>
        <w:spacing w:after="0" w:line="237" w:lineRule="auto"/>
        <w:tabs>
          <w:tab w:leader="none" w:pos="152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30"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3" w:lineRule="exact"/>
        <w:rPr>
          <w:rFonts w:ascii="Courier New" w:cs="Courier New" w:eastAsia="Courier New" w:hAnsi="Courier New"/>
          <w:sz w:val="20"/>
          <w:szCs w:val="20"/>
          <w:color w:val="auto"/>
        </w:rPr>
      </w:pPr>
    </w:p>
    <w:p>
      <w:pPr>
        <w:ind w:left="1520" w:right="619" w:hanging="584"/>
        <w:spacing w:after="0" w:line="237" w:lineRule="auto"/>
        <w:tabs>
          <w:tab w:leader="none" w:pos="152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6" w:lineRule="exact"/>
        <w:rPr>
          <w:sz w:val="20"/>
          <w:szCs w:val="20"/>
          <w:color w:val="auto"/>
        </w:rPr>
      </w:pPr>
    </w:p>
    <w:p>
      <w:pPr>
        <w:ind w:right="73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14th day of August, 2021.</w:t>
      </w:r>
    </w:p>
    <w:p>
      <w:pPr>
        <w:spacing w:after="0" w:line="200" w:lineRule="exact"/>
        <w:rPr>
          <w:sz w:val="20"/>
          <w:szCs w:val="20"/>
          <w:color w:val="auto"/>
        </w:rPr>
      </w:pPr>
    </w:p>
    <w:p>
      <w:pPr>
        <w:spacing w:after="0" w:line="249"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Robert Musslewhite</w:t>
      </w:r>
    </w:p>
    <w:p>
      <w:pPr>
        <w:spacing w:after="0" w:line="5" w:lineRule="exact"/>
        <w:rPr>
          <w:sz w:val="20"/>
          <w:szCs w:val="20"/>
          <w:color w:val="auto"/>
        </w:rPr>
      </w:pPr>
    </w:p>
    <w:p>
      <w:pPr>
        <w:ind w:left="4680"/>
        <w:spacing w:after="0"/>
        <w:rPr>
          <w:sz w:val="20"/>
          <w:szCs w:val="20"/>
          <w:color w:val="auto"/>
        </w:rPr>
      </w:pPr>
      <w:r>
        <w:rPr>
          <w:rFonts w:ascii="Courier New" w:cs="Courier New" w:eastAsia="Courier New" w:hAnsi="Courier New"/>
          <w:sz w:val="18"/>
          <w:szCs w:val="18"/>
          <w:color w:val="auto"/>
        </w:rPr>
        <w:t>----------------------------------------</w:t>
      </w:r>
    </w:p>
    <w:p>
      <w:pPr>
        <w:spacing w:after="0" w:line="15"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Name: Robert Musslewhite</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90194" TargetMode="External"/><Relationship Id="rId11"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2021-09-15T19:34:00Z</dcterms:created>
  <dcterms:modified xsi:type="dcterms:W3CDTF">2021-09-15T19:34:00Z</dcterms:modified>
</cp:coreProperties>
</file>