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4"/>
        </w:rPr>
      </w:pPr>
      <w:bookmarkStart w:id="0" w:name="dh-20260930.htm"/>
      <w:bookmarkStart w:id="1" w:name="ksdh20260930"/>
      <w:bookmarkEnd w:id="0"/>
      <w:bookmarkEnd w:id="1"/>
      <w:r>
        <w:rPr>
          <w:rFonts w:ascii="Times New Roman" w:hAnsi="Times New Roman"/>
          <w:b/>
          <w:color w:val="000000"/>
          <w:sz w:val="34"/>
        </w:rPr>
        <w:t>UNITED STATES</w:t>
      </w:r>
    </w:p>
    <w:p>
      <w:pPr>
        <w:pStyle w:val="TextBody"/>
        <w:bidi w:val="0"/>
        <w:jc w:val="center"/>
        <w:rPr>
          <w:rFonts w:ascii="Times New Roman" w:hAnsi="Times New Roman"/>
          <w:sz w:val="34"/>
        </w:rPr>
      </w:pPr>
      <w:r>
        <w:rPr>
          <w:rFonts w:ascii="Times New Roman" w:hAnsi="Times New Roman"/>
          <w:b/>
          <w:color w:val="000000"/>
          <w:sz w:val="34"/>
        </w:rPr>
        <w:t>SECURITIES AND EXCHANGE COMMISSION</w:t>
      </w:r>
      <w:r>
        <w:rPr>
          <w:rFonts w:ascii="Times New Roman" w:hAnsi="Times New Roman"/>
          <w:color w:val="000000"/>
          <w:sz w:val="34"/>
        </w:rPr>
        <w:t xml:space="preserve"> </w:t>
      </w:r>
    </w:p>
    <w:p>
      <w:pPr>
        <w:pStyle w:val="TextBody"/>
        <w:bidi w:val="0"/>
        <w:jc w:val="center"/>
        <w:rPr>
          <w:rFonts w:ascii="Times New Roman" w:hAnsi="Times New Roman"/>
          <w:sz w:val="22"/>
        </w:rPr>
      </w:pPr>
      <w:r>
        <w:rPr>
          <w:rFonts w:ascii="Times New Roman" w:hAnsi="Times New Roman"/>
          <w:b/>
          <w:color w:val="000000"/>
          <w:sz w:val="22"/>
        </w:rPr>
        <w:t>Washington, D.C. 20549</w:t>
      </w:r>
      <w:r>
        <w:rPr>
          <w:rFonts w:ascii="Times New Roman" w:hAnsi="Times New Roman"/>
          <w:color w:val="000000"/>
          <w:sz w:val="22"/>
        </w:rPr>
        <w:t xml:space="preserve"> </w:t>
      </w:r>
    </w:p>
    <w:p>
      <w:pPr>
        <w:pStyle w:val="TextBody"/>
        <w:bidi w:val="0"/>
        <w:spacing w:before="40" w:after="283"/>
        <w:jc w:val="center"/>
        <w:rPr>
          <w:rFonts w:ascii="Times New Roman" w:hAnsi="Times New Roman"/>
          <w:sz w:val="34"/>
        </w:rPr>
      </w:pPr>
      <w:r>
        <w:rPr>
          <w:rFonts w:ascii="Times New Roman" w:hAnsi="Times New Roman"/>
          <w:b/>
          <w:color w:val="000000"/>
          <w:sz w:val="34"/>
        </w:rPr>
        <w:t>FORM 10-Q</w:t>
      </w:r>
      <w:r>
        <w:rPr>
          <w:rFonts w:ascii="Times New Roman" w:hAnsi="Times New Roman"/>
          <w:color w:val="000000"/>
          <w:sz w:val="34"/>
        </w:rPr>
        <w:t xml:space="preserve"> </w:t>
      </w:r>
    </w:p>
    <w:p>
      <w:pPr>
        <w:pStyle w:val="TextBody"/>
        <w:bidi w:val="0"/>
        <w:spacing w:before="120" w:after="283"/>
        <w:jc w:val="left"/>
        <w:rPr>
          <w:rFonts w:ascii="Times New Roman" w:hAnsi="Times New Roman"/>
          <w:sz w:val="18"/>
        </w:rPr>
      </w:pPr>
      <w:r>
        <w:rPr>
          <w:rFonts w:ascii="Times New Roman" w:hAnsi="Times New Roman"/>
          <w:b/>
          <w:color w:val="000000"/>
          <w:sz w:val="18"/>
        </w:rPr>
        <w:t>(Mark One)</w:t>
      </w:r>
      <w:r>
        <w:rPr>
          <w:rFonts w:ascii="Times New Roman" w:hAnsi="Times New Roman"/>
          <w:color w:val="000000"/>
          <w:sz w:val="18"/>
        </w:rPr>
        <w:t xml:space="preserve"> </w:t>
      </w:r>
    </w:p>
    <w:p>
      <w:pPr>
        <w:pStyle w:val="TextBody"/>
        <w:bidi w:val="0"/>
        <w:jc w:val="left"/>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2"/>
        </w:rPr>
        <w:t xml:space="preserve"> </w:t>
      </w:r>
    </w:p>
    <w:p>
      <w:pPr>
        <w:pStyle w:val="TextBody"/>
        <w:bidi w:val="0"/>
        <w:spacing w:before="120" w:after="283"/>
        <w:jc w:val="center"/>
        <w:rPr>
          <w:rFonts w:ascii="Times New Roman" w:hAnsi="Times New Roman"/>
          <w:sz w:val="18"/>
        </w:rPr>
      </w:pPr>
      <w:r>
        <w:rPr>
          <w:rFonts w:ascii="Times New Roman" w:hAnsi="Times New Roman"/>
          <w:b/>
          <w:color w:val="000000"/>
          <w:sz w:val="18"/>
        </w:rPr>
        <w:t>For the quarterly period ended September 30, 2026</w:t>
      </w:r>
      <w:r>
        <w:rPr>
          <w:rFonts w:ascii="Times New Roman" w:hAnsi="Times New Roman"/>
          <w:color w:val="000000"/>
          <w:sz w:val="18"/>
        </w:rPr>
        <w:t xml:space="preserve"> </w:t>
      </w:r>
    </w:p>
    <w:p>
      <w:pPr>
        <w:pStyle w:val="TextBody"/>
        <w:bidi w:val="0"/>
        <w:spacing w:before="120" w:after="283"/>
        <w:jc w:val="center"/>
        <w:rPr>
          <w:rFonts w:ascii="Times New Roman" w:hAnsi="Times New Roman"/>
          <w:sz w:val="18"/>
        </w:rPr>
      </w:pPr>
      <w:r>
        <w:rPr>
          <w:rFonts w:ascii="Times New Roman" w:hAnsi="Times New Roman"/>
          <w:b/>
          <w:color w:val="000000"/>
          <w:sz w:val="18"/>
        </w:rPr>
        <w:t>or</w:t>
      </w:r>
      <w:r>
        <w:rPr>
          <w:rFonts w:ascii="Times New Roman" w:hAnsi="Times New Roman"/>
          <w:color w:val="000000"/>
          <w:sz w:val="18"/>
        </w:rPr>
        <w:t xml:space="preserve"> </w:t>
      </w:r>
    </w:p>
    <w:p>
      <w:pPr>
        <w:pStyle w:val="TextBody"/>
        <w:bidi w:val="0"/>
        <w:spacing w:before="120" w:after="283"/>
        <w:jc w:val="left"/>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2"/>
        </w:rPr>
        <w:t xml:space="preserve"> </w:t>
      </w:r>
    </w:p>
    <w:p>
      <w:pPr>
        <w:pStyle w:val="TextBody"/>
        <w:bidi w:val="0"/>
        <w:spacing w:before="120" w:after="283"/>
        <w:jc w:val="center"/>
        <w:rPr>
          <w:rFonts w:ascii="Times New Roman" w:hAnsi="Times New Roman"/>
          <w:sz w:val="18"/>
        </w:rPr>
      </w:pPr>
      <w:r>
        <w:rPr>
          <w:rFonts w:ascii="Times New Roman" w:hAnsi="Times New Roman"/>
          <w:b/>
          <w:color w:val="000000"/>
          <w:sz w:val="18"/>
        </w:rPr>
        <w:t>For the transition period from to</w:t>
      </w:r>
      <w:r>
        <w:rPr>
          <w:rFonts w:ascii="Times New Roman" w:hAnsi="Times New Roman"/>
          <w:color w:val="000000"/>
          <w:sz w:val="18"/>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001-40815</w:t>
      </w:r>
    </w:p>
    <w:p>
      <w:pPr>
        <w:pStyle w:val="TextBody"/>
        <w:bidi w:val="0"/>
        <w:spacing w:before="40" w:after="283"/>
        <w:jc w:val="center"/>
        <w:rPr>
          <w:rFonts w:ascii="Times New Roman" w:hAnsi="Times New Roman"/>
          <w:sz w:val="46"/>
        </w:rPr>
      </w:pPr>
      <w:r>
        <w:rPr>
          <w:rFonts w:ascii="Times New Roman" w:hAnsi="Times New Roman"/>
          <w:b/>
          <w:color w:val="000000"/>
          <w:sz w:val="46"/>
        </w:rPr>
        <w:t>Definitive Healthcare Corp.</w:t>
      </w:r>
      <w:r>
        <w:rPr>
          <w:rFonts w:ascii="Times New Roman" w:hAnsi="Times New Roman"/>
          <w:color w:val="000000"/>
          <w:sz w:val="46"/>
        </w:rPr>
        <w:t xml:space="preserve"> </w:t>
      </w:r>
    </w:p>
    <w:p>
      <w:pPr>
        <w:pStyle w:val="TextBody"/>
        <w:bidi w:val="0"/>
        <w:jc w:val="center"/>
        <w:rPr>
          <w:rFonts w:ascii="Times New Roman" w:hAnsi="Times New Roman"/>
          <w:sz w:val="18"/>
        </w:rPr>
      </w:pPr>
      <w:r>
        <w:rPr>
          <w:rFonts w:ascii="Times New Roman" w:hAnsi="Times New Roman"/>
          <w:b/>
          <w:color w:val="000000"/>
          <w:sz w:val="18"/>
        </w:rPr>
        <w:t>(Exact name of registrant as specified in its charter)</w:t>
      </w:r>
      <w:r>
        <w:rPr>
          <w:rFonts w:ascii="Times New Roman" w:hAnsi="Times New Roman"/>
          <w:color w:val="000000"/>
          <w:sz w:val="18"/>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86-3988281</w:t>
            </w:r>
          </w:p>
        </w:tc>
      </w:tr>
      <w:t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492 Old Connecticut Path, Suite 401</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Framingham,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01701</w:t>
            </w:r>
          </w:p>
        </w:tc>
      </w:tr>
      <w:t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pPr>
      <w:r>
        <w:t> </w:t>
      </w:r>
    </w:p>
    <w:p>
      <w:pPr>
        <w:pStyle w:val="TextBody"/>
        <w:bidi w:val="0"/>
        <w:jc w:val="center"/>
        <w:rPr>
          <w:rFonts w:ascii="Times New Roman" w:hAnsi="Times New Roman"/>
          <w:sz w:val="18"/>
        </w:rPr>
      </w:pPr>
      <w:r>
        <w:rPr>
          <w:rFonts w:ascii="Times New Roman" w:hAnsi="Times New Roman"/>
          <w:b/>
          <w:color w:val="000000"/>
          <w:sz w:val="18"/>
        </w:rPr>
        <w:t>(508) 720-4224</w:t>
      </w:r>
      <w:r>
        <w:rPr>
          <w:rFonts w:ascii="Times New Roman" w:hAnsi="Times New Roman"/>
          <w:color w:val="000000"/>
          <w:sz w:val="18"/>
        </w:rPr>
        <w:t xml:space="preserve"> </w:t>
      </w:r>
    </w:p>
    <w:p>
      <w:pPr>
        <w:pStyle w:val="TextBody"/>
        <w:bidi w:val="0"/>
        <w:jc w:val="center"/>
        <w:rPr>
          <w:rFonts w:ascii="Times New Roman" w:hAnsi="Times New Roman"/>
          <w:sz w:val="16"/>
        </w:rPr>
      </w:pPr>
      <w:r>
        <w:rPr>
          <w:rFonts w:ascii="Times New Roman" w:hAnsi="Times New Roman"/>
          <w:b/>
          <w:color w:val="000000"/>
          <w:sz w:val="16"/>
        </w:rPr>
        <w:t>(Registrant’s telephone number, including area code)</w:t>
      </w:r>
      <w:r>
        <w:rPr>
          <w:rFonts w:ascii="Times New Roman" w:hAnsi="Times New Roman"/>
          <w:color w:val="000000"/>
          <w:sz w:val="16"/>
        </w:rPr>
        <w:t xml:space="preserve">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tbl>
      <w:tblPr>
        <w:tblW w:w="8088" w:type="dxa"/>
        <w:jc w:val="left"/>
        <w:tblInd w:w="0" w:type="dxa"/>
        <w:tblLayout w:type="fixed"/>
        <w:tblCellMar>
          <w:top w:w="28" w:type="dxa"/>
          <w:left w:w="28" w:type="dxa"/>
          <w:bottom w:w="28" w:type="dxa"/>
          <w:right w:w="28" w:type="dxa"/>
        </w:tblCellMar>
      </w:tblPr>
      <w:tblGrid>
        <w:gridCol w:w="3316"/>
        <w:gridCol w:w="1456"/>
        <w:gridCol w:w="3316"/>
      </w:tblGrid>
      <w:tr>
        <w:tc>
          <w:tcPr>
            <w:tcW w:w="33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$0.001 par value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89" w:type="dxa"/>
        <w:jc w:val="left"/>
        <w:tblInd w:w="0" w:type="dxa"/>
        <w:tblLayout w:type="fixed"/>
        <w:tblCellMar>
          <w:top w:w="28" w:type="dxa"/>
          <w:left w:w="28" w:type="dxa"/>
          <w:bottom w:w="28" w:type="dxa"/>
          <w:right w:w="28" w:type="dxa"/>
        </w:tblCellMar>
      </w:tblPr>
      <w:tblGrid>
        <w:gridCol w:w="1771"/>
        <w:gridCol w:w="316"/>
        <w:gridCol w:w="2041"/>
        <w:gridCol w:w="361"/>
      </w:tblGrid>
      <w:tr>
        <w:tc>
          <w:tcPr>
            <w:tcW w:w="1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7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71"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Indicate by check mark whether the registrant is a shell company (as defined by Rule 12b-2 of the Exchange Act). Yes ☐ No ☒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November 2, 2026, the number of outstanding shares of the registrant’s Class A common stock was 107,163,253 shares.</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Definitive Healthcare Corp.</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Quarterly Period Ended September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13" w:type="dxa"/>
        <w:jc w:val="left"/>
        <w:tblInd w:w="0" w:type="dxa"/>
        <w:tblLayout w:type="fixed"/>
        <w:tblCellMar>
          <w:top w:w="28" w:type="dxa"/>
          <w:left w:w="28" w:type="dxa"/>
          <w:bottom w:w="28" w:type="dxa"/>
          <w:right w:w="28" w:type="dxa"/>
        </w:tblCellMar>
      </w:tblPr>
      <w:tblGrid>
        <w:gridCol w:w="1051"/>
        <w:gridCol w:w="7606"/>
        <w:gridCol w:w="556"/>
      </w:tblGrid>
      <w:tr>
        <w:tc>
          <w:tcPr>
            <w:tcW w:w="105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55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c>
          <w:tcPr>
            <w:tcW w:w="1051" w:type="dxa"/>
            <w:tcBorders/>
            <w:tcMar>
              <w:top w:w="0" w:type="dxa"/>
              <w:left w:w="0" w:type="dxa"/>
              <w:bottom w:w="0" w:type="dxa"/>
              <w:right w:w="0" w:type="dxa"/>
            </w:tcMar>
            <w:vAlign w:val="center"/>
          </w:tcPr>
          <w:p>
            <w:pPr>
              <w:pStyle w:val="TableContents"/>
              <w:bidi w:val="0"/>
              <w:jc w:val="left"/>
            </w:pPr>
            <w:r>
              <w:t> </w:t>
            </w:r>
          </w:p>
          <w:p>
            <w:pPr>
              <w:pStyle w:val="TableContents"/>
              <w:bidi w:val="0"/>
              <w:jc w:val="left"/>
            </w:pPr>
            <w:r>
              <w:t> </w:t>
            </w:r>
          </w:p>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ind w:left="0" w:right="0" w:firstLine="240"/>
              <w:jc w:val="left"/>
            </w:pPr>
            <w:r>
              <w:t> </w:t>
            </w:r>
          </w:p>
          <w:p>
            <w:pPr>
              <w:pStyle w:val="TableContents"/>
              <w:bidi w:val="0"/>
              <w:spacing w:before="0" w:after="283"/>
              <w:ind w:left="0" w:right="0" w:firstLine="240"/>
              <w:jc w:val="left"/>
            </w:pPr>
            <w:r>
              <w:t> </w:t>
            </w:r>
          </w:p>
        </w:tc>
        <w:tc>
          <w:tcPr>
            <w:tcW w:w="556" w:type="dxa"/>
            <w:tcBorders/>
            <w:tcMar>
              <w:top w:w="0" w:type="dxa"/>
              <w:left w:w="0" w:type="dxa"/>
              <w:bottom w:w="0" w:type="dxa"/>
              <w:right w:w="0" w:type="dxa"/>
            </w:tcMar>
            <w:vAlign w:val="center"/>
          </w:tcPr>
          <w:p>
            <w:pPr>
              <w:pStyle w:val="TableContents"/>
              <w:bidi w:val="0"/>
              <w:jc w:val="center"/>
            </w:pPr>
            <w:r>
              <w:t> </w:t>
            </w:r>
          </w:p>
          <w:p>
            <w:pPr>
              <w:pStyle w:val="TableContents"/>
              <w:bidi w:val="0"/>
              <w:jc w:val="center"/>
            </w:pPr>
            <w:r>
              <w:t> </w:t>
            </w:r>
          </w:p>
          <w:p>
            <w:pPr>
              <w:pStyle w:val="TableContents"/>
              <w:bidi w:val="0"/>
              <w:jc w:val="center"/>
            </w:pPr>
            <w:r>
              <w:t> </w:t>
            </w:r>
          </w:p>
          <w:p>
            <w:pPr>
              <w:pStyle w:val="TableContents"/>
              <w:bidi w:val="0"/>
              <w:jc w:val="center"/>
            </w:pPr>
            <w:r>
              <w:t> </w:t>
            </w:r>
          </w:p>
          <w:p>
            <w:pPr>
              <w:pStyle w:val="TableContents"/>
              <w:bidi w:val="0"/>
              <w:spacing w:before="0" w:after="283"/>
              <w:jc w:val="center"/>
            </w:pPr>
            <w:r>
              <w:t> </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glossary">
              <w:r>
                <w:rPr>
                  <w:rStyle w:val="InternetLink"/>
                  <w:rFonts w:ascii="Times New Roman" w:hAnsi="Times New Roman"/>
                  <w:color w:val="0000FF"/>
                  <w:sz w:val="20"/>
                  <w:u w:val="single"/>
                </w:rPr>
                <w:t>Glossary</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w:t>
            </w:r>
          </w:p>
        </w:tc>
      </w:tr>
      <w:tr>
        <w:tc>
          <w:tcPr>
            <w:tcW w:w="1051" w:type="dxa"/>
            <w:tcBorders/>
            <w:tcMar>
              <w:top w:w="0" w:type="dxa"/>
              <w:left w:w="0" w:type="dxa"/>
              <w:bottom w:w="0" w:type="dxa"/>
              <w:right w:w="0" w:type="dxa"/>
            </w:tcMar>
            <w:vAlign w:val="center"/>
          </w:tcPr>
          <w:p>
            <w:pPr>
              <w:pStyle w:val="TableContents"/>
              <w:bidi w:val="0"/>
              <w:spacing w:before="0" w:after="283"/>
              <w:jc w:val="left"/>
            </w:pPr>
            <w:r>
              <w:t> </w:t>
            </w:r>
          </w:p>
        </w:tc>
        <w:tc>
          <w:tcPr>
            <w:tcW w:w="7606" w:type="dxa"/>
            <w:tcBorders/>
            <w:tcMar>
              <w:top w:w="0" w:type="dxa"/>
              <w:left w:w="0" w:type="dxa"/>
              <w:bottom w:w="0" w:type="dxa"/>
              <w:right w:w="0" w:type="dxa"/>
            </w:tcMar>
            <w:vAlign w:val="center"/>
          </w:tcPr>
          <w:p>
            <w:pPr>
              <w:pStyle w:val="TableContents"/>
              <w:bidi w:val="0"/>
              <w:spacing w:before="0" w:after="283"/>
              <w:jc w:val="left"/>
            </w:pPr>
            <w: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autionary_note">
              <w:r>
                <w:rPr>
                  <w:rStyle w:val="InternetLink"/>
                  <w:rFonts w:ascii="Times New Roman" w:hAnsi="Times New Roman"/>
                  <w:color w:val="0000FF"/>
                  <w:sz w:val="20"/>
                  <w:u w:val="single"/>
                </w:rPr>
                <w:t>Cautionary Note Regarding Forward-Looking Statements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4</w:t>
            </w:r>
          </w:p>
        </w:tc>
      </w:tr>
      <w:tr>
        <w:tc>
          <w:tcPr>
            <w:tcW w:w="1051" w:type="dxa"/>
            <w:tcBorders/>
            <w:tcMar>
              <w:top w:w="0" w:type="dxa"/>
              <w:left w:w="0" w:type="dxa"/>
              <w:bottom w:w="0" w:type="dxa"/>
              <w:right w:w="0" w:type="dxa"/>
            </w:tcMar>
            <w:vAlign w:val="center"/>
          </w:tcPr>
          <w:p>
            <w:pPr>
              <w:pStyle w:val="TableContents"/>
              <w:bidi w:val="0"/>
              <w:spacing w:before="0" w:after="283"/>
              <w:jc w:val="left"/>
            </w:pPr>
            <w:r>
              <w:t> </w:t>
            </w:r>
          </w:p>
        </w:tc>
        <w:tc>
          <w:tcPr>
            <w:tcW w:w="7606" w:type="dxa"/>
            <w:tcBorders/>
            <w:tcMar>
              <w:top w:w="0" w:type="dxa"/>
              <w:left w:w="0" w:type="dxa"/>
              <w:bottom w:w="0" w:type="dxa"/>
              <w:right w:w="0" w:type="dxa"/>
            </w:tcMar>
            <w:vAlign w:val="center"/>
          </w:tcPr>
          <w:p>
            <w:pPr>
              <w:pStyle w:val="TableContents"/>
              <w:bidi w:val="0"/>
              <w:spacing w:before="0" w:after="283"/>
              <w:jc w:val="left"/>
            </w:pPr>
            <w:r>
              <w:t> </w:t>
            </w:r>
          </w:p>
        </w:tc>
        <w:tc>
          <w:tcPr>
            <w:tcW w:w="556" w:type="dxa"/>
            <w:tcBorders/>
            <w:tcMar>
              <w:top w:w="0" w:type="dxa"/>
              <w:left w:w="0" w:type="dxa"/>
              <w:bottom w:w="0" w:type="dxa"/>
              <w:right w:w="0" w:type="dxa"/>
            </w:tcMar>
            <w:vAlign w:val="center"/>
          </w:tcPr>
          <w:p>
            <w:pPr>
              <w:pStyle w:val="TableContents"/>
              <w:bidi w:val="0"/>
              <w:spacing w:before="0" w:after="283"/>
              <w:jc w:val="left"/>
            </w:pPr>
            <w:r>
              <w:t> </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balance_sheets">
              <w:r>
                <w:rPr>
                  <w:rStyle w:val="InternetLink"/>
                  <w:rFonts w:ascii="Times New Roman" w:hAnsi="Times New Roman"/>
                  <w:color w:val="0000FF"/>
                  <w:sz w:val="20"/>
                  <w:u w:val="single"/>
                </w:rPr>
                <w:t>Condensed Consolidated Balance Sheets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onsolidated_statements_of_operations">
              <w:r>
                <w:rPr>
                  <w:rStyle w:val="InternetLink"/>
                  <w:rFonts w:ascii="Times New Roman" w:hAnsi="Times New Roman"/>
                  <w:color w:val="0000FF"/>
                  <w:sz w:val="20"/>
                  <w:u w:val="single"/>
                </w:rPr>
                <w:t>Condensed Consolidated Statements of Operations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statements_of_comprehensive_loss">
              <w:r>
                <w:rPr>
                  <w:rStyle w:val="InternetLink"/>
                  <w:rFonts w:ascii="Times New Roman" w:hAnsi="Times New Roman"/>
                  <w:color w:val="0000FF"/>
                  <w:sz w:val="20"/>
                  <w:u w:val="single"/>
                </w:rPr>
                <w:t>Condensed Consolidated Statements of Comprehensive Loss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7</w:t>
            </w:r>
          </w:p>
        </w:tc>
      </w:tr>
      <w:tr>
        <w:tc>
          <w:tcPr>
            <w:tcW w:w="1051" w:type="dxa"/>
            <w:tcBorders/>
            <w:tcMar>
              <w:top w:w="0" w:type="dxa"/>
              <w:left w:w="0" w:type="dxa"/>
              <w:bottom w:w="0" w:type="dxa"/>
              <w:right w:w="0" w:type="dxa"/>
            </w:tcMar>
            <w:vAlign w:val="center"/>
          </w:tcPr>
          <w:p>
            <w:pPr>
              <w:pStyle w:val="TableContents"/>
              <w:bidi w:val="0"/>
              <w:spacing w:before="0" w:after="283"/>
              <w:jc w:val="left"/>
            </w:pPr>
            <w:r>
              <w:t> </w:t>
            </w:r>
          </w:p>
        </w:tc>
        <w:tc>
          <w:tcPr>
            <w:tcW w:w="7606"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jc w:val="left"/>
            </w:pPr>
            <w:r>
              <w:t> </w:t>
            </w:r>
          </w:p>
        </w:tc>
        <w:tc>
          <w:tcPr>
            <w:tcW w:w="556" w:type="dxa"/>
            <w:tcBorders/>
            <w:tcMar>
              <w:top w:w="0" w:type="dxa"/>
              <w:left w:w="0" w:type="dxa"/>
              <w:bottom w:w="0" w:type="dxa"/>
              <w:right w:w="0" w:type="dxa"/>
            </w:tcMar>
            <w:vAlign w:val="center"/>
          </w:tcPr>
          <w:p>
            <w:pPr>
              <w:pStyle w:val="TableContents"/>
              <w:bidi w:val="0"/>
              <w:spacing w:before="0" w:after="283"/>
              <w:jc w:val="left"/>
            </w:pPr>
            <w:r>
              <w:t> </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changes_in_members_equity">
              <w:r>
                <w:rPr>
                  <w:rStyle w:val="InternetLink"/>
                  <w:rFonts w:ascii="Times New Roman" w:hAnsi="Times New Roman"/>
                  <w:color w:val="0000FF"/>
                  <w:sz w:val="20"/>
                  <w:u w:val="single"/>
                </w:rPr>
                <w:t>Condensed Consolidated Statements of Changes in Total Equity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10</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notes_to_financial_statements">
              <w:r>
                <w:rPr>
                  <w:rStyle w:val="InternetLink"/>
                  <w:rFonts w:ascii="Times New Roman" w:hAnsi="Times New Roman"/>
                  <w:color w:val="0000FF"/>
                  <w:sz w:val="20"/>
                  <w:u w:val="single"/>
                </w:rPr>
                <w:t>Notes to the Condensed Consolidated 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11</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34</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56</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4_controls_and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57</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part_ii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58</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58</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58</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556" w:type="dxa"/>
            <w:tcBorders/>
            <w:tcMar>
              <w:top w:w="0" w:type="dxa"/>
              <w:left w:w="0" w:type="dxa"/>
              <w:bottom w:w="0" w:type="dxa"/>
              <w:right w:w="0" w:type="dxa"/>
            </w:tcMar>
            <w:vAlign w:val="center"/>
          </w:tcPr>
          <w:p>
            <w:pPr>
              <w:pStyle w:val="TableContents"/>
              <w:bidi w:val="0"/>
              <w:spacing w:before="0" w:after="20"/>
              <w:jc w:val="left"/>
            </w:pPr>
            <w:r>
              <w:t> </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2_unregistered_sales_of_equity">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59</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60</w:t>
            </w:r>
          </w:p>
        </w:tc>
      </w:tr>
      <w:tr>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60</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556" w:type="dxa"/>
            <w:tcBorders/>
            <w:tcMar>
              <w:top w:w="0" w:type="dxa"/>
              <w:left w:w="0" w:type="dxa"/>
              <w:bottom w:w="0" w:type="dxa"/>
              <w:right w:w="0" w:type="dxa"/>
            </w:tcMar>
            <w:vAlign w:val="center"/>
          </w:tcPr>
          <w:p>
            <w:pPr>
              <w:pStyle w:val="TableContents"/>
              <w:bidi w:val="0"/>
              <w:spacing w:before="0" w:after="20"/>
              <w:jc w:val="left"/>
            </w:pPr>
            <w:r>
              <w:t> </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5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60</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r>
              <w:t> </w:t>
            </w:r>
          </w:p>
        </w:tc>
        <w:tc>
          <w:tcPr>
            <w:tcW w:w="556" w:type="dxa"/>
            <w:tcBorders/>
            <w:tcMar>
              <w:top w:w="0" w:type="dxa"/>
              <w:left w:w="0" w:type="dxa"/>
              <w:bottom w:w="0" w:type="dxa"/>
              <w:right w:w="0" w:type="dxa"/>
            </w:tcMar>
            <w:vAlign w:val="center"/>
          </w:tcPr>
          <w:p>
            <w:pPr>
              <w:pStyle w:val="TableContents"/>
              <w:bidi w:val="0"/>
              <w:spacing w:before="0" w:after="20"/>
              <w:jc w:val="left"/>
            </w:pPr>
            <w:r>
              <w:t> </w:t>
            </w:r>
          </w:p>
        </w:tc>
      </w:tr>
      <w:tr>
        <w:tc>
          <w:tcPr>
            <w:tcW w:w="10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pPr>
            <w:hyperlink w:anchor="item_6_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61</w:t>
            </w:r>
          </w:p>
        </w:tc>
      </w:tr>
      <w:tr>
        <w:tc>
          <w:tcPr>
            <w:tcW w:w="86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57" w:type="dxa"/>
            <w:gridSpan w:val="2"/>
            <w:tcBorders/>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62</w:t>
            </w:r>
          </w:p>
        </w:tc>
      </w:tr>
    </w:tbl>
    <w:p>
      <w:pPr>
        <w:pStyle w:val="TextBody"/>
        <w:bidi w:val="0"/>
        <w:spacing w:before="24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jc w:val="center"/>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(“Quarterly Report”), the terms identified below have the meanings specified below unless otherwise noted or the context indicates otherwise. References in this Quarterly Report to “Definitive Healthcare Corp.” refer to Definitive Healthcare Corp. and not to any of its subsidiaries unless the context indicates otherwise. References in this Quarterly Report to “Definitive Healthcare,” “Definitive,” the “Company,” “we,” “us,” and “our” refer to Definitive Healthcare Corp. and its consolidated subsidiaries unless the context indicates otherwise.</w:t>
      </w:r>
    </w:p>
    <w:p>
      <w:pPr>
        <w:pStyle w:val="TextBody"/>
        <w:bidi w:val="0"/>
        <w:spacing w:before="120" w:after="283"/>
        <w:jc w:val="left"/>
        <w:rPr>
          <w:color w:val="000000"/>
        </w:rPr>
      </w:pPr>
      <w:r>
        <w:rPr>
          <w:color w:val="000000"/>
        </w:rPr>
        <w:t>•</w:t>
      </w:r>
    </w:p>
    <w:p>
      <w:pPr>
        <w:pStyle w:val="TextBody"/>
        <w:bidi w:val="0"/>
        <w:spacing w:before="120" w:after="283"/>
        <w:jc w:val="left"/>
      </w:pPr>
      <w:r>
        <w:rPr>
          <w:color w:val="000000"/>
        </w:rPr>
        <w:t>“</w:t>
      </w:r>
      <w:r>
        <w:rPr>
          <w:rFonts w:ascii="Times New Roman" w:hAnsi="Times New Roman"/>
          <w:color w:val="000000"/>
          <w:sz w:val="20"/>
          <w:u w:val="single"/>
        </w:rPr>
        <w:t>Advent</w:t>
      </w:r>
      <w:r>
        <w:rPr>
          <w:rFonts w:ascii="Times New Roman" w:hAnsi="Times New Roman"/>
          <w:color w:val="000000"/>
          <w:sz w:val="20"/>
        </w:rPr>
        <w:t>” 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AIDH Buyer</w:t>
      </w:r>
      <w:r>
        <w:rPr>
          <w:rFonts w:ascii="Times New Roman" w:hAnsi="Times New Roman"/>
          <w:color w:val="000000"/>
          <w:sz w:val="20"/>
        </w:rPr>
        <w:t>” refers to AIDH Buyer, LLC, which is a wholly owned subsidiary of Definitive OpCo (as the term is defined below)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AIDH Management Holdings, LLC</w:t>
      </w:r>
      <w:r>
        <w:rPr>
          <w:rFonts w:ascii="Times New Roman" w:hAnsi="Times New Roman"/>
          <w:color w:val="000000"/>
          <w:sz w:val="20"/>
        </w:rPr>
        <w:t>” is a special purpose investment vehicle through which certain persons, primarily employees and certain legacy investors, indirectly hold interests in Definitive OpCo.</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Amended LLC Agreement</w:t>
      </w:r>
      <w:r>
        <w:rPr>
          <w:rFonts w:ascii="Times New Roman" w:hAnsi="Times New Roman"/>
          <w:color w:val="000000"/>
          <w:sz w:val="20"/>
        </w:rPr>
        <w:t xml:space="preserve">” refers to the second amended and restated limited liability company agreement entered into by Definitive OpCo pursuant to which members have the right to exchange all or a portion of their LLC Units (as the term is defined below) for newly issued shares of Class A common stock in Definitive Healthcare Corp. </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ARR</w:t>
      </w:r>
      <w:r>
        <w:rPr>
          <w:rFonts w:ascii="Times New Roman" w:hAnsi="Times New Roman"/>
          <w:color w:val="000000"/>
          <w:sz w:val="20"/>
        </w:rPr>
        <w:t>” refers to annual recurring revenue as of period end, which is calculated by aggregating annual subscription revenue from committed contractual amounts for all existing customers during that period. ARR may also include, in rare circumstances, existing customers with expired contracts who have provided oral or written commitments to renew.</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Blocker Company</w:t>
      </w:r>
      <w:r>
        <w:rPr>
          <w:rFonts w:ascii="Times New Roman" w:hAnsi="Times New Roman"/>
          <w:color w:val="000000"/>
          <w:sz w:val="20"/>
        </w:rPr>
        <w:t>” or “</w:t>
      </w:r>
      <w:r>
        <w:rPr>
          <w:rFonts w:ascii="Times New Roman" w:hAnsi="Times New Roman"/>
          <w:color w:val="000000"/>
          <w:sz w:val="20"/>
          <w:u w:val="single"/>
        </w:rPr>
        <w:t>Blocker Companies</w:t>
      </w:r>
      <w:r>
        <w:rPr>
          <w:rFonts w:ascii="Times New Roman" w:hAnsi="Times New Roman"/>
          <w:color w:val="000000"/>
          <w:sz w:val="20"/>
        </w:rPr>
        <w:t>” refers to certain entities treated as corporations for U.S. federal income tax purposes that held LLC Units in Definitive OpCo which, through the Reorganization Transactions (as the term is defined below), were merged into Definitive Healthcare Corp. and are now holders of Class A common stock.</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Continuing Pre-IPO LLC Members</w:t>
      </w:r>
      <w:r>
        <w:rPr>
          <w:rFonts w:ascii="Times New Roman" w:hAnsi="Times New Roman"/>
          <w:color w:val="000000"/>
          <w:sz w:val="20"/>
        </w:rPr>
        <w:t>” 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Definitive OpCo</w:t>
      </w:r>
      <w:r>
        <w:rPr>
          <w:rFonts w:ascii="Times New Roman" w:hAnsi="Times New Roman"/>
          <w:color w:val="000000"/>
          <w:sz w:val="20"/>
        </w:rPr>
        <w:t>” 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DH Holdings</w:t>
      </w:r>
      <w:r>
        <w:rPr>
          <w:rFonts w:ascii="Times New Roman" w:hAnsi="Times New Roman"/>
          <w:color w:val="000000"/>
          <w:sz w:val="20"/>
        </w:rPr>
        <w:t>” refers to Definitive Healthcare Holdings, LLC, a Delaware limited liability company and wholly owned subsidiary of AIDH Buyer.</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IPO</w:t>
      </w:r>
      <w:r>
        <w:rPr>
          <w:rFonts w:ascii="Times New Roman" w:hAnsi="Times New Roman"/>
          <w:color w:val="000000"/>
          <w:sz w:val="20"/>
        </w:rPr>
        <w:t>” 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LLC Units</w:t>
      </w:r>
      <w:r>
        <w:rPr>
          <w:rFonts w:ascii="Times New Roman" w:hAnsi="Times New Roman"/>
          <w:color w:val="000000"/>
          <w:sz w:val="20"/>
        </w:rPr>
        <w:t>” 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NDR</w:t>
      </w:r>
      <w:r>
        <w:rPr>
          <w:rFonts w:ascii="Times New Roman" w:hAnsi="Times New Roman"/>
          <w:color w:val="000000"/>
          <w:sz w:val="20"/>
        </w:rPr>
        <w:t>” or “</w:t>
      </w:r>
      <w:r>
        <w:rPr>
          <w:rFonts w:ascii="Times New Roman" w:hAnsi="Times New Roman"/>
          <w:color w:val="000000"/>
          <w:sz w:val="20"/>
          <w:u w:val="single"/>
        </w:rPr>
        <w:t>Net Dollar Retention Rate</w:t>
      </w:r>
      <w:r>
        <w:rPr>
          <w:rFonts w:ascii="Times New Roman" w:hAnsi="Times New Roman"/>
          <w:color w:val="000000"/>
          <w:sz w:val="20"/>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Pre-IPO LLC Members</w:t>
      </w:r>
      <w:r>
        <w:rPr>
          <w:rFonts w:ascii="Times New Roman" w:hAnsi="Times New Roman"/>
          <w:color w:val="000000"/>
          <w:sz w:val="20"/>
        </w:rPr>
        <w:t>” refers to certain affiliates of Spectrum Equity (as the term is defined below), Jason Krantz, DH Holdings, AIDH Management Holdings, LLC,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Reorganization Parties</w:t>
      </w:r>
      <w:r>
        <w:rPr>
          <w:rFonts w:ascii="Times New Roman" w:hAnsi="Times New Roman"/>
          <w:color w:val="000000"/>
          <w:sz w:val="20"/>
        </w:rPr>
        <w:t>” 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Reorganization Transactions</w:t>
      </w:r>
      <w:r>
        <w:rPr>
          <w:rFonts w:ascii="Times New Roman" w:hAnsi="Times New Roman"/>
          <w:color w:val="000000"/>
          <w:sz w:val="20"/>
        </w:rPr>
        <w:t xml:space="preserve">” refers to transactions completed in connection with the Company’s IPO as defined within Note 1. </w:t>
      </w:r>
      <w:r>
        <w:rPr>
          <w:rFonts w:ascii="Times New Roman" w:hAnsi="Times New Roman"/>
          <w:i/>
          <w:color w:val="000000"/>
          <w:sz w:val="20"/>
        </w:rPr>
        <w:t>Organization and Basis of Presentation</w:t>
      </w:r>
      <w:r>
        <w:rPr>
          <w:rFonts w:ascii="Times New Roman" w:hAnsi="Times New Roman"/>
          <w:color w:val="000000"/>
          <w:sz w:val="20"/>
        </w:rPr>
        <w:t xml:space="preserve"> included in Part I, Item 1 of this Quarterly Report.</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Spectrum Equity</w:t>
      </w:r>
      <w:r>
        <w:rPr>
          <w:rFonts w:ascii="Times New Roman" w:hAnsi="Times New Roman"/>
          <w:color w:val="000000"/>
          <w:sz w:val="20"/>
        </w:rPr>
        <w:t>” 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Sponsors</w:t>
      </w:r>
      <w:r>
        <w:rPr>
          <w:rFonts w:ascii="Times New Roman" w:hAnsi="Times New Roman"/>
          <w:color w:val="000000"/>
          <w:sz w:val="20"/>
        </w:rPr>
        <w:t>” refers collectively to Advent and Spectrum Equity.</w:t>
      </w:r>
    </w:p>
    <w:p>
      <w:pPr>
        <w:pStyle w:val="TextBody"/>
        <w:bidi w:val="0"/>
        <w:spacing w:before="0" w:after="0"/>
        <w:jc w:val="left"/>
        <w:rPr>
          <w:color w:val="000000"/>
        </w:rPr>
      </w:pPr>
      <w:r>
        <w:rPr>
          <w:color w:val="000000"/>
        </w:rPr>
        <w:t>•</w:t>
      </w:r>
    </w:p>
    <w:p>
      <w:pPr>
        <w:pStyle w:val="TextBody"/>
        <w:bidi w:val="0"/>
        <w:spacing w:before="0" w:after="0"/>
        <w:jc w:val="left"/>
      </w:pPr>
      <w:r>
        <w:rPr>
          <w:color w:val="000000"/>
        </w:rPr>
        <w:t>“</w:t>
      </w:r>
      <w:r>
        <w:rPr>
          <w:rFonts w:ascii="Times New Roman" w:hAnsi="Times New Roman"/>
          <w:color w:val="000000"/>
          <w:sz w:val="20"/>
          <w:u w:val="single"/>
        </w:rPr>
        <w:t>TRA</w:t>
      </w:r>
      <w:r>
        <w:rPr>
          <w:rFonts w:ascii="Times New Roman" w:hAnsi="Times New Roman"/>
          <w:color w:val="000000"/>
          <w:sz w:val="20"/>
        </w:rPr>
        <w:t xml:space="preserve">” refers to the Tax Receivable Agreement between Definitive Healthcare Corp., Definitive OpCo, and the TRA Parties (as the term is defined below).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0" w:after="0"/>
        <w:jc w:val="left"/>
        <w:rPr>
          <w:color w:val="000000"/>
        </w:rPr>
      </w:pPr>
      <w:r>
        <w:rPr>
          <w:color w:val="000000"/>
        </w:rPr>
        <w:t>•</w:t>
      </w:r>
    </w:p>
    <w:p>
      <w:pPr>
        <w:pStyle w:val="TextBody"/>
        <w:bidi w:val="0"/>
        <w:jc w:val="left"/>
      </w:pPr>
      <w:r>
        <w:rPr>
          <w:color w:val="000000"/>
        </w:rPr>
        <w:t>“</w:t>
      </w:r>
      <w:r>
        <w:rPr>
          <w:rFonts w:ascii="Times New Roman" w:hAnsi="Times New Roman"/>
          <w:color w:val="000000"/>
          <w:sz w:val="20"/>
          <w:u w:val="single"/>
        </w:rPr>
        <w:t>TRA Parties</w:t>
      </w:r>
      <w:r>
        <w:rPr>
          <w:rFonts w:ascii="Times New Roman" w:hAnsi="Times New Roman"/>
          <w:color w:val="000000"/>
          <w:sz w:val="20"/>
        </w:rPr>
        <w:t>” refers to the Continuing Pre-IPO LLC Members, the Reorganization Parties, and any future party to the TRA.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(i) our dependence on third parties, including public sources, for data, information, and other services, and our relationships with such third parties; (ii) increased accessibility to free or relatively inexpensive information sources; (iii) our ability to maintain high annual renewal rates; (iv) our ability to compete in the highly competitive industry in which we operate, and potential adverse effects of this competition; (v) our ability to maintain revenues if our products and services do not achieve and maintain broad market acceptance, or if we are unable to keep pace with or adapt to rapidly changing technology, evolving industry standards, macroeconomic market conditions, and changing regulatory requirements; (vi) changes in government policy positions, including trade policy, spending priorities, or reductions in government programs, government spending, or research funding; (vii) our loss of, or inability to attract and retain, key personnel; (viii) the effectiveness of our business plans; (ix) our ability to derive fully the anticipated benefits from organic growth, existing or future acquisitions, joint ventures, investments, or dispositions; (x) our exposure to risk from having operations and employees in other countries; (xi) our exposure to risk from the international scope of our operations, including potentially adverse tax consequences from the international scope of our operations and our corporate and financing structure; (xii) the strength of our brand and reputation; (xiii) our level of indebtedness, which could adversely affect our business, financial condition, and results of operations; (xiv) our ability to maintain the listing of our Class A common stock on Nasdaq; (xv) our ability to obtain, protect, defend, or enforce our intellectual property rights; (xvi) our ability to leverage artificial intelligence technologies (“AI”) in our products and services, including generative AI, large language models, machine learning, and other AI tools; (xvii) any significant disruption in or unauthorized access to or breaches of our computer systems or those of third parties that we utilize in our operations, including those relating to cybersecurity or arising from cyberattacks; (xviii) our use of “open source” software in our products and services; (xix) our ability to comply with applicable data protection and privacy laws; (xx) uncertainties as to whether we enter into any transaction with Advent International, L.P., on behalf of certain of its managed funds (collectively, “Advent”), or any other party, and, if so, the timing and our ability to realize the anticipated benefits thereof, and the effects of any of the foregoing on relationships with employees, clients or other business partners; (xxi) any disruptions to our business and uncertainty among our clients, employees and investors as a result of our Chief Executive Officer transition; and (xxii) other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reasons described above, we caution you against relying on any forward-looking statements, which should also be read in conjunction with Part I, Item 1A, “Risk Factors,” in our Annual Report on Form 10-K for the year ended December 31, 2025 (the “2025 Form 10-K”) filed with the Securities and Exchange Commission (“SEC”) on February 26, 2026,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4" w:name="part_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429"/>
        <w:gridCol w:w="246"/>
        <w:gridCol w:w="234"/>
        <w:gridCol w:w="1035"/>
        <w:gridCol w:w="166"/>
        <w:gridCol w:w="246"/>
        <w:gridCol w:w="232"/>
        <w:gridCol w:w="1024"/>
        <w:gridCol w:w="593"/>
      </w:tblGrid>
      <w:tr>
        <w:tc>
          <w:tcPr>
            <w:tcW w:w="64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163,627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257,605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106,917,881 and 104,020,957 shares issued and outstanding at September 30,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38,094,660 and 38,339,076 shares issued and outstanding at September 30, 2026 and December 31, 2025,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1,061,965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(779,506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4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378,992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4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notes to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operations"/>
      <w:bookmarkEnd w:id="6"/>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amounts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1652" w:type="dxa"/>
        <w:jc w:val="left"/>
        <w:tblInd w:w="0" w:type="dxa"/>
        <w:tblLayout w:type="fixed"/>
        <w:tblCellMar>
          <w:top w:w="28" w:type="dxa"/>
          <w:left w:w="28" w:type="dxa"/>
          <w:bottom w:w="28" w:type="dxa"/>
          <w:right w:w="28" w:type="dxa"/>
        </w:tblCellMar>
      </w:tblPr>
      <w:tblGrid>
        <w:gridCol w:w="2551"/>
        <w:gridCol w:w="1346"/>
        <w:gridCol w:w="211"/>
        <w:gridCol w:w="1141"/>
        <w:gridCol w:w="266"/>
        <w:gridCol w:w="246"/>
        <w:gridCol w:w="211"/>
        <w:gridCol w:w="1141"/>
        <w:gridCol w:w="266"/>
        <w:gridCol w:w="246"/>
        <w:gridCol w:w="211"/>
        <w:gridCol w:w="1141"/>
        <w:gridCol w:w="266"/>
        <w:gridCol w:w="246"/>
        <w:gridCol w:w="211"/>
        <w:gridCol w:w="1141"/>
        <w:gridCol w:w="811"/>
      </w:tblGrid>
      <w:t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(213,004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income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Gain (loss) on remeasurement of Tax Receivable Agreement liability</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on partial extinguishment of debt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(209,494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Class A common stock outstanding: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 and 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106,767,169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103,783,012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105,758,581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107,760,787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omprehensive_loss"/>
      <w:bookmarkEnd w:id="7"/>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154"/>
        <w:gridCol w:w="146"/>
        <w:gridCol w:w="246"/>
        <w:gridCol w:w="738"/>
        <w:gridCol w:w="194"/>
        <w:gridCol w:w="170"/>
        <w:gridCol w:w="246"/>
        <w:gridCol w:w="861"/>
        <w:gridCol w:w="166"/>
        <w:gridCol w:w="146"/>
        <w:gridCol w:w="220"/>
        <w:gridCol w:w="879"/>
        <w:gridCol w:w="173"/>
        <w:gridCol w:w="152"/>
        <w:gridCol w:w="220"/>
        <w:gridCol w:w="879"/>
        <w:gridCol w:w="615"/>
      </w:tblGrid>
      <w:tr>
        <w:tc>
          <w:tcPr>
            <w:tcW w:w="4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c>
          <w:tcPr>
            <w:tcW w:w="4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interest rate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41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41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sz w:val="18"/>
        </w:rPr>
      </w:pPr>
      <w:bookmarkStart w:id="8" w:name="changes_in_members_equity"/>
      <w:bookmarkEnd w:id="8"/>
      <w:r>
        <w:rPr>
          <w:rFonts w:ascii="Times New Roman" w:hAnsi="Times New Roman"/>
          <w:b/>
          <w:color w:val="000000"/>
          <w:sz w:val="18"/>
        </w:rPr>
        <w:t>CONDENSED CONSOLIDATED STATEMENTS OF CHANGES IN TOTAL EQUITY</w:t>
      </w:r>
      <w:r>
        <w:rPr>
          <w:rFonts w:ascii="Times New Roman" w:hAnsi="Times New Roman"/>
          <w:color w:val="000000"/>
          <w:sz w:val="18"/>
        </w:rPr>
        <w:t xml:space="preserve"> </w:t>
      </w:r>
    </w:p>
    <w:p>
      <w:pPr>
        <w:pStyle w:val="TextBody"/>
        <w:bidi w:val="0"/>
        <w:jc w:val="center"/>
        <w:rPr>
          <w:rFonts w:ascii="Times New Roman" w:hAnsi="Times New Roman"/>
          <w:sz w:val="18"/>
        </w:rPr>
      </w:pPr>
      <w:r>
        <w:rPr>
          <w:rFonts w:ascii="Times New Roman" w:hAnsi="Times New Roman"/>
          <w:i/>
          <w:color w:val="000000"/>
          <w:sz w:val="18"/>
        </w:rPr>
        <w:t>(in thousands, except share amounts)</w:t>
      </w:r>
      <w:r>
        <w:rPr>
          <w:rFonts w:ascii="Times New Roman" w:hAnsi="Times New Roman"/>
          <w:color w:val="000000"/>
          <w:sz w:val="18"/>
        </w:rPr>
        <w:t xml:space="preserve"> </w:t>
      </w:r>
    </w:p>
    <w:p>
      <w:pPr>
        <w:pStyle w:val="TextBody"/>
        <w:bidi w:val="0"/>
        <w:jc w:val="center"/>
        <w:rPr>
          <w:rFonts w:ascii="Times New Roman" w:hAnsi="Times New Roman"/>
          <w:sz w:val="18"/>
        </w:rPr>
      </w:pPr>
      <w:r>
        <w:rPr>
          <w:rFonts w:ascii="Times New Roman" w:hAnsi="Times New Roman"/>
          <w:i/>
          <w:color w:val="000000"/>
          <w:sz w:val="18"/>
        </w:rPr>
        <w:t>(Unaudited)</w:t>
      </w:r>
      <w:r>
        <w:rPr>
          <w:rFonts w:ascii="Times New Roman" w:hAnsi="Times New Roman"/>
          <w:color w:val="000000"/>
          <w:sz w:val="18"/>
        </w:rPr>
        <w:t xml:space="preserve"> </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33"/>
        <w:gridCol w:w="788"/>
        <w:gridCol w:w="166"/>
        <w:gridCol w:w="196"/>
        <w:gridCol w:w="751"/>
        <w:gridCol w:w="211"/>
      </w:tblGrid>
      <w:t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104,020,957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38,339,076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1,061,965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(779,506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378,992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1,647,663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105,263,448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38,225,333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1,065,811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(918,127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44,465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190,699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1,528,449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2026</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106,405,766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38,094,660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1,069,701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(923,549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187,865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September 30, 2026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10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106,917,881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38,094,660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2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1,073,725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(927,441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188,463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0794" w:type="dxa"/>
            <w:gridSpan w:val="2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b/>
          <w:color w:val="000000"/>
          <w:sz w:val="18"/>
        </w:rPr>
      </w:pPr>
      <w:r>
        <w:rPr>
          <w:rFonts w:ascii="Times New Roman" w:hAnsi="Times New Roman"/>
          <w:b/>
          <w:color w:val="000000"/>
          <w:sz w:val="18"/>
        </w:rPr>
        <w:t>DEFINITIVE HEALTHCARE CORP.</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CHANGES IN TOTAL EQUITY (CONTINUED)</w:t>
      </w:r>
    </w:p>
    <w:p>
      <w:pPr>
        <w:pStyle w:val="TextBody"/>
        <w:bidi w:val="0"/>
        <w:jc w:val="center"/>
        <w:rPr>
          <w:rFonts w:ascii="Times New Roman" w:hAnsi="Times New Roman"/>
          <w:sz w:val="18"/>
        </w:rPr>
      </w:pPr>
      <w:r>
        <w:rPr>
          <w:rFonts w:ascii="Times New Roman" w:hAnsi="Times New Roman"/>
          <w:i/>
          <w:color w:val="000000"/>
          <w:sz w:val="18"/>
        </w:rPr>
        <w:t>(in thousands, except share amounts)</w:t>
      </w:r>
      <w:r>
        <w:rPr>
          <w:rFonts w:ascii="Times New Roman" w:hAnsi="Times New Roman"/>
          <w:color w:val="000000"/>
          <w:sz w:val="18"/>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1005" w:type="dxa"/>
        <w:jc w:val="left"/>
        <w:tblInd w:w="0" w:type="dxa"/>
        <w:tblLayout w:type="fixed"/>
        <w:tblCellMar>
          <w:top w:w="28" w:type="dxa"/>
          <w:left w:w="28" w:type="dxa"/>
          <w:bottom w:w="28" w:type="dxa"/>
          <w:right w:w="28" w:type="dxa"/>
        </w:tblCellMar>
      </w:tblPr>
      <w:tblGrid>
        <w:gridCol w:w="1171"/>
        <w:gridCol w:w="146"/>
        <w:gridCol w:w="1006"/>
        <w:gridCol w:w="166"/>
        <w:gridCol w:w="196"/>
        <w:gridCol w:w="376"/>
        <w:gridCol w:w="166"/>
        <w:gridCol w:w="146"/>
        <w:gridCol w:w="916"/>
        <w:gridCol w:w="166"/>
        <w:gridCol w:w="206"/>
        <w:gridCol w:w="365"/>
        <w:gridCol w:w="146"/>
        <w:gridCol w:w="196"/>
        <w:gridCol w:w="826"/>
        <w:gridCol w:w="166"/>
        <w:gridCol w:w="196"/>
        <w:gridCol w:w="751"/>
        <w:gridCol w:w="166"/>
        <w:gridCol w:w="260"/>
        <w:gridCol w:w="761"/>
        <w:gridCol w:w="166"/>
        <w:gridCol w:w="225"/>
        <w:gridCol w:w="796"/>
        <w:gridCol w:w="166"/>
        <w:gridCol w:w="196"/>
        <w:gridCol w:w="751"/>
        <w:gridCol w:w="211"/>
      </w:tblGrid>
      <w:t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113,953,554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39,439,198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(5,604,751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Forfeited unvested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March 31, 2025</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109,646,157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38,997,184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1,071,732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(747,802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113,129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435,905</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Vested incentive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654,437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(5,959,137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Distributions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June 30,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104,746,981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38,395,357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(755,353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411,233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Class A common stock upon 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(2,316,978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 of changes in LLC ownership, including LLC Unit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at September 30, 2025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10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103,011,649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38,349,047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1,056,482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(770,191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104,820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389,670</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r>
        <w:tc>
          <w:tcPr>
            <w:tcW w:w="1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0794" w:type="dxa"/>
            <w:gridSpan w:val="2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statements_of_cash_flows"/>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before="0" w:after="120"/>
        <w:jc w:val="center"/>
        <w:rPr>
          <w:rFonts w:ascii="Times New Roman" w:hAnsi="Times New Roman"/>
          <w:i/>
          <w:color w:val="000000"/>
          <w:sz w:val="20"/>
        </w:rPr>
      </w:pPr>
      <w:r>
        <w:rPr>
          <w:rFonts w:ascii="Times New Roman" w:hAnsi="Times New Roman"/>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796"/>
        <w:gridCol w:w="946"/>
        <w:gridCol w:w="207"/>
        <w:gridCol w:w="796"/>
        <w:gridCol w:w="282"/>
        <w:gridCol w:w="260"/>
        <w:gridCol w:w="207"/>
        <w:gridCol w:w="796"/>
        <w:gridCol w:w="915"/>
      </w:tblGrid>
      <w:tr>
        <w:tc>
          <w:tcPr>
            <w:tcW w:w="57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provided by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(205,212</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(182,150</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Adjustments to reconcile net loss to 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3,311</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2,312</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intangible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36,334</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39,903</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11,125</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11,931</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Equity-based compensation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15,999</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20,983</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Amortization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Write-off of deferred offering costs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467</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Recovery of doubtful 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Loss on partial extinguishment of debt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Non-cash restructuring charges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Goodwill impairment charges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Tax Receivable Agreement remeasurement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(6,754</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(10,623</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Changes in fair value of contingent consideration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(3,970</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income taxes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(4,394</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(10,310</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22,634</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19,351</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(3,481</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contract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(8,120</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(9,376</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(10,035</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Deferred revenue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(18,667</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(1,468</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provided by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34,442</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51,057</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property, equipment, and data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(8,530</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(12,280</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Purchases of 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(64,065</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Maturities of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17,326</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173,869</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cash (used in) provided by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(3,704</w:t>
            </w:r>
          </w:p>
        </w:tc>
        <w:tc>
          <w:tcPr>
            <w:tcW w:w="282"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pPr>
            <w: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97,524</w:t>
            </w:r>
          </w:p>
        </w:tc>
        <w:tc>
          <w:tcPr>
            <w:tcW w:w="9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Cash flows (used in)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Repayments of term loan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(6,563</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(250,625</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Proceeds from term loan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175,000</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of debt issuance costs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(1,660</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Taxes paid related to net share settlement of equity awards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(1,697</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(3,546</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Repurchases of Class A common stock</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(49,452</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Payments under Tax Receivable Agreement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(8,077</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(13,767</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Member distributions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(2,827</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Net cash used in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(16,337</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(146,877</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Net increase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14,401</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1,704</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Effect of exchange rate changes on 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(890</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beginning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163,627</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105,378</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and cash equivalents, end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177,138</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108,317</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Supplemental cash flow disclosures: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Cash paid during the period for:</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Interest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7,370</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8,071</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7"/>
              </w:rPr>
            </w:pPr>
            <w:r>
              <w:rPr>
                <w:rFonts w:ascii="Times New Roman" w:hAnsi="Times New Roman"/>
                <w:color w:val="000000"/>
                <w:sz w:val="17"/>
              </w:rPr>
              <w:t>Income taxes, net of refunds received</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328</w:t>
            </w:r>
          </w:p>
        </w:tc>
        <w:tc>
          <w:tcPr>
            <w:tcW w:w="2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7"/>
              </w:rPr>
            </w:pPr>
            <w:r>
              <w:rPr>
                <w:rFonts w:ascii="Times New Roman" w:hAnsi="Times New Roman"/>
                <w:b/>
                <w:color w:val="000000"/>
                <w:sz w:val="17"/>
              </w:rPr>
              <w:t>Supplemental disclosure of non-cash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Capital expenditures included in accounts payable and accrued expenses and other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2,198</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6,711</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10" w:name="notes_to_financial_statements"/>
      <w:bookmarkEnd w:id="10"/>
      <w:r>
        <w:rPr>
          <w:rFonts w:ascii="Times New Roman" w:hAnsi="Times New Roman"/>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36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 and 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(“the Company”) is a leading provider of healthcare data and analytics, which provides accurate, comprehensive information on healthcare providers and their activities, enabling customers to make informed decisions across product development, go-to-market planning, and sales and marketing execution. The Company also offers claims and consumer analytics built from modeled data on millions of unique consumers to help healthcare organizations target, message, and engage specific healthcare audiences.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which is headquartered in Framingham, Massachusetts, was founded in 2011 and incorporated as Definitive Healthcare Corp. in May 2021 for the purposes of facilitating an IPO of its Class A common stock, which was completed on September 17,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 completed the following transactions (the “Reorganization Transactions”): Definitive OpCo entered into the Amended LLC Agreement pursuant to which members of Definitive OpCo prior to the IPO who continued to hold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the Company’s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the Company, and subsequently merged into the Company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The Company operates and controls all of the business and affairs of Definitive OpCo, and through Definitive OpCo and its subsidiaries, conducts its business. Accordingly, the Company consolidates the financial results of Definitive OpCo, and reports the noncontrolling interests of unexchanged LLC Unit holders on its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the Company entered into a TRA. See Note 15.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unaudited condensed consolidated financial statements as of September 30, 2026 and for the three and nine months ended September 30, 2026 and 2025 are unaudited and should be read in conjunction with the Company’s audited financial statements for the year ended December 31, 2025. All adjustments, consisting of normal recurring adjustments, except as otherwise noted, considered, in the opinion of management, necessary for a fair presentation of the unaudited condensed consolidated financial statements for these interim periods have been included.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2025 Form 10-K for the Company’s significant accounting policies and estimates.</w:t>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 in the Preparation of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Nasdaq’s Minimum Bid Price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18, 2026, the Company received a written notice from the Listing Qualifications Department of The Nasdaq Stock Market LLC (“Nasdaq”) indicating that the Company was not in compliance with the minimum bid price requirement for continued listing on The Nasdaq Global Select Market because the closing bid price of the Company’s common stock was below $1.00 per share for 30 consecutive business days. On October 30, 2026, Nasdaq notified the Company that for the last 10 consecutive business days, from October 16, 2026 to October 29, 2026, the closing bid price of the Company’s common stock had been $1.00 per share or greater and, accordingly, the Company had regained compliance with Nasdaq Listing Rule 5450(a)(1) and the matter was closed.</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Non-Binding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announced, on September 2, 2026, the Special Committee of the Board of Directors (the “Special Committee”), consisting solely of independent and disinterested directors, received a non-binding indication of interest from Advent to acquire all outstanding shares of the Company’s Class A common stock and all outstanding LLC Units, in each case, not already owned by Advent or Jason Krantz, the Company’s founder and Executive Chairman. The Special Committee is reviewing and evaluating the proposal and any alternatives thereto with the assistance of its independent legal and financial advisors. No decisions have been made with respect to the Company’s response to the proposal or any alternative thereto, and there can be no assurance that the Company will pursue the proposed transaction or any other strategic alternative, or that any transaction will be approved or consummated.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Disaggregation of Income Statement Expenses (Subtopic 220-40) </w:t>
      </w:r>
      <w:r>
        <w:rPr>
          <w:rFonts w:ascii="Times New Roman" w:hAnsi="Times New Roman"/>
          <w:color w:val="000000"/>
          <w:sz w:val="20"/>
        </w:rPr>
        <w:t>(“ASU 2024-03”). ASU 2024-03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ASU 2024-03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Intangibles-Goodwill and Other-Internal-Use Software </w:t>
      </w:r>
      <w:r>
        <w:rPr>
          <w:rFonts w:ascii="Times New Roman" w:hAnsi="Times New Roman"/>
          <w:color w:val="000000"/>
          <w:sz w:val="20"/>
        </w:rPr>
        <w:t>(“ASU 2025-06”). ASU 2025-06 modernizes and clarifies the threshold for when an entity is required to begin capitalizing software costs and is based on when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reporting periods, with early adoption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 xml:space="preserve">Derivatives and Hedging (Topic 815) and Revenue from Contracts with Customers (Topic 606): Derivative Scope Refinements and Scope Clarification for Share-Based Noncash Consideration from a Customer in a Revenue Contract </w:t>
      </w:r>
      <w:r>
        <w:rPr>
          <w:rFonts w:ascii="Times New Roman" w:hAnsi="Times New Roman"/>
          <w:color w:val="000000"/>
          <w:sz w:val="20"/>
        </w:rPr>
        <w:t>(“ASU 2025-07”), which refines the scope Topic 815 and clarifies which contracts are subject to derivative accounting. The guidance also provides clarification under Topic 606 for share-based payments from a customer in a revenue contract. The amendments in ASU 2025-07 are effective for fiscal years beginning after December 15, 2026, and interim reporting periods, with early adoption permitted. The Company is currently assessing the impact, if any, that adoption of this new accounting standard will have on its unaudited condensed consolidated financial statements and footnote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other new accounting pronouncements issued or effective during the first nine months of the current year have had, or are expected to have, a material impact on the Company’s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2.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from its arrangements with customers by type of service as it believes these categories best depict how the nature, amount, timing, and uncertainty of revenue and cash flows are affected by economic factors. The opening balance of accounts receivable as of January 1, 2025 was $53.2 million.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three and nine months ended September 30, 2026 and 2025, respectively: </w:t>
      </w:r>
    </w:p>
    <w:tbl>
      <w:tblPr>
        <w:tblW w:w="8151" w:type="dxa"/>
        <w:jc w:val="left"/>
        <w:tblInd w:w="0" w:type="dxa"/>
        <w:tblLayout w:type="fixed"/>
        <w:tblCellMar>
          <w:top w:w="28" w:type="dxa"/>
          <w:left w:w="28" w:type="dxa"/>
          <w:bottom w:w="28" w:type="dxa"/>
          <w:right w:w="28" w:type="dxa"/>
        </w:tblCellMar>
      </w:tblPr>
      <w:tblGrid>
        <w:gridCol w:w="1946"/>
        <w:gridCol w:w="246"/>
        <w:gridCol w:w="250"/>
        <w:gridCol w:w="801"/>
        <w:gridCol w:w="291"/>
        <w:gridCol w:w="291"/>
        <w:gridCol w:w="250"/>
        <w:gridCol w:w="801"/>
        <w:gridCol w:w="246"/>
        <w:gridCol w:w="246"/>
        <w:gridCol w:w="221"/>
        <w:gridCol w:w="818"/>
        <w:gridCol w:w="257"/>
        <w:gridCol w:w="257"/>
        <w:gridCol w:w="221"/>
        <w:gridCol w:w="818"/>
        <w:gridCol w:w="191"/>
      </w:tblGrid>
      <w:t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159,052</w:t>
            </w:r>
          </w:p>
        </w:tc>
        <w:tc>
          <w:tcPr>
            <w:tcW w:w="2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165,774</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for the nine months ended September 30, 2026 and the year ended December 31, 2025 is presented below: </w:t>
      </w:r>
    </w:p>
    <w:tbl>
      <w:tblPr>
        <w:tblW w:w="10205" w:type="dxa"/>
        <w:jc w:val="left"/>
        <w:tblInd w:w="0" w:type="dxa"/>
        <w:tblLayout w:type="fixed"/>
        <w:tblCellMar>
          <w:top w:w="28" w:type="dxa"/>
          <w:left w:w="28" w:type="dxa"/>
          <w:bottom w:w="28" w:type="dxa"/>
          <w:right w:w="28" w:type="dxa"/>
        </w:tblCellMar>
      </w:tblPr>
      <w:tblGrid>
        <w:gridCol w:w="3809"/>
        <w:gridCol w:w="646"/>
        <w:gridCol w:w="567"/>
        <w:gridCol w:w="1979"/>
        <w:gridCol w:w="266"/>
        <w:gridCol w:w="246"/>
        <w:gridCol w:w="462"/>
        <w:gridCol w:w="1616"/>
        <w:gridCol w:w="614"/>
      </w:tblGrid>
      <w:tr>
        <w:tc>
          <w:tcPr>
            <w:tcW w:w="38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3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8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809"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8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07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809"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809"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25,606</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nine months ended September 30, 2026 and for the year ended December 31, 2025 is presented below: </w:t>
      </w:r>
    </w:p>
    <w:tbl>
      <w:tblPr>
        <w:tblW w:w="9110" w:type="dxa"/>
        <w:jc w:val="left"/>
        <w:tblInd w:w="0" w:type="dxa"/>
        <w:tblLayout w:type="fixed"/>
        <w:tblCellMar>
          <w:top w:w="28" w:type="dxa"/>
          <w:left w:w="28" w:type="dxa"/>
          <w:bottom w:w="28" w:type="dxa"/>
          <w:right w:w="28" w:type="dxa"/>
        </w:tblCellMar>
      </w:tblPr>
      <w:tblGrid>
        <w:gridCol w:w="2741"/>
        <w:gridCol w:w="246"/>
        <w:gridCol w:w="601"/>
        <w:gridCol w:w="2399"/>
        <w:gridCol w:w="266"/>
        <w:gridCol w:w="246"/>
        <w:gridCol w:w="481"/>
        <w:gridCol w:w="1919"/>
        <w:gridCol w:w="211"/>
      </w:tblGrid>
      <w:tr>
        <w:tc>
          <w:tcPr>
            <w:tcW w:w="2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The Company’s backlog represents installment billings for periods beyond the current billing cycle. The majority of the Company’s noncurrent remaining performance obligations will be recognized in the next 13 to 36 months.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w:t>
      </w:r>
    </w:p>
    <w:tbl>
      <w:tblPr>
        <w:tblW w:w="5190" w:type="dxa"/>
        <w:jc w:val="left"/>
        <w:tblInd w:w="0" w:type="dxa"/>
        <w:tblLayout w:type="fixed"/>
        <w:tblCellMar>
          <w:top w:w="28" w:type="dxa"/>
          <w:left w:w="28" w:type="dxa"/>
          <w:bottom w:w="28" w:type="dxa"/>
          <w:right w:w="28" w:type="dxa"/>
        </w:tblCellMar>
      </w:tblPr>
      <w:tblGrid>
        <w:gridCol w:w="1226"/>
        <w:gridCol w:w="646"/>
        <w:gridCol w:w="242"/>
        <w:gridCol w:w="898"/>
        <w:gridCol w:w="246"/>
        <w:gridCol w:w="246"/>
        <w:gridCol w:w="233"/>
        <w:gridCol w:w="862"/>
        <w:gridCol w:w="591"/>
      </w:tblGrid>
      <w:t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142,563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201,616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3. Short-Term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w:t>
      </w:r>
    </w:p>
    <w:tbl>
      <w:tblPr>
        <w:tblW w:w="8514" w:type="dxa"/>
        <w:jc w:val="left"/>
        <w:tblInd w:w="0" w:type="dxa"/>
        <w:tblLayout w:type="fixed"/>
        <w:tblCellMar>
          <w:top w:w="28" w:type="dxa"/>
          <w:left w:w="28" w:type="dxa"/>
          <w:bottom w:w="28" w:type="dxa"/>
          <w:right w:w="28" w:type="dxa"/>
        </w:tblCellMar>
      </w:tblPr>
      <w:tblGrid>
        <w:gridCol w:w="2546"/>
        <w:gridCol w:w="646"/>
        <w:gridCol w:w="296"/>
        <w:gridCol w:w="949"/>
        <w:gridCol w:w="246"/>
        <w:gridCol w:w="246"/>
        <w:gridCol w:w="686"/>
        <w:gridCol w:w="1129"/>
        <w:gridCol w:w="246"/>
        <w:gridCol w:w="246"/>
        <w:gridCol w:w="211"/>
        <w:gridCol w:w="676"/>
        <w:gridCol w:w="391"/>
      </w:tblGrid>
      <w:tr>
        <w:tc>
          <w:tcPr>
            <w:tcW w:w="25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9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514" w:type="dxa"/>
        <w:jc w:val="left"/>
        <w:tblInd w:w="0" w:type="dxa"/>
        <w:tblLayout w:type="fixed"/>
        <w:tblCellMar>
          <w:top w:w="28" w:type="dxa"/>
          <w:left w:w="28" w:type="dxa"/>
          <w:bottom w:w="28" w:type="dxa"/>
          <w:right w:w="28" w:type="dxa"/>
        </w:tblCellMar>
      </w:tblPr>
      <w:tblGrid>
        <w:gridCol w:w="2546"/>
        <w:gridCol w:w="646"/>
        <w:gridCol w:w="296"/>
        <w:gridCol w:w="949"/>
        <w:gridCol w:w="246"/>
        <w:gridCol w:w="246"/>
        <w:gridCol w:w="725"/>
        <w:gridCol w:w="1090"/>
        <w:gridCol w:w="246"/>
        <w:gridCol w:w="246"/>
        <w:gridCol w:w="211"/>
        <w:gridCol w:w="676"/>
        <w:gridCol w:w="391"/>
      </w:tblGrid>
      <w:tr>
        <w:tc>
          <w:tcPr>
            <w:tcW w:w="25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9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September 30, 2026 and December 31, 2025 is net accumulated accretion of nil and $0.3 million, respectively. Interest accretion on short-term investments was $0.1 million and $0.8 million during the three months ended September 30, 2026 and 2025, respectively, and $0.4 million and $2.7 million during the nine months ended September 30,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Accounts receivable, net consisted of the following:</w:t>
      </w:r>
    </w:p>
    <w:tbl>
      <w:tblPr>
        <w:tblW w:w="7200" w:type="dxa"/>
        <w:jc w:val="left"/>
        <w:tblInd w:w="0" w:type="dxa"/>
        <w:tblLayout w:type="fixed"/>
        <w:tblCellMar>
          <w:top w:w="28" w:type="dxa"/>
          <w:left w:w="28" w:type="dxa"/>
          <w:bottom w:w="28" w:type="dxa"/>
          <w:right w:w="28" w:type="dxa"/>
        </w:tblCellMar>
      </w:tblPr>
      <w:tblGrid>
        <w:gridCol w:w="3216"/>
        <w:gridCol w:w="646"/>
        <w:gridCol w:w="271"/>
        <w:gridCol w:w="869"/>
        <w:gridCol w:w="266"/>
        <w:gridCol w:w="246"/>
        <w:gridCol w:w="260"/>
        <w:gridCol w:w="835"/>
        <w:gridCol w:w="591"/>
      </w:tblGrid>
      <w:tr>
        <w:tc>
          <w:tcPr>
            <w:tcW w:w="3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credit losses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Prepaid Expenses and 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Prepaid expenses and other assets consisted of the following:</w:t>
      </w:r>
    </w:p>
    <w:tbl>
      <w:tblPr>
        <w:tblW w:w="6100" w:type="dxa"/>
        <w:jc w:val="left"/>
        <w:tblInd w:w="0" w:type="dxa"/>
        <w:tblLayout w:type="fixed"/>
        <w:tblCellMar>
          <w:top w:w="28" w:type="dxa"/>
          <w:left w:w="28" w:type="dxa"/>
          <w:bottom w:w="28" w:type="dxa"/>
          <w:right w:w="28" w:type="dxa"/>
        </w:tblCellMar>
      </w:tblPr>
      <w:tblGrid>
        <w:gridCol w:w="2936"/>
        <w:gridCol w:w="246"/>
        <w:gridCol w:w="271"/>
        <w:gridCol w:w="869"/>
        <w:gridCol w:w="246"/>
        <w:gridCol w:w="246"/>
        <w:gridCol w:w="260"/>
        <w:gridCol w:w="835"/>
        <w:gridCol w:w="191"/>
      </w:tblGrid>
      <w:tr>
        <w:tc>
          <w:tcPr>
            <w:tcW w:w="29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receivables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net consisted of the following: </w:t>
      </w:r>
    </w:p>
    <w:tbl>
      <w:tblPr>
        <w:tblW w:w="8595" w:type="dxa"/>
        <w:jc w:val="left"/>
        <w:tblInd w:w="0" w:type="dxa"/>
        <w:tblLayout w:type="fixed"/>
        <w:tblCellMar>
          <w:top w:w="28" w:type="dxa"/>
          <w:left w:w="28" w:type="dxa"/>
          <w:bottom w:w="28" w:type="dxa"/>
          <w:right w:w="28" w:type="dxa"/>
        </w:tblCellMar>
      </w:tblPr>
      <w:tblGrid>
        <w:gridCol w:w="4611"/>
        <w:gridCol w:w="646"/>
        <w:gridCol w:w="254"/>
        <w:gridCol w:w="886"/>
        <w:gridCol w:w="266"/>
        <w:gridCol w:w="246"/>
        <w:gridCol w:w="260"/>
        <w:gridCol w:w="835"/>
        <w:gridCol w:w="591"/>
      </w:tblGrid>
      <w:t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purchased software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Internally developed software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27,751</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83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22,188</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pPr>
            <w:r>
              <w:t> </w:t>
            </w:r>
          </w:p>
        </w:tc>
      </w:tr>
      <w:t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associated with property and equipment was $1.2 million and $0.8 million during the three months ended September 30, 2026 and 2025, respectively, and $3.3 million and $2.3 million during the nine months ended September 30,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7. Goodwill and Intangible Assets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carrying amounts of goodwill and intangible assets, as of September 30, 2026 and December 31, 2025, consisted of the following: </w:t>
      </w:r>
    </w:p>
    <w:tbl>
      <w:tblPr>
        <w:tblW w:w="8405" w:type="dxa"/>
        <w:jc w:val="left"/>
        <w:tblInd w:w="0" w:type="dxa"/>
        <w:tblLayout w:type="fixed"/>
        <w:tblCellMar>
          <w:top w:w="28" w:type="dxa"/>
          <w:left w:w="28" w:type="dxa"/>
          <w:bottom w:w="28" w:type="dxa"/>
          <w:right w:w="28" w:type="dxa"/>
        </w:tblCellMar>
      </w:tblPr>
      <w:tblGrid>
        <w:gridCol w:w="3011"/>
        <w:gridCol w:w="646"/>
        <w:gridCol w:w="211"/>
        <w:gridCol w:w="781"/>
        <w:gridCol w:w="246"/>
        <w:gridCol w:w="246"/>
        <w:gridCol w:w="216"/>
        <w:gridCol w:w="865"/>
        <w:gridCol w:w="266"/>
        <w:gridCol w:w="246"/>
        <w:gridCol w:w="229"/>
        <w:gridCol w:w="851"/>
        <w:gridCol w:w="591"/>
      </w:tblGrid>
      <w:tr>
        <w:tc>
          <w:tcPr>
            <w:tcW w:w="30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601,752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(390,408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570" w:type="dxa"/>
        <w:jc w:val="left"/>
        <w:tblInd w:w="0" w:type="dxa"/>
        <w:tblLayout w:type="fixed"/>
        <w:tblCellMar>
          <w:top w:w="28" w:type="dxa"/>
          <w:left w:w="28" w:type="dxa"/>
          <w:bottom w:w="28" w:type="dxa"/>
          <w:right w:w="28" w:type="dxa"/>
        </w:tblCellMar>
      </w:tblPr>
      <w:tblGrid>
        <w:gridCol w:w="3176"/>
        <w:gridCol w:w="646"/>
        <w:gridCol w:w="211"/>
        <w:gridCol w:w="781"/>
        <w:gridCol w:w="246"/>
        <w:gridCol w:w="246"/>
        <w:gridCol w:w="216"/>
        <w:gridCol w:w="865"/>
        <w:gridCol w:w="266"/>
        <w:gridCol w:w="246"/>
        <w:gridCol w:w="229"/>
        <w:gridCol w:w="851"/>
        <w:gridCol w:w="591"/>
      </w:tblGrid>
      <w:t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17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798,954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(354,258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associated with finite-lived intangible assets was $11.3 million and $13.2 million during the three months ended September 30, 2026 and 2025, respectively, of which $3.8 million and $5.0 million was included in cost of revenue during each respective period. Amortization expense associated with finite-lived intangible assets was $36.3 million and $39.9 million during the nine months ended September 30, 2026 and 2025, respectively, of which $14.0 million and $15.6 million was included in cost of revenue during each respective period.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Estimated total intangible amortization expense during the next five years and thereafter is as follows:</w:t>
      </w:r>
    </w:p>
    <w:tbl>
      <w:tblPr>
        <w:tblW w:w="6340" w:type="dxa"/>
        <w:jc w:val="left"/>
        <w:tblInd w:w="0" w:type="dxa"/>
        <w:tblLayout w:type="fixed"/>
        <w:tblCellMar>
          <w:top w:w="28" w:type="dxa"/>
          <w:left w:w="28" w:type="dxa"/>
          <w:bottom w:w="28" w:type="dxa"/>
          <w:right w:w="28" w:type="dxa"/>
        </w:tblCellMar>
      </w:tblPr>
      <w:tblGrid>
        <w:gridCol w:w="5011"/>
        <w:gridCol w:w="146"/>
        <w:gridCol w:w="211"/>
        <w:gridCol w:w="781"/>
        <w:gridCol w:w="191"/>
      </w:tblGrid>
      <w:t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excluding the nine months ended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Goodwill and acquired intangible assets are initially recorded at fair value and tested periodically for impairment. The Company estimates the fair value of these assets using primarily unobservable inputs, which are considered Level 3 fair value measurements as defined in Note 11. </w:t>
      </w:r>
      <w:r>
        <w:rPr>
          <w:rFonts w:ascii="Times New Roman" w:hAnsi="Times New Roman"/>
          <w:i/>
          <w:color w:val="000000"/>
          <w:sz w:val="20"/>
        </w:rPr>
        <w:t>Fair Value Measurements</w:t>
      </w:r>
      <w:r>
        <w:rPr>
          <w:rFonts w:ascii="Times New Roman" w:hAnsi="Times New Roman"/>
          <w:color w:val="000000"/>
          <w:sz w:val="20"/>
        </w:rPr>
        <w:t>. The Company traditionally performs an impairment test of goodwill during the fourth quarter of each fiscal year and more frequently if indicators of potential impairment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the Company experienced declines in its market capitalization as a result of sustained decreases in the Company’s stock price, which represented a triggering event requiring management to perform a quantitative goodwill impairment test as of the end of the reporting period. As a result of the impairment test, the Company determined that the fair value of its single reporting unit was lower than its carrying value and, accordingly, recorded a non-cash, pretax, goodwill impairment charge of $197.2 million during the first quarter of 2026. The goodwill impairment charge did not affect the Company’s liquidity or the financial covenants in its outstanding debt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calculating the goodwill impairment charges, the Company estimated the fair value of its single reporting unit based on its market capitalization and an appropriate control premium. Market capitalization is determined by multiplying the number of shares of Class A common stock outstanding by the market price of its Class A common stock. The control premium, or the amount paid by a new controlling shareholder for the benefits resulting from synergies and other potential benefits derived from controlling the acquired company, is determined by utilizing data from publicly available premium studies for similarly situated public company transactions. A goodwill impairment loss is recognized for the difference between the carrying value of the reporting unit and the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recorded a non-cash, pretax, goodwill impairment charge of $176.5 million during the first quarter of 2025 based on a triggering event driven by declines in its market capitalization as a result of sustained decreases in the Company’s stock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and for the periods ended September 30, 2026 and December 31, 2025, goodwill consisted of the following:</w:t>
      </w:r>
    </w:p>
    <w:tbl>
      <w:tblPr>
        <w:tblW w:w="7060" w:type="dxa"/>
        <w:jc w:val="left"/>
        <w:tblInd w:w="0" w:type="dxa"/>
        <w:tblLayout w:type="fixed"/>
        <w:tblCellMar>
          <w:top w:w="28" w:type="dxa"/>
          <w:left w:w="28" w:type="dxa"/>
          <w:bottom w:w="28" w:type="dxa"/>
          <w:right w:w="28" w:type="dxa"/>
        </w:tblCellMar>
      </w:tblPr>
      <w:tblGrid>
        <w:gridCol w:w="3166"/>
        <w:gridCol w:w="146"/>
        <w:gridCol w:w="271"/>
        <w:gridCol w:w="1274"/>
        <w:gridCol w:w="166"/>
        <w:gridCol w:w="146"/>
        <w:gridCol w:w="277"/>
        <w:gridCol w:w="1223"/>
        <w:gridCol w:w="391"/>
      </w:tblGrid>
      <w:t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6795" w:type="dxa"/>
        <w:jc w:val="left"/>
        <w:tblInd w:w="0" w:type="dxa"/>
        <w:tblLayout w:type="fixed"/>
        <w:tblCellMar>
          <w:top w:w="28" w:type="dxa"/>
          <w:left w:w="28" w:type="dxa"/>
          <w:bottom w:w="28" w:type="dxa"/>
          <w:right w:w="28" w:type="dxa"/>
        </w:tblCellMar>
      </w:tblPr>
      <w:tblGrid>
        <w:gridCol w:w="2901"/>
        <w:gridCol w:w="146"/>
        <w:gridCol w:w="271"/>
        <w:gridCol w:w="1274"/>
        <w:gridCol w:w="166"/>
        <w:gridCol w:w="146"/>
        <w:gridCol w:w="263"/>
        <w:gridCol w:w="1237"/>
        <w:gridCol w:w="391"/>
      </w:tblGrid>
      <w:t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gross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(1,172,318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also considered its intangible assets with finite useful lives, which are amortized over their estimated useful lives, generally on a straight-line basis or using the economic consumption method if anticipated future revenues can be reasonably estimated. These assets are reviewed for impairment when facts or circumstances indicate that the carrying values may not be recoverable. The Company experienced triggering events during the first quarter of fiscal years 2026 and 2025 resulting from declines in the Company’s market capitalization driven by sustained decreases in the Company’s stock price. In each case, the Company’s intangible assets were reviewed for impairment. Based on quantitative and qualitative analyses performed, management concluded the assets were recoverable and no impairment charges were recorded as a result of these triggering events.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8. Accrued Expenses and Other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w:t>
      </w:r>
    </w:p>
    <w:tbl>
      <w:tblPr>
        <w:tblW w:w="7120" w:type="dxa"/>
        <w:jc w:val="left"/>
        <w:tblInd w:w="0" w:type="dxa"/>
        <w:tblLayout w:type="fixed"/>
        <w:tblCellMar>
          <w:top w:w="28" w:type="dxa"/>
          <w:left w:w="28" w:type="dxa"/>
          <w:bottom w:w="28" w:type="dxa"/>
          <w:right w:w="28" w:type="dxa"/>
        </w:tblCellMar>
      </w:tblPr>
      <w:tblGrid>
        <w:gridCol w:w="3956"/>
        <w:gridCol w:w="246"/>
        <w:gridCol w:w="271"/>
        <w:gridCol w:w="869"/>
        <w:gridCol w:w="246"/>
        <w:gridCol w:w="246"/>
        <w:gridCol w:w="260"/>
        <w:gridCol w:w="835"/>
        <w:gridCol w:w="191"/>
      </w:tblGrid>
      <w:tr>
        <w:tc>
          <w:tcPr>
            <w:tcW w:w="39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 liability,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liability for data contract termination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matters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capital data expenditures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During the first quarter of 2026, the Company committed to a restructuring plan (the “2026 Restructuring Plan”) intended to reduce operating costs, improve operating margins, and continue advancing the Company’s ongoing commitment to profitable growth. The 2026 Restructuring Plan provided for a reduction of the Company’s current workforce by approximately 40 people. During the first quarter of 2026, the Company incurred restructuring and related charges of approximately $1.1 million, consisting of severance payments, employee benefits, and related cash expenses, which were recognized within transaction, integration, and restructuring expenses in the unaudited condensed consolidated statements of operations. No additional charges were incurred during the second or third quarters of 2026. As of September 30, 2026, less than $0.1 million was included in accrued expenses and other liabilities in the unaudited condensed consolidated balance sheets. The Company expects these payments will be made in the fourth quarter of 2026. There were no charges incurred during the three months ended September 30, 2025 related to previous restructuring plans, and charges incurred during the nine months ended September 30, 2025 were not material.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sets forth the activity in the Company’s liabilities resulting from the 2026 Restructuring Plan:</w:t>
      </w:r>
    </w:p>
    <w:tbl>
      <w:tblPr>
        <w:tblW w:w="4863" w:type="dxa"/>
        <w:jc w:val="left"/>
        <w:tblInd w:w="0" w:type="dxa"/>
        <w:tblLayout w:type="fixed"/>
        <w:tblCellMar>
          <w:top w:w="28" w:type="dxa"/>
          <w:left w:w="28" w:type="dxa"/>
          <w:bottom w:w="28" w:type="dxa"/>
          <w:right w:w="28" w:type="dxa"/>
        </w:tblCellMar>
      </w:tblPr>
      <w:tblGrid>
        <w:gridCol w:w="2741"/>
        <w:gridCol w:w="246"/>
        <w:gridCol w:w="371"/>
        <w:gridCol w:w="1114"/>
        <w:gridCol w:w="391"/>
      </w:tblGrid>
      <w:tr>
        <w:tc>
          <w:tcPr>
            <w:tcW w:w="2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br/>
              <w:t>Restructuring Plan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Charges incurred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payments made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September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does not expect to incur further material restructuring and related charges associated with the 2026 Restructuring Plan during the remainder of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Regarding contingent consideration associated with a prior acquisition, the Company determined that the earnout revenue targets were partially achieved for the calendar year 2024 performance period and were not achieved for the calendar year 2025 performance period. In May 2025, former equity holders of the acquired company delivered a notice asserting that the performance conditions for the 2024 performance period were satisfied at a higher payout tier than was calculated by the Company and that additional consideration was due. The Company disputed this assertion and believed that, based on its interpretation of the purchase agreement and its calculation of the applicable performance metrics, no additional amounts were payable. The parties subsequently engaged in litigation regarding this matter.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third quarter of 2026, and prior to the issuance of the Company’s financial statements for the second quarter of 2026, the Company entered into a settlement agreement with the former equity holders that fully resolved all claims related to the disputed earnout arrangement. Pursuant to the settlement, the Company agreed to make a payment of $7.5 million, which is expected to be paid during the fourth quarter of 2026. The Company recorded the resulting $1.5 million incremental liability in the second quarter of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September 30, 2026, the $7.5 million liability associated with the earnout matter was included within accrued expenses and other liabilities in the accompanying unaudited condensed consolidated balance sheets. The liability consisted of $3.0 million of contingent consideration measured at fair value, which is reflected within contingent consideration, current in the table above, and $4.5 million of loss contingency and settlement-related accruals, which are reflected within accrued legal matters in the table above.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table below summarizes the components of the liability associated with the earnout matter:</w:t>
      </w:r>
    </w:p>
    <w:tbl>
      <w:tblPr>
        <w:tblW w:w="9749" w:type="dxa"/>
        <w:jc w:val="left"/>
        <w:tblInd w:w="0" w:type="dxa"/>
        <w:tblLayout w:type="fixed"/>
        <w:tblCellMar>
          <w:top w:w="28" w:type="dxa"/>
          <w:left w:w="28" w:type="dxa"/>
          <w:bottom w:w="28" w:type="dxa"/>
          <w:right w:w="28" w:type="dxa"/>
        </w:tblCellMar>
      </w:tblPr>
      <w:tblGrid>
        <w:gridCol w:w="7421"/>
        <w:gridCol w:w="246"/>
        <w:gridCol w:w="417"/>
        <w:gridCol w:w="1128"/>
        <w:gridCol w:w="246"/>
        <w:gridCol w:w="291"/>
      </w:tblGrid>
      <w:tr>
        <w:tc>
          <w:tcPr>
            <w:tcW w:w="74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7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Contingent consideration measured at fair value (see Note 11. </w:t>
            </w:r>
            <w:r>
              <w:rPr>
                <w:rFonts w:ascii="Times New Roman" w:hAnsi="Times New Roman"/>
                <w:i/>
                <w:color w:val="000000"/>
                <w:sz w:val="20"/>
              </w:rPr>
              <w:t>Fair Value Measurements</w:t>
            </w: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Previously recorded loss contingency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Incremental adjustment resulting from settlement recorded in the second quarter of 2026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7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liability associated with earnout matter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9. Long-Term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Long-term debt consisted of the following as of September 30, 2026 and December 31, 2025, respectively: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159,688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3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7591"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353"/>
        <w:gridCol w:w="1057"/>
        <w:gridCol w:w="166"/>
        <w:gridCol w:w="146"/>
        <w:gridCol w:w="211"/>
        <w:gridCol w:w="781"/>
        <w:gridCol w:w="191"/>
      </w:tblGrid>
      <w:t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a credit agreement, as amended (the “2021 Credit Agreement”), providing for a $175.0 million term loan facility (the “2021 Term Loan”) and a $50.0 million revolving credit facility (the “Revolving Credit Facility”), each of which matures on January 16, 2030. The 2021 Term Loan and the Revolving Credit Facility bear interest at a rate per annum equal to (a) ABR (as defined in the 2021 Credit Agreement) or (b) Term SOFR (as defined in the 2021 Credit Agreement) for the interest period in effect for the applicable borrowing, in each case, plus an applicable margin based on a grid ranging from 1.00% to 1.50% for ABR borrowings and 2.00% to 2.50% for Term SOFR borrowings. The interest rates are subject to two step-ups of 0.25% based on the total net leverage ratio of DH Holdings and its restricted subsidiaries on a consolidated basis (the “Total Net Leverage Ratio”). In addition, DH Holdings will pay an unused commitment fee of between 0.25% and 0.30% on the undrawn commitments under the Revolving Credit Facility, also depending on the Total Net Leverage Ratio. The expense is included in interest expense in the unaudited condensed consolidated statements of operations. The obligations under the 2021 Credit Agreement are secured by pledges of assets as described in the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the Company repaid $6.6 million in outstanding principal of the 2021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the Company had no outstanding borrowings under the Revolving Credit Facility and had $49.7 million of available borrowing capacity after giving effect to $0.3 million of outstanding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in compliance with its financial covenants under the 2021 Credit Agreement as of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financing costs related to the Revolving Credit Facility, which were included in other assets in the unaudited condensed consolidated balance sheets, were $0.4 million and $0.5 million as of September 30, 2026 and December 31, 2025, respectively.</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Derivative Instruments and Hedging Activities</w:t>
      </w:r>
    </w:p>
    <w:p>
      <w:pPr>
        <w:pStyle w:val="TextBody"/>
        <w:bidi w:val="0"/>
        <w:spacing w:before="24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9.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cap contracts, in order to manage its exposure to interest rate movements. Interest rate caps designated as cash flow hedges involve the receipt of variable-rate amounts from a counterparty if interest rates rise above the strike rate on the contract in exchange for an up-front premium. The Company’s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entered into two interest rate cap agreements, effective March 31, 2025. The two interest rate cap agreements each have a notional value of $63.9 million as of September 30, 2026, with an interest rate cap of 4.50%. Interest payment receipts under the caps, if any, are made monthly on a net settlement basis. The Company has not recorded any amounts due to ineffectiveness for the period ended September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derivative interest rate caps are designated and qualify as cash flow hedges. Consequently, the change in the estimated fair value of the effective portion of the derivative is recognized in accumulated other comprehensive (deficit) income (“AOCI”) on the unaudited condensed consolidated balance sheets and reclassified to interest expense, net, when the underlying transaction has an impact on earnings. The Company expects to recognize $0.4 million of net pre-tax losses from accumulated other comprehensive income as a charge to interest expense in the next twelve months associated with its interest rate caps.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values of the interest rate caps as of September 30, 2026 and December 31, 2025 were recorded in the Company’s unaudited condensed consolidated balance sheets as follows:</w:t>
      </w:r>
    </w:p>
    <w:tbl>
      <w:tblPr>
        <w:tblW w:w="9522" w:type="dxa"/>
        <w:jc w:val="left"/>
        <w:tblInd w:w="0" w:type="dxa"/>
        <w:tblLayout w:type="fixed"/>
        <w:tblCellMar>
          <w:top w:w="28" w:type="dxa"/>
          <w:left w:w="28" w:type="dxa"/>
          <w:bottom w:w="28" w:type="dxa"/>
          <w:right w:w="28" w:type="dxa"/>
        </w:tblCellMar>
      </w:tblPr>
      <w:tblGrid>
        <w:gridCol w:w="2381"/>
        <w:gridCol w:w="246"/>
        <w:gridCol w:w="2921"/>
        <w:gridCol w:w="246"/>
        <w:gridCol w:w="417"/>
        <w:gridCol w:w="1128"/>
        <w:gridCol w:w="246"/>
        <w:gridCol w:w="246"/>
        <w:gridCol w:w="499"/>
        <w:gridCol w:w="1001"/>
        <w:gridCol w:w="191"/>
      </w:tblGrid>
      <w:t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11.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Level 1 – Observable inputs (unadjusted) that reflect unadjusted quoted prices in active markets for identical assets or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accounts payable, long-term and short-term debt, derivative financial instruments, and contingent consideration payable. The estimated fair value of cash included in cash and cash equivalents, accounts receivable, and accounts payable approximates their carrying value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short- and long-term debt are recorded at their carrying values in the unaudited condensed consolidated balance sheets, which may differ from their respective fair values. The estimated fair values of the Company’s short- and long-term debt approximate their carrying values as of September 30, 2026 and December 31, 2025, based on interest rates currently available to the Company for similar borrowings.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interest rate caps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September 30, 2026 and December 31, 2025 were classified as Level 2 in the fair value hierarchy.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consideration resulting from a previous acquisition, which was subject to meeting certain revenue metrics during calendar years 2024 and 2025, is measured at fair value on a recurring basis. At September 30, 2026, management estimated the fair value of the contingent consideration liability to be $3.0 million based on its assessment of the amount payable under the earnout provisions of the acquisition agreement, all of which was included in accrued expenses and other liabilities in the unaudited condensed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additional information regarding this contingent consideration, including the settlement of a dispute with the former equity holders, see Note 8. </w:t>
      </w:r>
      <w:r>
        <w:rPr>
          <w:rFonts w:ascii="Times New Roman" w:hAnsi="Times New Roman"/>
          <w:i/>
          <w:color w:val="000000"/>
          <w:sz w:val="20"/>
        </w:rPr>
        <w:t>Accrued Expenses and Other Liabilities</w:t>
      </w:r>
      <w:r>
        <w:rPr>
          <w:rFonts w:ascii="Times New Roman" w:hAnsi="Times New Roman"/>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10205" w:type="dxa"/>
        <w:jc w:val="left"/>
        <w:tblInd w:w="0" w:type="dxa"/>
        <w:tblLayout w:type="fixed"/>
        <w:tblCellMar>
          <w:top w:w="28" w:type="dxa"/>
          <w:left w:w="28" w:type="dxa"/>
          <w:bottom w:w="28" w:type="dxa"/>
          <w:right w:w="28" w:type="dxa"/>
        </w:tblCellMar>
      </w:tblPr>
      <w:tblGrid>
        <w:gridCol w:w="3907"/>
        <w:gridCol w:w="646"/>
        <w:gridCol w:w="710"/>
        <w:gridCol w:w="1924"/>
        <w:gridCol w:w="246"/>
        <w:gridCol w:w="246"/>
        <w:gridCol w:w="534"/>
        <w:gridCol w:w="1598"/>
        <w:gridCol w:w="394"/>
      </w:tblGrid>
      <w:tr>
        <w:tc>
          <w:tcPr>
            <w:tcW w:w="390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c>
          <w:tcPr>
            <w:tcW w:w="3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907"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period</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5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September 30, 2026 and December 31, 2025, assets and liabilities measured at fair value on a recurring basis were as follows:</w:t>
      </w:r>
    </w:p>
    <w:tbl>
      <w:tblPr>
        <w:tblW w:w="8927"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676"/>
        <w:gridCol w:w="146"/>
        <w:gridCol w:w="146"/>
        <w:gridCol w:w="211"/>
        <w:gridCol w:w="571"/>
        <w:gridCol w:w="591"/>
      </w:tblGrid>
      <w:t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8822" w:type="dxa"/>
        <w:jc w:val="left"/>
        <w:tblInd w:w="0" w:type="dxa"/>
        <w:tblLayout w:type="fixed"/>
        <w:tblCellMar>
          <w:top w:w="28" w:type="dxa"/>
          <w:left w:w="28" w:type="dxa"/>
          <w:bottom w:w="28" w:type="dxa"/>
          <w:right w:w="28" w:type="dxa"/>
        </w:tblCellMar>
      </w:tblPr>
      <w:tblGrid>
        <w:gridCol w:w="3371"/>
        <w:gridCol w:w="246"/>
        <w:gridCol w:w="211"/>
        <w:gridCol w:w="676"/>
        <w:gridCol w:w="246"/>
        <w:gridCol w:w="246"/>
        <w:gridCol w:w="211"/>
        <w:gridCol w:w="676"/>
        <w:gridCol w:w="246"/>
        <w:gridCol w:w="246"/>
        <w:gridCol w:w="211"/>
        <w:gridCol w:w="571"/>
        <w:gridCol w:w="146"/>
        <w:gridCol w:w="146"/>
        <w:gridCol w:w="211"/>
        <w:gridCol w:w="571"/>
        <w:gridCol w:w="591"/>
      </w:tblGrid>
      <w:tr>
        <w:tc>
          <w:tcPr>
            <w:tcW w:w="3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72,392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contracts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September 30, 2026 and December 31, 2025, the estimated fair values of all of the Company’s financial assets and liabilities subject to the three-level fair value hierarchy approximated their carrying values due to their short-term maturities (less than 12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and equipment, lease right-of-use assets, goodwill, and other intangible assets, are measured at fair value on a non-recurring basis. These assets are remeasured when the derived fair value is below the carrying value on the Company’s unaudited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of the notes to the consolidated financial statements in the 2025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controls all of the business and affairs of Definitive OpCo, and through Definitive OpCo and its subsidiaries, conducts its business. Accordingly, the Company consolidates the financial results of Definitive OpCo, and reports the noncontrolling interests of its consolidated subsidiaries on its unaudited condensed consolidated financial statements based on the LLC Units held by Continuing Pre-IPO LLC Members other than the Company. Changes in the Company’s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unaudited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244,416 LLC Units held by Continuing Pre-IPO LLC Members were exchanged for shares of Class A common stock of the Company pursuant to the terms of the Amended LLC Agreement. In addition, 3,994,190 restricted stock units (“RSUs”) vested and 1,341,682 shares of Class A common stock were withheld to cover withholding tax obligations, resulting in the net issuance of 2,652,508 shares of Class A common stock of the Company. Pursuant to the Definitive OpCo second amended and restated limited liability company agreement entered into in connection with the IPO, LLC Units were issued on a one-for-one basis in connection with the vesting of RSUs.</w:t>
      </w:r>
    </w:p>
    <w:p>
      <w:pPr>
        <w:pStyle w:val="TextBody"/>
        <w:bidi w:val="0"/>
        <w:spacing w:before="120" w:after="283"/>
        <w:jc w:val="left"/>
        <w:rPr>
          <w:rFonts w:ascii="Times New Roman" w:hAnsi="Times New Roman"/>
          <w:sz w:val="20"/>
        </w:rPr>
      </w:pPr>
      <w:r>
        <w:rPr>
          <w:rFonts w:ascii="Times New Roman" w:hAnsi="Times New Roman"/>
          <w:color w:val="000000"/>
          <w:sz w:val="20"/>
        </w:rPr>
        <w:t>As of September 30, 2026 and December 31, 2025, the Company held ownership interests in Definitive OpCo of 73.7% and 73.1%, respectively, and noncontrolling interests of 26.3% and 26.9%, respectively</w:t>
      </w:r>
      <w:r>
        <w:rPr>
          <w:rFonts w:ascii="Times New Roman" w:hAnsi="Times New Roman"/>
          <w:color w:val="000000"/>
          <w:sz w:val="24"/>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Accumulated Other Comprehensive (Deficit)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summarize the changes in AOCI for the three and nine months ended September 30, 2026 and 2025, respectively. </w:t>
      </w:r>
    </w:p>
    <w:tbl>
      <w:tblPr>
        <w:tblW w:w="10315" w:type="dxa"/>
        <w:jc w:val="left"/>
        <w:tblInd w:w="0" w:type="dxa"/>
        <w:tblLayout w:type="fixed"/>
        <w:tblCellMar>
          <w:top w:w="28" w:type="dxa"/>
          <w:left w:w="28" w:type="dxa"/>
          <w:bottom w:w="28" w:type="dxa"/>
          <w:right w:w="28" w:type="dxa"/>
        </w:tblCellMar>
      </w:tblPr>
      <w:tblGrid>
        <w:gridCol w:w="1426"/>
        <w:gridCol w:w="222"/>
        <w:gridCol w:w="664"/>
        <w:gridCol w:w="166"/>
        <w:gridCol w:w="364"/>
        <w:gridCol w:w="597"/>
        <w:gridCol w:w="146"/>
        <w:gridCol w:w="306"/>
        <w:gridCol w:w="700"/>
        <w:gridCol w:w="166"/>
        <w:gridCol w:w="211"/>
        <w:gridCol w:w="631"/>
        <w:gridCol w:w="166"/>
        <w:gridCol w:w="146"/>
        <w:gridCol w:w="222"/>
        <w:gridCol w:w="664"/>
        <w:gridCol w:w="166"/>
        <w:gridCol w:w="345"/>
        <w:gridCol w:w="616"/>
        <w:gridCol w:w="166"/>
        <w:gridCol w:w="306"/>
        <w:gridCol w:w="700"/>
        <w:gridCol w:w="166"/>
        <w:gridCol w:w="211"/>
        <w:gridCol w:w="631"/>
        <w:gridCol w:w="211"/>
      </w:tblGrid>
      <w:tr>
        <w:tc>
          <w:tcPr>
            <w:tcW w:w="1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on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tbl>
      <w:tblPr>
        <w:tblW w:w="10315" w:type="dxa"/>
        <w:jc w:val="left"/>
        <w:tblInd w:w="0" w:type="dxa"/>
        <w:tblLayout w:type="fixed"/>
        <w:tblCellMar>
          <w:top w:w="28" w:type="dxa"/>
          <w:left w:w="28" w:type="dxa"/>
          <w:bottom w:w="28" w:type="dxa"/>
          <w:right w:w="28" w:type="dxa"/>
        </w:tblCellMar>
      </w:tblPr>
      <w:tblGrid>
        <w:gridCol w:w="1426"/>
        <w:gridCol w:w="222"/>
        <w:gridCol w:w="664"/>
        <w:gridCol w:w="166"/>
        <w:gridCol w:w="364"/>
        <w:gridCol w:w="597"/>
        <w:gridCol w:w="146"/>
        <w:gridCol w:w="306"/>
        <w:gridCol w:w="700"/>
        <w:gridCol w:w="166"/>
        <w:gridCol w:w="211"/>
        <w:gridCol w:w="631"/>
        <w:gridCol w:w="166"/>
        <w:gridCol w:w="146"/>
        <w:gridCol w:w="222"/>
        <w:gridCol w:w="664"/>
        <w:gridCol w:w="166"/>
        <w:gridCol w:w="345"/>
        <w:gridCol w:w="616"/>
        <w:gridCol w:w="166"/>
        <w:gridCol w:w="306"/>
        <w:gridCol w:w="700"/>
        <w:gridCol w:w="166"/>
        <w:gridCol w:w="211"/>
        <w:gridCol w:w="631"/>
        <w:gridCol w:w="211"/>
      </w:tblGrid>
      <w:tr>
        <w:tc>
          <w:tcPr>
            <w:tcW w:w="14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7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Gain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on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14. Stockholders’ Equity and Equity-Based Compensation</w:t>
      </w:r>
      <w:r>
        <w:rPr>
          <w:rFonts w:ascii="Times New Roman" w:hAnsi="Times New Roman"/>
          <w:color w:val="000000"/>
          <w:sz w:val="20"/>
        </w:rPr>
        <w:t xml:space="preserve">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equity-based compensation expense associated with awards granted under equity incentive plans. Equity-based compensation expense is allocated to all departments based on the recipients of the compensation. A summary of the expense by line item in the unaudited condensed consolidated statements of operations for the three and nine months ended September 30, 2026 and 2025, respectively, is provided in the following table.</w:t>
      </w:r>
    </w:p>
    <w:tbl>
      <w:tblPr>
        <w:tblW w:w="8453" w:type="dxa"/>
        <w:jc w:val="left"/>
        <w:tblInd w:w="0" w:type="dxa"/>
        <w:tblLayout w:type="fixed"/>
        <w:tblCellMar>
          <w:top w:w="28" w:type="dxa"/>
          <w:left w:w="28" w:type="dxa"/>
          <w:bottom w:w="28" w:type="dxa"/>
          <w:right w:w="28" w:type="dxa"/>
        </w:tblCellMar>
      </w:tblPr>
      <w:tblGrid>
        <w:gridCol w:w="2446"/>
        <w:gridCol w:w="246"/>
        <w:gridCol w:w="305"/>
        <w:gridCol w:w="826"/>
        <w:gridCol w:w="211"/>
        <w:gridCol w:w="211"/>
        <w:gridCol w:w="305"/>
        <w:gridCol w:w="826"/>
        <w:gridCol w:w="146"/>
        <w:gridCol w:w="146"/>
        <w:gridCol w:w="265"/>
        <w:gridCol w:w="849"/>
        <w:gridCol w:w="183"/>
        <w:gridCol w:w="183"/>
        <w:gridCol w:w="265"/>
        <w:gridCol w:w="849"/>
        <w:gridCol w:w="191"/>
      </w:tblGrid>
      <w:t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and nine months ended September 30, 2026, the Company modified certain equity awards in connection with departures of certain executive-level employees. Certain previously unvested time-based RSUs vested, or may become eligible for accelerated vesting upon satisfaction of specified conditions under the applicable separation arrangements, in connection with the award modifications, which resulted in incremental stock-based compensation expense of approximately $0.7 million and $0.9 million during the three and nine months ended September 30, 2026, respectively. The remaining unvested shares held by such award holders were forfeited upon separation.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and nine months ended September 30, 2025, the Company modified certain equity awards in connection with departures of certain executive-level employees. Certain previously unvested time-based RSUs vested in connection with the award modifications, which resulted in incremental stock-based compensation expense of approximately $0.3 million and $0.9 million during the three and nine months ended September 30, 2025, respectively. The remaining unvested shares held by such award holders were forfeited upon separation.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Performance Stock Units (“PSUs”)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During the first quarter of 2026, the Company granted PSUs to certain members of its executive leadership team, pursuant to the 2021 Plan. These awards vest based on the satisfaction of certain service conditions and performance-based conditions measured over a cumulative three-year period ended December 31, 2028. The earned payout of these PSUs, if at all, will range from 0% to 200% of target, based upon achievement of certain cumulative performance goals, which include certain financial targets determined by the Company. For fiscal year 2026, the financial targets have been determined, with the fiscal year 2027 and 2028 targets to be determined within 75 days following the end of the previous applicable fiscal year, and the three-year cumulative performance targets set in 2028. In accordance with ASC 718, </w:t>
      </w:r>
      <w:r>
        <w:rPr>
          <w:rFonts w:ascii="Times New Roman" w:hAnsi="Times New Roman"/>
          <w:i/>
          <w:color w:val="000000"/>
          <w:sz w:val="20"/>
        </w:rPr>
        <w:t>Compensation - 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2028. In addition, the awards are not forfeited in the event an interim annual target for the previous fiscal years is not attained and accordingly, there is no service inception date prior to the grant date. Accordingly, measurement of stock-based compensation attributed to these PSUs will be based on the grant date fair value once the grant date is determined, with the resulting stock-based compensation expense recorded over the substantive service period in 2028.</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PSUs with Market Conditions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During fiscal year 2025, the Company granted PSUs to certain executives with a relative total stockholder return (“TSR”) component, pursuant to the 2021 Plan. These awards vest based on the satisfaction of certain service conditions, market conditions, and performance-based conditions measured over a cumulative three-year period ended December 31, 2027. The earned payout of these PSUs, if at all, will range from 0% to 200% of target, based upon achievement of certain cumulative performance goals, which include revenue and adjusted EBITDA margin targets determined by the Company with a relative TSR multiplier up to plus or minus 20%. For fiscal year 2026, the revenue and adjusted EBITDA margin targets have been determined, with the fiscal year 2027 targets to be determined within 75 days following the end of the previous applicable fiscal year, and the three-year cumulative performance targets set in 2027. In accordance with ASC 718, Compensation - </w:t>
      </w:r>
      <w:r>
        <w:rPr>
          <w:rFonts w:ascii="Times New Roman" w:hAnsi="Times New Roman"/>
          <w:i/>
          <w:color w:val="000000"/>
          <w:sz w:val="20"/>
        </w:rPr>
        <w:t>Stock Compensation</w:t>
      </w:r>
      <w:r>
        <w:rPr>
          <w:rFonts w:ascii="Times New Roman" w:hAnsi="Times New Roman"/>
          <w:color w:val="000000"/>
          <w:sz w:val="20"/>
        </w:rPr>
        <w:t>, the grant date for these PSUs can only be established when a mutual understanding of the terms of the award are established, including the specific targets for the cumulative performance period being explicitly defined in 2027. In addition, the awards are not forfeited in the event an interim annual target for the previous fiscal years is not attained and accordingly, there is no service inception date prior to the grant date. Accordingly, measurement of stock-based compensation attributed to these PSUs will be based on the grant date fair value using a Monte-Carlo valuation model once the grant date is determined, with the resulting stock-based compensation expense recorded over the substantive service period in 2027.</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approximately $0.7 million and $0.8 million in stock-based compensation expense associated with PSUs during the three months ended September 30, 2026 and 2025, respectively, and approximately $2.2 million and $3.2 million during the nine months ended September 30, 2026 and 2025, respectively.</w:t>
      </w:r>
    </w:p>
    <w:p>
      <w:pPr>
        <w:pStyle w:val="TextBody"/>
        <w:bidi w:val="0"/>
        <w:jc w:val="left"/>
      </w:pPr>
      <w:r>
        <w:t> </w:t>
      </w:r>
    </w:p>
    <w:p>
      <w:pPr>
        <w:pStyle w:val="TextBody"/>
        <w:bidi w:val="0"/>
        <w:spacing w:before="12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management performed an assessment of the recoverability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and December 31, 2025, the Company has recorded net deferred tax liabilities of $9.1 million and $13.5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was 8.5% and (3.0)% for the three months ended September 30, 2026 and 2025, respectively, and 2.0% and 5.2% for the nine months ended September 30, 2026 and 2025, respectively. The Company’s effective tax rate differs from the statutory tax rate of 21% due to the valuation allowance recorded, foreign tax rates that differ from the U.S. statutory tax rate, and partnership income that is not taxed.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Company’s election under Section 754 of the Code, the Company expects to obtain an increase in its share of the tax basis in the net assets of Definitive OpCo when LLC Units are redeemed or exchanged by other members. The Company intends to treat any redemptions and exchanges of LLC Units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entered into a Tax Receivable Agreement (“TRA”) among the Company, Definitive OpCo, and the TRA Parties and has recorded a liability under the TRA of $12.5 million and $27.2 million as of September 30, 2026 and December 31, 2025, respectively. The $14.7 million decrease in the TRA liability during the nine months ended September 30, 2026 was primarily driven by a $6.8 million remeasurement of the liability based on future realizability of tax attributes with an offsetting adjustment to statement of operations and $8.1 million of payments to TRA Parties, while concurrently increasing $0.2 million with an offsetting adjustment to additional paid-in capital for current year exchange transactions and redemptions.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the TRA is subject to early termination provisions as provided for in the agreement upon certain change in control events or elected early termination. In all early termination circumstances, such provisions assume that there is sufficient taxable income to realize the tax benefits in measuring the settlement value of the TRA. The Company has been informed that representatives of the TRA Parties, acting on behalf of the applicable TRA Parties, have irrevocably waived the right of such TRA Parties to receive an early termination payment under the TRA in connection with any change of control for which a definitive merger agreement is executed on or prior to December 31,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16.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of Class A common stock is computed by dividing net income attributable to the Company by the weighted-average number of shares of Class A common stock outstanding during the period, excluding unvested equity awards and subsidiary member units not exchanged. Diluted earnings per share of Class A common stock is calculated by dividing net income attributable to the Company, adjusted for the assumed exchange of all potentially dilutive securities by the weighted-average number of shares of Class A common stock outstanding.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reconciliation of the numerator used to compute basic and diluted net loss per share of Class A common stock for the three and nine months ended September 30, 2026 and 2025. </w:t>
      </w:r>
    </w:p>
    <w:tbl>
      <w:tblPr>
        <w:tblW w:w="10205" w:type="dxa"/>
        <w:jc w:val="left"/>
        <w:tblInd w:w="0" w:type="dxa"/>
        <w:tblLayout w:type="fixed"/>
        <w:tblCellMar>
          <w:top w:w="28" w:type="dxa"/>
          <w:left w:w="28" w:type="dxa"/>
          <w:bottom w:w="28" w:type="dxa"/>
          <w:right w:w="28" w:type="dxa"/>
        </w:tblCellMar>
      </w:tblPr>
      <w:tblGrid>
        <w:gridCol w:w="4228"/>
        <w:gridCol w:w="245"/>
        <w:gridCol w:w="735"/>
        <w:gridCol w:w="286"/>
        <w:gridCol w:w="286"/>
        <w:gridCol w:w="245"/>
        <w:gridCol w:w="857"/>
        <w:gridCol w:w="266"/>
        <w:gridCol w:w="246"/>
        <w:gridCol w:w="211"/>
        <w:gridCol w:w="841"/>
        <w:gridCol w:w="246"/>
        <w:gridCol w:w="246"/>
        <w:gridCol w:w="211"/>
        <w:gridCol w:w="841"/>
        <w:gridCol w:w="215"/>
      </w:tblGrid>
      <w:tr>
        <w:tc>
          <w:tcPr>
            <w:tcW w:w="42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422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 for the three and nine months ended September 30, 2026 and 2025 (per share amounts unaudited).</w:t>
      </w:r>
    </w:p>
    <w:tbl>
      <w:tblPr>
        <w:tblW w:w="10205" w:type="dxa"/>
        <w:jc w:val="left"/>
        <w:tblInd w:w="0" w:type="dxa"/>
        <w:tblLayout w:type="fixed"/>
        <w:tblCellMar>
          <w:top w:w="28" w:type="dxa"/>
          <w:left w:w="28" w:type="dxa"/>
          <w:bottom w:w="28" w:type="dxa"/>
          <w:right w:w="28" w:type="dxa"/>
        </w:tblCellMar>
      </w:tblPr>
      <w:tblGrid>
        <w:gridCol w:w="3470"/>
        <w:gridCol w:w="211"/>
        <w:gridCol w:w="1141"/>
        <w:gridCol w:w="166"/>
        <w:gridCol w:w="146"/>
        <w:gridCol w:w="211"/>
        <w:gridCol w:w="1141"/>
        <w:gridCol w:w="166"/>
        <w:gridCol w:w="146"/>
        <w:gridCol w:w="211"/>
        <w:gridCol w:w="1141"/>
        <w:gridCol w:w="166"/>
        <w:gridCol w:w="146"/>
        <w:gridCol w:w="211"/>
        <w:gridCol w:w="1141"/>
        <w:gridCol w:w="391"/>
      </w:tblGrid>
      <w:tr>
        <w:tc>
          <w:tcPr>
            <w:tcW w:w="3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 attributable to common stockholders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shares of Class A common stock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106,767,169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103,783,012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105,758,581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107,760,787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the Company’s Class B common stock do not participate in the earnings or losses of the Company and are therefore not participating securities. As such, separate presentation of basic and diluted earnings per share of Class B common stock under the two-class method has not been presented.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potentially dilutive securities excluded from the computation of diluted net loss per share for the period presented because their effect would have been anti-dilutive:</w:t>
      </w:r>
    </w:p>
    <w:tbl>
      <w:tblPr>
        <w:tblW w:w="7233" w:type="dxa"/>
        <w:jc w:val="left"/>
        <w:tblInd w:w="0" w:type="dxa"/>
        <w:tblLayout w:type="fixed"/>
        <w:tblCellMar>
          <w:top w:w="28" w:type="dxa"/>
          <w:left w:w="28" w:type="dxa"/>
          <w:bottom w:w="28" w:type="dxa"/>
          <w:right w:w="28" w:type="dxa"/>
        </w:tblCellMar>
      </w:tblPr>
      <w:tblGrid>
        <w:gridCol w:w="4186"/>
        <w:gridCol w:w="146"/>
        <w:gridCol w:w="1036"/>
        <w:gridCol w:w="246"/>
        <w:gridCol w:w="246"/>
        <w:gridCol w:w="146"/>
        <w:gridCol w:w="1036"/>
        <w:gridCol w:w="191"/>
      </w:tblGrid>
      <w:t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OpCo LLC Units (vested and 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38,094,660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38,349,047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21,259,636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15,219,918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 Segment Data</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segments are defined as components of an enterprise about which separate financial information is available that is evaluated regularly by the chief operating decision-maker (“CODM”) in deciding how to allocate resources and assess performance. The Company derives substantially all of its revenue from the sale of subscription fees for access to its platform and stand-ready support—a product designed to provide accurate and comprehensive information on healthcare providers and their activities helping its customers optimize everything from product development to go-to-market planning and sales and marketing execution. To assess performance, the Company’s CODM, the Chief Executive Officer, reviews financial information on a consolidated basis. Therefore, the Company determined it has one operating segment and one reportable segment. The accounting policies of the Company’s operating segment are the same as those described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the consolidated financial statements in the 2025 Form 10-K. The CODM uses consolidated net loss to set budgets, evaluate margins, review actual results, and to make decisions whether to reinvest profits into the business, pursue acquisitions and partnerships, repurchase shares, and/or engage in other capital management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operating financial results of our single reportable segment, including revenue, significant expenses regularly provided to the CODM, and net loss:</w:t>
      </w:r>
    </w:p>
    <w:p>
      <w:pPr>
        <w:pStyle w:val="TextBody"/>
        <w:bidi w:val="0"/>
        <w:spacing w:before="120" w:after="283"/>
        <w:jc w:val="left"/>
      </w:pPr>
      <w:r>
        <w:t> </w:t>
      </w:r>
    </w:p>
    <w:tbl>
      <w:tblPr>
        <w:tblW w:w="9591" w:type="dxa"/>
        <w:jc w:val="left"/>
        <w:tblInd w:w="0" w:type="dxa"/>
        <w:tblLayout w:type="fixed"/>
        <w:tblCellMar>
          <w:top w:w="28" w:type="dxa"/>
          <w:left w:w="28" w:type="dxa"/>
          <w:bottom w:w="28" w:type="dxa"/>
          <w:right w:w="28" w:type="dxa"/>
        </w:tblCellMar>
      </w:tblPr>
      <w:tblGrid>
        <w:gridCol w:w="3466"/>
        <w:gridCol w:w="146"/>
        <w:gridCol w:w="264"/>
        <w:gridCol w:w="846"/>
        <w:gridCol w:w="207"/>
        <w:gridCol w:w="182"/>
        <w:gridCol w:w="264"/>
        <w:gridCol w:w="921"/>
        <w:gridCol w:w="166"/>
        <w:gridCol w:w="146"/>
        <w:gridCol w:w="226"/>
        <w:gridCol w:w="903"/>
        <w:gridCol w:w="178"/>
        <w:gridCol w:w="156"/>
        <w:gridCol w:w="226"/>
        <w:gridCol w:w="903"/>
        <w:gridCol w:w="391"/>
      </w:tblGrid>
      <w:t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2"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18,717</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segment items, net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220,854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September 30, 2026, other segment items, net includes depreciation and amortization expense of $8.8 million, interest expense of $2.7 million, interest income of $1.3 million, a TRA remeasurement gain of $0.2 million, transaction, integration, and restructuring expenses of $0.2 million, and a net foreign currency transaction gain of $0.2 million. For the three months ended September 30, 2025, other segment items, net includes depreciation and amortization expense of $9.1 million, a TRA remeasurement loss of $7.1 million, transaction, integration, and restructuring expenses of $5.3 million, interest expense of $3.0 million, interest income of $1.7 million, and net foreign currency transaction losses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2026, other segment items, net includes a goodwill impairment charge of $197.2 million, depreciation and amortization expense of $25.7 million, interest expense of $7.9 million, a TRA remeasurement gain of $6.8 million, interest income of $3.9 million, transaction, integration, and restructuring expenses of $1.5 million, and a net foreign currency transaction gain of $0.8 million. For the nine months ended September 30, 2025, other segment items, net includes a goodwill impairment charge of $176.5 million, depreciation and amortization expense of $26.6 million, a TRA remeasurement gain of $10.6 million, interest expense of $8.4 million, transaction integration, and restructuring expenses of $7.2 million, interest income of $5.5 million, net foreign currency transaction losses of $1.6 million, and a loss on the partial extinguishment of debt of $0.5 million.</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18. Related Parties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231F20"/>
          <w:sz w:val="20"/>
        </w:rPr>
        <w:t>The Company has engaged in revenue transactions within the ordinary course of business with entities affiliated with its Sponsors and with members of the Board. During the three months ended September 30, 2026 and 2025, the Company recorded revenue from related parties of $0.2</w:t>
      </w:r>
      <w:r>
        <w:rPr>
          <w:rFonts w:ascii="Times New Roman" w:hAnsi="Times New Roman"/>
          <w:color w:val="000000"/>
          <w:sz w:val="20"/>
        </w:rPr>
        <w:t xml:space="preserve"> million and $0.3 million, respectively</w:t>
      </w:r>
      <w:r>
        <w:rPr>
          <w:rFonts w:ascii="Times New Roman" w:hAnsi="Times New Roman"/>
          <w:color w:val="231F20"/>
          <w:sz w:val="20"/>
        </w:rPr>
        <w:t>. During the nine months ended September 30, 2026 and 2025, the Company recorded revenue from related parties of $0.5 million and $0.6 million, respectively. There were no material receivables due from related parties at September 30, 2026 or December 31, 2025.</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During the three months ended September 30, 2026 and 2025, the Company paid $0.6 million and $0.3 million, respectively, to related parties for transactions within the ordinary course of business, and $2.5 million and $0.7 million during the nine months ended September 30, 2026 and 2025, respectively. Payables to related parties amounted to $0.2 million at both September 30, 2026 and December 31, 2025.</w:t>
      </w:r>
    </w:p>
    <w:p>
      <w:pPr>
        <w:pStyle w:val="TextBody"/>
        <w:bidi w:val="0"/>
        <w:spacing w:before="240" w:after="283"/>
        <w:jc w:val="left"/>
        <w:rPr>
          <w:rFonts w:ascii="Times New Roman" w:hAnsi="Times New Roman"/>
          <w:sz w:val="20"/>
        </w:rPr>
      </w:pPr>
      <w:r>
        <w:rPr>
          <w:rFonts w:ascii="Times New Roman" w:hAnsi="Times New Roman"/>
          <w:b/>
          <w:color w:val="000000"/>
          <w:sz w:val="20"/>
        </w:rPr>
        <w:t>19. Subsequent Events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In October 2026, the Company entered into a separation agreement with its former Chief Executive Officer in connection with his previously announced departure from the Company. Pursuant to the separation agreement, in addition to the severance payments and benefits provided for in the former Chief Executive Officer’s employment agreement, the Company also agreed to make an incremental cash payment of $1.0 million, in exchange for the former Chief Executive Officer agreeing to waive certain rights and forfeit certain outstanding performance-based equity awards. The Company expects to recognize the incremental expense impact of this discretionary benefit in the fourth quarter of 2026.</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sz w:val="2"/>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2025 Form 10-K.</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2025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data and analytics. We provide accurate, comprehensive information on healthcare providers and their activities, enabling customers to make informed decisions across product development, go-to-market planning, and sales and marketing execution. We also offer claims and consumer analytics built from modeled data on millions of unique consumers to help healthcare organizations target, message, and engage specific healthcare audiences. Delivered through our software as a service products and solutions, our data is important to the commercial success of our approximately 2,120 customers as of September 30, 2026. We generally define a customer as a company that maintains one or more active paid subscriptions.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 three primary end markets: Life Sciences, Provider, and Diversified. Our Life Sciences customers comprise biopharmaceutical and medical device companies. Providers comprise hospitals, health systems, and other care delivery organizations. Diversified customers include healthcare information technology companies and other organizations operating within the healthcare market, such as staffing firms, commercial real estate firms, financial institutions, and marketing and advertising agencies. Within these organizations, our data serves a broad set of functional groups, including sales, marketing, clinical research, product development, strategy, talent acquisition, and physician network management. Customers access our data products on a subscription basis, and we generate substantially all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Jason Krantz. Mr. Krantz founded the company to provide healthcare commercial intelligence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$11 billion that includes a more focused serviceable addressable market of approximately $7 billion. In total, our target universe includes more than 100,000 potential customers that we believe could benefit from our products.</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Non-Binding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announced on September 2, 2026, the Special Committee of the Board of Directors (the “Special Committee”), consisting solely of independent and disinterested directors, received a non-binding indication of interest from Advent to acquire all outstanding shares of our Class A common stock and all outstanding LLC Units, in each case, not already owned by Advent or Jason Krantz, our founder and Executive Chairman. The Special Committee is reviewing and evaluating the proposal and any alternatives thereto with the assistance of its independent legal and financial advisors. No decisions have been made with respect to our response to the proposal or any alternatives thereto, and there can be no assurance that we will pursue the proposed transaction or any other strategic alternative, or that any transaction will be approved or consummated.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first quarter of 2026 and during fiscal year 2025, we experienced declines in our market capitalization as a result of sustained decreases in our stock price, which represented triggering events requiring management to perform quantitative goodwill impairment tests as of the end of the impacted reporting periods. As a result of the impairment tests, we determined that the fair value of our single reporting unit was lower than its carrying value and, accordingly, recorded non-cash, pretax, goodwill impairment charges of $197.2 million during the first quarter of 2026 and $196.1 million during fiscal year 2025. See Note 7. </w:t>
      </w:r>
      <w:r>
        <w:rPr>
          <w:rFonts w:ascii="Times New Roman" w:hAnsi="Times New Roman"/>
          <w:i/>
          <w:color w:val="000000"/>
          <w:sz w:val="20"/>
        </w:rPr>
        <w:t>Goodwill and Intangible Assets</w:t>
      </w:r>
      <w:r>
        <w:rPr>
          <w:rFonts w:ascii="Times New Roman" w:hAnsi="Times New Roman"/>
          <w:color w:val="000000"/>
          <w:sz w:val="20"/>
        </w:rPr>
        <w:t xml:space="preserve"> to our accompanying unaudited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goodwill impairment charges did not affect our liquidity or the financial covenants in our outstanding debt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Nasdaq’s Minimum Bid Price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18, 2026, we received a written notice from the Listing Qualifications Department of The Nasdaq Stock Market LLC (“Nasdaq”) indicating that we were not in compliance with the minimum bid price requirement for continued listing on The Nasdaq Global Select Market because the closing bid price of our common stock was below $1.00 per share for 30 consecutive business days. On October 30, 2026, Nasdaq notified us that for the last 10 consecutive business days, from October 16, 2026 to October 29, 2026, the closing bid price of our common stock had been $1.00 per share or greater and, accordingly, we had regained compliance with Nasdaq Listing Rule 5450(a)(1) and the matter was closed.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Company’s ongoing review of its organizational design with respect to executive leadership we have recently experienced several executive transitions.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August 31, 2026, Kevin Coop stepped down as the Company’s Chief Executive Officer and as a member of the Company’s Board of Directors (the “Board”). Mr. Coop’s departure was not the result of any disagreement with the Company on any matter relating to its operations, policies, or practices. In connection with Mr. Coop’s departure, the Board appointed Clay Ritchey as the Company’s Chief Executive Officer and as a member of the Board, effective September 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30, 2026, the Company entered into a separation agreement with Mr. Coop. For additional information, see Part II, Item 5. “Other Information” of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we committed to a restructuring plan (the “2026 Restructuring Plan”) intended to reduce operating costs, improve operating margins, and continue advancing the Company’s ongoing commitment to profitable growth. The 2026 Restructuring Plan provided for a reduction of our current workforce by approximately 40 people. During the first quarter of 2026, we incurred restructuring and related charges of approximately $1.1 million, consisting of severance payments, employee benefits, and related cash expenses. No additional charges were incurred during the second or third quarters of 2026. As of September 30, 2026, less than $0.1 million was included in accrued expenses and other liabilities in the unaudited condensed consolidated balance sheets. We expect these payments will be made in the fourth quarter of 2026. In addition, we do not expect to incur further material charges associated with the 2026 Restructuring Plan. There were no charges incurred during the three months ended September 30, 2025 related to previous restructuring plans, and charges incurred during the nine months ended September 30, 2025 were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second quarter of 2026, we incurred $0.2 million in impairment charges of the operating lease right-of-use assets (“ROU assets”) related to a previous consolidation of certain leased office space at our corporate headquarters. These charges were recognized within transaction, integration, and restructuring expenses in our unaudited condensed consolidated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Execution Challenges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made significant changes to our go-to-market team that reduced overlay expenses, created a separate group and sales motion for our small and medium sized customers, and allocated more resources to our Enterprise Customers (as the term is defined below). These changes created disruptions to our sales efforts beginning in 2024, impacting both new customer acquisition and upsell to existing customers. These factors, in addition to the lower than historical renewal rates we observed through fiscal year 2025, have impacted, and we expect will continue to impact, our results in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Innovation and AI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Throughout fiscal year 2026, we have been investing in the development of Turbo, our AI-powered healthcare growth intelligence platform. Turbo enables customers to ask questions about healthcare organizations, key opinion leaders, healthcare executives, markets, patients, providers, and clinical activity and receive structured, evidence-backed answers through a single interface. It draws on the claims, provider, organizational, reference and affiliation, and expert data that customers already rely on. We launched an initial pilot with select strategic customers in the third quarter of 2026 and expect to make Turbo more broadly available later this year.</w:t>
      </w:r>
    </w:p>
    <w:p>
      <w:pPr>
        <w:pStyle w:val="TextBody"/>
        <w:bidi w:val="0"/>
        <w:spacing w:before="24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2022, our current and prospective customers, along with their business spending, have been affected by challenging macroeconomic conditions to varying degrees. This has contributed to heightened customer churn relative to historical levels. These trends have been particularly pronounced for smaller customers and in the Life Sciences market. The elevated churn has impacted our revenue growth since 2023, and we expect this will continue to have an impact on our growth in 2026. However, late in 2025 and through the first half of 2026, we have been seeing modest signs of improvement in the macroeconomic backdrop, with healthier demand trends, more normalized procurement cycles, improving customer retention dynamics, and increased visibility into customer budgets, all of which are encouraging signs we will continue to monitor.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fluctuating inflation and high interest rates, volatility in the capital markets, international trade policies, including tariffs, sanctions, and trade barriers, and related market uncertainty, the conflict in Ukraine and the regional instability in the Middle East, and global geopolitical tensions.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in calendar year 2024, including how data providers are reviewing pricing, data availability, and use terms, all of which may negatively impact the prices at which we acquire such data. We are continuing to evaluate these and other past and potential future direct and indirect impacts on our business and results of operations. We worked throughout 2025 to mitigate potential risk through renegotiation of select existing agreements and the addition of new data sources, which includes new data sources introduced into our offerings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Annual Recurring Revenue (“ARR”), which we refer to as “Enterprise Customers,” represent the majority of our ARR and are a key focus of our go-to-market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total customer count, which includes smaller customers, was approximately 2,120 as of September 30, 2026, compared with approximately 2,400 customers as of September 30, 2025. Our Enterprise Customer accounts have decreased by 49 to 471 customers as of September 30, 2026 compared with 520 customers as of September 30, 2025. Our smaller customers have churned at disproportionately higher rates year-over-year, primarily due to current macroeconomic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w:t>
      </w:r>
    </w:p>
    <w:p>
      <w:pPr>
        <w:pStyle w:val="TextBody"/>
        <w:bidi w:val="0"/>
        <w:spacing w:before="24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opportunity to generate additional revenue from our existing customer base of approximately 2,120 customers as of September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 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progress in expanding usage of our platform with our existing customers is demonstrated by our NDR, which is further described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is driven in part by our ability to apply our deep healthcare domain expertise to innovate and expand our platform. We have continually created new products since our founding in 2011. We have and plan to continue to invest significantly into our engineering and research and development efforts to enhance our capabilities and functionality and facilitate the expansion of our integrated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sz w:val="20"/>
        </w:rPr>
      </w:pPr>
      <w:r>
        <w:rPr>
          <w:rFonts w:ascii="Times New Roman" w:hAnsi="Times New Roman"/>
          <w:b/>
          <w:i/>
          <w:color w:val="000000"/>
          <w:sz w:val="20"/>
        </w:rPr>
        <w:t>Net Dollar Retention Rate (“NDR”)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the same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Remaining Performance Obligations (“cRPO”)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expect this trend, along with the continued pressures on our renewals and other factors, will result in a negative revenue growth rate for 2026 relative to 2025. In addition, we experienced a drop in the mix of new customers committing to multi-year subscriptions versus single-year subscriptions, resulting in reductions to cRPO and total remaining performance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our current and total remaining performance obligations as of September 30, 2026 and December 31, 2025: </w:t>
      </w:r>
    </w:p>
    <w:tbl>
      <w:tblPr>
        <w:tblW w:w="5190" w:type="dxa"/>
        <w:jc w:val="left"/>
        <w:tblInd w:w="0" w:type="dxa"/>
        <w:tblLayout w:type="fixed"/>
        <w:tblCellMar>
          <w:top w:w="28" w:type="dxa"/>
          <w:left w:w="28" w:type="dxa"/>
          <w:bottom w:w="28" w:type="dxa"/>
          <w:right w:w="28" w:type="dxa"/>
        </w:tblCellMar>
      </w:tblPr>
      <w:tblGrid>
        <w:gridCol w:w="1226"/>
        <w:gridCol w:w="646"/>
        <w:gridCol w:w="242"/>
        <w:gridCol w:w="898"/>
        <w:gridCol w:w="246"/>
        <w:gridCol w:w="246"/>
        <w:gridCol w:w="233"/>
        <w:gridCol w:w="862"/>
        <w:gridCol w:w="591"/>
      </w:tblGrid>
      <w:t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142,563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201,616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240,455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30, 2026, we derived approximately 96%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or from other one-time deliveries, which are generally capable of being distinct and can be accounted for as separate performance obligations. Revenue related to these professional services is recognized at a point in time when the performance obligations under the terms of the contract are satisfied and control has been transferred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execution challenges, as previously mentioned, coupled with sustained macroeconomic headwinds, continue to negatively impact our sales efforts. Accordingly, we expect our revenue to decline in 2026 compared with 2025.</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including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Includes amortization expense for technology and data acquired in business combinations and asset purchase agreements. We anticipate that amortization will only increase if we make additional acquisitions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observing changes in the healthcare claims data market as a result of data source disruption since early 2024, including how data providers are reviewing pricing, data availability, and use terms, all of which may negatively impact the prices at which we acquire such data. We worked throughout 2025 to mitigate potential risk through the renegotiation of select existing agreements and the addition of new data sources, which includes new data sources introduced into our offerings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declines, in combination with our largely fixed cost structure, are expected to result in a decrease in gross profit margin in 2026. Additionally, we received one-time credits during fiscal year 2025 resulting from renegotiations on existing data contracts, which will not repeat and will contribute to a year-over-year decrease in gross profit margins in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make targeted investments in growth areas like enhancing our digital marketing capabilities.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xml:space="preserve">.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 In fiscal year 2025, we made investments in software application development tools and have shifted more development efforts to innovation and growth initiatives, both of which have resulted in increases to capitalized software and payroll.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business combinations, and purchases of data assets, as well as depreciation of property and equipment. We anticipate depreciation of property and equipment as a percentage of revenue to moderately increase as we continue to make investments in internal software development.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strategic partnership, and integration activities we have undertaken, primarily accounting, legal due diligence, consulting, and advisory fees, restructuring initiatives, and office relocations and consolidations.</w:t>
      </w:r>
    </w:p>
    <w:p>
      <w:pPr>
        <w:pStyle w:val="TextBody"/>
        <w:bidi w:val="0"/>
        <w:spacing w:before="120" w:after="283"/>
        <w:jc w:val="left"/>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Goodwill represents the excess of consideration transferred over the fair value of tangible and identifiable intangible net assets acquired and the liabilities assumed in a business combination. Substantially all of our goodwill was recognized in the purchase price allocations when we were acquired in 2019 by Advent (the “Advent Acquisition”), with smaller incremental amounts recognized in subsequent business combinations. Goodwill is not amortized but is rather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In the first quarter of 2026 and during fiscal year 2025, we experienced declines in our market capitalization as a result of sustained decreases in our stock price, which represented triggering events requiring our management to perform quantitative goodwill impairment tests as of the end of each impacted reporting period. As a result of the impairment tests, we determined that the fair value of our single reporting unit was lower than its carrying value and, accordingly, recorded non-cash, pre-tax, goodwill impairment charges of $197.2 million in the first quarter of 2026 and $196.1 million during fiscal year 2025. The goodwill impairment charges did not affect our liquidity or the financial covenants in our outstanding debt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consists of interest expense on our debt obligations and the amortization of debt discounts and debt issuance costs.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consists of earnings resulting from our cash and cash equivalents and short-term investments.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consists primarily of the revaluation of TRA liabilities, realized and unrealized gains and losses related to the impact of transactions denominated in a foreign currency, and the loss on partial extinguishment of debt resulting from the refinancing of our credit agreement in fiscal year 2025. Significant changes in the projected liability resulting from the TRA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a summary of our unaudited condensed consolidated statements of operations for the periods presented: </w:t>
      </w:r>
    </w:p>
    <w:tbl>
      <w:tblPr>
        <w:tblW w:w="12182" w:type="dxa"/>
        <w:jc w:val="left"/>
        <w:tblInd w:w="0" w:type="dxa"/>
        <w:tblLayout w:type="fixed"/>
        <w:tblCellMar>
          <w:top w:w="28" w:type="dxa"/>
          <w:left w:w="28" w:type="dxa"/>
          <w:bottom w:w="28" w:type="dxa"/>
          <w:right w:w="28" w:type="dxa"/>
        </w:tblCellMar>
      </w:tblPr>
      <w:tblGrid>
        <w:gridCol w:w="2551"/>
        <w:gridCol w:w="1346"/>
        <w:gridCol w:w="211"/>
        <w:gridCol w:w="676"/>
        <w:gridCol w:w="266"/>
        <w:gridCol w:w="246"/>
        <w:gridCol w:w="211"/>
        <w:gridCol w:w="736"/>
        <w:gridCol w:w="1266"/>
        <w:gridCol w:w="1246"/>
        <w:gridCol w:w="211"/>
        <w:gridCol w:w="841"/>
        <w:gridCol w:w="266"/>
        <w:gridCol w:w="246"/>
        <w:gridCol w:w="211"/>
        <w:gridCol w:w="841"/>
        <w:gridCol w:w="811"/>
      </w:tblGrid>
      <w:t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 exclusive of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43,621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45,993</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20,380</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7,553</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1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54,681</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pPr>
            <w: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income, net</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(8,580</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(17,268</w:t>
            </w:r>
          </w:p>
        </w:tc>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(209,494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pPr>
            <w:r>
              <w:t> </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(205,212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(14,838</w:t>
            </w:r>
          </w:p>
        </w:tc>
        <w:tc>
          <w:tcPr>
            <w:tcW w:w="1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(147,935</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br/>
        <w:t>Three Months Ended September 30, 2026 compared to Three Months Ended September 30, 2025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$5.4 million, or 9%, in the three months ended September 30, 2026 compared with the same period in the prior year primarily due to lower subscription revenue of $5.5 million, partially offset by a $0.1 million increase in professional services revenue. The decrease in subscription revenue principally reflected lower revenue from our existing customer base. Revenue attributable to customers that existed prior to the start of 2026 decreased $8.4 million, which was partially offset by a $3.0 million increase in revenue from new customers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decreased $1.6 million, or 12%, in the three months ended September 30, 2026 compared with the same period in the prior year, primarily driven by a $1.2 million decrease in amortization expense resulting from a developed technology asset that was fully amortized during the third quarter of 2026, a $0.9 million decrease in personnel costs resulting from a decrease in headcount, and a $0.4 million decrease in hosting fees driven by ongoing efficiency initiatives and optimization of our technology infrastructure. These decreases were partially offset by a $0.9 million increase in data subscription and collection costs driven by expanded customer usage of our platform.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decreased $7.5 million, or 14%, during the three months ended September 30, 2026 compared with the same period in the prior year. The decrease was primarily due to:</w:t>
      </w:r>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$1.7 million for the three months ended September 30, 2026, primarily driven by lower personnel costs, including salaries, employee benefits, commissions, and stock-based compensation expense, resulting from reduced headcount and decreases in costs associated with new software applications compared with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$0.9 million for the three months ended September 30, 2026, primarily driven by lower personnel costs, including stock-based compensation expense, resulting from the 2026 Restructuring Plan and the departure of certain executive-level employees, combined with increased capitalized labor and overhead relating to product development initiatives, partially offset by increased costs associated with new software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general and administrative expense of $0.4 million for the three months ended September 30, 2026, primarily driven by an increase in personnel costs resulting from severance payments to departing executives and an increase in bad debt expense, partially offset by lower professional services fees and decreases in costs associated with new software applications compared with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$0.3 million for the three months ended September 30, 2026, primarily as a result of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transaction, integration, and restructuring expenses of $5.1 million for the three months ended September 30, 2026, primarily driven by higher costs incurred in the prior year period related to an integration charge to recognize a liability for a major data contract from a prior acquisition that no longer provided an economic benefit to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net was $0.9 million for the three months ended September 30, 2026 compared to $8.6 million in the same period in the prior year, primarily due to differences in the remeasurement of the TRA liability during the respective periods, reflecting changes in the expected amount and timing of future tax benefits and related TRA payments.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(Provision For)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Benefit from income taxes was $0.5 million for the three months ended September 30, 2026 compared to a provision for income taxes of $0.5 million in the comparable prior year period. The change primarily reflected the differing mix and timing of taxable income and discrete tax items during the respective periods, none of which was individually significant.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Nine Months Ended September 30, 2026 compared to Nine Months Ended September 30, 2025</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$14.2 million, or 8%, in the nine months ended September 30, 2026 compared with the same period in the prior year primarily due to lower subscription revenue of $14.7 million, partially offset by a $0.5 million increase in professional services revenue. The decrease in subscription revenue principally reflected lower revenue from our existing customer base. Revenue attributable to customers that existed prior to the start of 2026 decreased $20.2 million, which was partially offset by a $6.0 million increase in revenue from new customers in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decreased $2.3 million, or 5%, in the nine months ended September 30, 2026 compared with the same period in the prior year. The decrease was primarily driven by a decrease of $1.8 million in personnel costs resulting from a decrease in headcount and a $1.6 million decrease in amortization expense resulting primarily from a developed technology asset that was fully amortized during the third quarter of 2026. These decreases were partially offset by a $0.6 million increase in hosting fees, primarily reflecting higher cloud infrastructure costs, despite ongoing technology infrastructure efficiency and optimization initiatives, and a $0.5 million increase in revenue sharing costs aimed at growing the activation line of our business.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increased $3.4 million, or 1%, during the nine months ended September 30, 2026 compared with the same period in the prior year. The increase was primarily due to a goodwill impairment charge of $197.2 million incurred in the current year period, compared to $176.5 million incurred in the prior year period, partially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sales and marketing expense of $4.0 million for the nine months ended September 30, 2026, primarily due to lower personnel-related costs resulting from reduced headcount, including decreases in salaries, bonuses, commissions, severance, payroll taxes, and stock-based compensation expense, as well as lower consulting and software application costs. These decreases were partially offset by higher advertising and promotional spending;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product development expense of $4.9 million for the nine months ended September 30, 2026, primarily driven by lower personnel costs, including stock-based compensation expense, resulting from the 2026 Restructuring Plan and the departure of certain executive-level employees, combined with increased capitalized labor and overhead relating to product development initiatives. These decreases were partially offset by increased costs associated with new software applications and an increase in recruiting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general and administrative expense of $1.6 million for the nine months ended September 30, 2026, primarily driven by lower personnel costs, including stock-based compensation, resulting from reduced headcount and equity grants with lower grant-date fair values, as well as lower franchise taxes, business insurance costs, and software application costs. These decreases were partially offset by increased professional and advisory costs associated with strategic transition initiatives, severance costs associated with the departure of certain executives, and higher bad debt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$0.9 million for the nine months ended September 30, 2026, primarily driven by certain customer relationship intangible assets utilizing economic consumption amortization methods with lower amortization in the current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transaction, integration, and restructuring expenses of $5.8 million for the nine months ended September 30, 2026, primarily driven by an integration charge recorded in the prior year period for a major data contract related to a prior acquisition that no longer provided an economic benefit to the Company, together with a favorable adjustment recorded in the current period upon settlement of that contract. These decreases were partially offset by the legal settlement of an earnout matter and costs associated with the 2026 Restructuring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$3.5 million for the nine months ended September 30, 2026 compared to $5.6 million in the same period in the prior year, primarily due to variability in the remeasurement of the TRA liability resulting primarily from goodwill impairment activity during the respective periods, which can affect the expected amount and timing of future TRA payments. While overall goodwill impairment levels were somewhat comparable year over year, the impact on the TRA liability in the current period was more limited, resulting in a smaller remeasurement gain compared to the prior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Benefit from income taxes was $4.3 million for the nine months ended September 30, 2026 compared to $9.9 million in the comparable prior year period. The tax benefits in both periods were primarily driven by reductions in indefinite-lived deferred tax liabilities resulting from goodwill impairment charges. The lower benefit in the current period primarily reflected differences in the allocation of the respective goodwill impairment charges among the Company’s applicable subsidiaries.</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measures to Adjusted EBITDA and Adjusted EBITDA Margin are GAAP net loss and GAAP net loss margin,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Gross Profit and Adjusted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 Adjusted Gross Margin is defined as Adjusted Gross Profit as a percentage of revenue. These are key metrics used by management and our Board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respectively, for the periods presented: </w:t>
      </w:r>
    </w:p>
    <w:tbl>
      <w:tblPr>
        <w:tblW w:w="11174" w:type="dxa"/>
        <w:jc w:val="left"/>
        <w:tblInd w:w="0" w:type="dxa"/>
        <w:tblLayout w:type="fixed"/>
        <w:tblCellMar>
          <w:top w:w="28" w:type="dxa"/>
          <w:left w:w="28" w:type="dxa"/>
          <w:bottom w:w="28" w:type="dxa"/>
          <w:right w:w="28" w:type="dxa"/>
        </w:tblCellMar>
      </w:tblPr>
      <w:tblGrid>
        <w:gridCol w:w="1651"/>
        <w:gridCol w:w="146"/>
        <w:gridCol w:w="211"/>
        <w:gridCol w:w="676"/>
        <w:gridCol w:w="146"/>
        <w:gridCol w:w="146"/>
        <w:gridCol w:w="227"/>
        <w:gridCol w:w="494"/>
        <w:gridCol w:w="271"/>
        <w:gridCol w:w="146"/>
        <w:gridCol w:w="211"/>
        <w:gridCol w:w="676"/>
        <w:gridCol w:w="146"/>
        <w:gridCol w:w="146"/>
        <w:gridCol w:w="227"/>
        <w:gridCol w:w="494"/>
        <w:gridCol w:w="271"/>
        <w:gridCol w:w="146"/>
        <w:gridCol w:w="211"/>
        <w:gridCol w:w="781"/>
        <w:gridCol w:w="146"/>
        <w:gridCol w:w="146"/>
        <w:gridCol w:w="227"/>
        <w:gridCol w:w="494"/>
        <w:gridCol w:w="271"/>
        <w:gridCol w:w="146"/>
        <w:gridCol w:w="211"/>
        <w:gridCol w:w="781"/>
        <w:gridCol w:w="146"/>
        <w:gridCol w:w="146"/>
        <w:gridCol w:w="227"/>
        <w:gridCol w:w="494"/>
        <w:gridCol w:w="316"/>
      </w:tblGrid>
      <w:t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5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Amortization of intangible assets resulting from acquisition-related purchase accounting adjustments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resulting from purchase accounting adjustments represents non-cash amortization of acquired intangibles, primarily resulting from the Advent Acquisition.</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net and loss on partial extinguishment of debt, (ii) benefit from income taxes, and (iii) depreciation and amortization. Management further adjusts EBITDA in its presentation of Adjusted EBITDA to exclude (i) other income, net, (ii) equity-based compensation, (iii) transaction,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respectively, for the periods presented: </w:t>
      </w:r>
    </w:p>
    <w:tbl>
      <w:tblPr>
        <w:tblW w:w="12059" w:type="dxa"/>
        <w:jc w:val="left"/>
        <w:tblInd w:w="0" w:type="dxa"/>
        <w:tblLayout w:type="fixed"/>
        <w:tblCellMar>
          <w:top w:w="28" w:type="dxa"/>
          <w:left w:w="28" w:type="dxa"/>
          <w:bottom w:w="28" w:type="dxa"/>
          <w:right w:w="28" w:type="dxa"/>
        </w:tblCellMar>
      </w:tblPr>
      <w:tblGrid>
        <w:gridCol w:w="1286"/>
        <w:gridCol w:w="246"/>
        <w:gridCol w:w="196"/>
        <w:gridCol w:w="601"/>
        <w:gridCol w:w="266"/>
        <w:gridCol w:w="246"/>
        <w:gridCol w:w="213"/>
        <w:gridCol w:w="508"/>
        <w:gridCol w:w="341"/>
        <w:gridCol w:w="246"/>
        <w:gridCol w:w="196"/>
        <w:gridCol w:w="661"/>
        <w:gridCol w:w="266"/>
        <w:gridCol w:w="246"/>
        <w:gridCol w:w="213"/>
        <w:gridCol w:w="508"/>
        <w:gridCol w:w="341"/>
        <w:gridCol w:w="246"/>
        <w:gridCol w:w="196"/>
        <w:gridCol w:w="751"/>
        <w:gridCol w:w="266"/>
        <w:gridCol w:w="246"/>
        <w:gridCol w:w="180"/>
        <w:gridCol w:w="541"/>
        <w:gridCol w:w="341"/>
        <w:gridCol w:w="246"/>
        <w:gridCol w:w="196"/>
        <w:gridCol w:w="751"/>
        <w:gridCol w:w="266"/>
        <w:gridCol w:w="246"/>
        <w:gridCol w:w="180"/>
        <w:gridCol w:w="541"/>
        <w:gridCol w:w="286"/>
      </w:tblGrid>
      <w:tr>
        <w:tc>
          <w:tcPr>
            <w:tcW w:w="1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Net loss</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(205,212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(182,150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Interest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(Benefit from) provision for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(9,906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Loss on partial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Depreciation &amp;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12,618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39,645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42,215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8,062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(165,790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(146,381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7"/>
              </w:rPr>
            </w:pPr>
            <w:r>
              <w:rPr>
                <w:rFonts w:ascii="Times New Roman" w:hAnsi="Times New Roman"/>
                <w:color w:val="000000"/>
                <w:sz w:val="17"/>
              </w:rPr>
              <w:t xml:space="preserve">Other (income) expense, net </w:t>
            </w:r>
            <w:r>
              <w:rPr>
                <w:rFonts w:ascii="Times New Roman" w:hAnsi="Times New Roman"/>
                <w:color w:val="000000"/>
                <w:sz w:val="11"/>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7"/>
              </w:rPr>
            </w:pPr>
            <w:r>
              <w:rPr>
                <w:rFonts w:ascii="Times New Roman" w:hAnsi="Times New Roman"/>
                <w:color w:val="000000"/>
                <w:sz w:val="17"/>
              </w:rPr>
              <w:t xml:space="preserve">Equity-based compensation </w:t>
            </w:r>
            <w:r>
              <w:rPr>
                <w:rFonts w:ascii="Times New Roman" w:hAnsi="Times New Roman"/>
                <w:color w:val="000000"/>
                <w:sz w:val="11"/>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5,525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7"/>
              </w:rPr>
            </w:pPr>
            <w:r>
              <w:rPr>
                <w:rFonts w:ascii="Times New Roman" w:hAnsi="Times New Roman"/>
                <w:color w:val="000000"/>
                <w:sz w:val="17"/>
              </w:rPr>
              <w:t xml:space="preserve">Transaction, integration, and restructuring expenses </w:t>
            </w:r>
            <w:r>
              <w:rPr>
                <w:rFonts w:ascii="Times New Roman" w:hAnsi="Times New Roman"/>
                <w:color w:val="000000"/>
                <w:sz w:val="11"/>
              </w:rPr>
              <w:t>(c)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7"/>
              </w:rPr>
            </w:pPr>
            <w:r>
              <w:rPr>
                <w:rFonts w:ascii="Times New Roman" w:hAnsi="Times New Roman"/>
                <w:color w:val="000000"/>
                <w:sz w:val="17"/>
              </w:rPr>
              <w:t xml:space="preserve">Goodwill impairment </w:t>
            </w:r>
            <w:r>
              <w:rPr>
                <w:rFonts w:ascii="Times New Roman" w:hAnsi="Times New Roman"/>
                <w:color w:val="000000"/>
                <w:sz w:val="11"/>
              </w:rPr>
              <w:t>(d)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176,531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17"/>
              </w:rPr>
            </w:pPr>
            <w:r>
              <w:rPr>
                <w:rFonts w:ascii="Times New Roman" w:hAnsi="Times New Roman"/>
                <w:color w:val="000000"/>
                <w:sz w:val="17"/>
              </w:rPr>
              <w:t xml:space="preserve">Other non-core items </w:t>
            </w:r>
            <w:r>
              <w:rPr>
                <w:rFonts w:ascii="Times New Roman" w:hAnsi="Times New Roman"/>
                <w:color w:val="000000"/>
                <w:sz w:val="11"/>
              </w:rPr>
              <w:t>(e)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7"/>
              </w:rPr>
            </w:pPr>
            <w:r>
              <w:rPr>
                <w:rFonts w:ascii="Times New Roman" w:hAnsi="Times New Roman"/>
                <w:b/>
                <w:color w:val="000000"/>
                <w:sz w:val="17"/>
              </w:rPr>
              <w:t>Adjusted EBITDA</w:t>
            </w:r>
            <w:r>
              <w:rPr>
                <w:rFonts w:ascii="Times New Roman" w:hAnsi="Times New Roman"/>
                <w:color w:val="000000"/>
                <w:sz w:val="17"/>
              </w:rPr>
              <w:t xml:space="preserve"> </w:t>
            </w:r>
            <w:r>
              <w:rPr>
                <w:rFonts w:ascii="Times New Roman" w:hAnsi="Times New Roman"/>
                <w:b/>
                <w:color w:val="000000"/>
                <w:sz w:val="17"/>
              </w:rPr>
              <w:t>and margin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18,949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52,311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Primarily represents foreign exchange and TRA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and integration expenses consist primarily of legal, accounting, consulting, and other costs incurred in connection with acquisitions and strategic partnerships, including fair value adjustments related to contingent consideration. For the periods presented, these expenses include a first quarter 2026 adjustment from the favorable settlement of a significant data contract terminated in 2025 in connection with the integration of a prior acquisition, and a second quarter 2026 adjustment related to the settlement of an earnout matter. Restructuring expenses consist primarily of severance and other employee separation benefits under the Company’s restructuring plans, as well as impairment and other charges related to office closures, relocations, and consolidations.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497"/>
        <w:gridCol w:w="546"/>
        <w:gridCol w:w="243"/>
        <w:gridCol w:w="486"/>
        <w:gridCol w:w="284"/>
        <w:gridCol w:w="284"/>
        <w:gridCol w:w="243"/>
        <w:gridCol w:w="729"/>
        <w:gridCol w:w="666"/>
        <w:gridCol w:w="646"/>
        <w:gridCol w:w="227"/>
        <w:gridCol w:w="679"/>
        <w:gridCol w:w="286"/>
        <w:gridCol w:w="264"/>
        <w:gridCol w:w="227"/>
        <w:gridCol w:w="679"/>
        <w:gridCol w:w="219"/>
      </w:tblGrid>
      <w:tr>
        <w:tc>
          <w:tcPr>
            <w:tcW w:w="349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34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Goodwill impairment represents non-cash, pre-tax, goodwill impairment charges. We experienced declines in our market capitalization as a result of sustained decreases in our stock price, which represented triggering events requiring our management to perform quantitative goodwill impairment tests as of the end of the first quarters of 2026 and 2025. As a result of the impairment tests conducted, we determined that the fair value of our single reporting unit was lower than its carrying value and, accordingly, recorded the impairment charges.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regulatory and advisory costs isolated to unique and extraordinary litigation, legal, regulatory, and other matters that are not considered normal and recurring business activity, including professional fees in connection with the evaluation of strategic, financial, tax, and capital structure alternatives. Other non-core items also include consulting fees and severance costs associated with strategic transition initiatives, as well as other non-core items.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491"/>
        <w:gridCol w:w="546"/>
        <w:gridCol w:w="239"/>
        <w:gridCol w:w="650"/>
        <w:gridCol w:w="302"/>
        <w:gridCol w:w="280"/>
        <w:gridCol w:w="239"/>
        <w:gridCol w:w="650"/>
        <w:gridCol w:w="646"/>
        <w:gridCol w:w="646"/>
        <w:gridCol w:w="235"/>
        <w:gridCol w:w="638"/>
        <w:gridCol w:w="297"/>
        <w:gridCol w:w="274"/>
        <w:gridCol w:w="235"/>
        <w:gridCol w:w="638"/>
        <w:gridCol w:w="199"/>
      </w:tblGrid>
      <w:tr>
        <w:tc>
          <w:tcPr>
            <w:tcW w:w="34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34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regulatory, and advisory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3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pPr>
            <w: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September 30, 2026, we had $177.1 million of cash and cash equivalents, $12.8 million of short-term investments, and $49.7 million available under our Revolving Credit Facility (as the term is defined below). Our principal sources of liquidity are cash and cash equivalents and short-term investments on hand, as well as the cash flows we generate from operations. Our principal uses of liquidity have been, and are expected to continue to be, primarily for investment in long-term growth of the business through capital expenditures and acquisitions, as well as for various other financing activities, including debt services (see Note 9. </w:t>
      </w:r>
      <w:r>
        <w:rPr>
          <w:rFonts w:ascii="Times New Roman" w:hAnsi="Times New Roman"/>
          <w:i/>
          <w:color w:val="000000"/>
          <w:sz w:val="20"/>
        </w:rPr>
        <w:t>Long-Term Debt</w:t>
      </w:r>
      <w:r>
        <w:rPr>
          <w:rFonts w:ascii="Times New Roman" w:hAnsi="Times New Roman"/>
          <w:color w:val="000000"/>
          <w:sz w:val="20"/>
        </w:rPr>
        <w:t xml:space="preserve"> to our accompanying unaudited condensed consolidated financial statements for further details), distributions to members of Definitive OpCo, and payments under our TRA liability. </w:t>
      </w:r>
    </w:p>
    <w:p>
      <w:pPr>
        <w:pStyle w:val="TextBody"/>
        <w:bidi w:val="0"/>
        <w:spacing w:before="120" w:after="283"/>
        <w:jc w:val="left"/>
        <w:rPr>
          <w:rFonts w:ascii="Times New Roman" w:hAnsi="Times New Roman"/>
          <w:sz w:val="20"/>
        </w:rPr>
      </w:pPr>
      <w:r>
        <w:rPr>
          <w:rFonts w:ascii="Times New Roman" w:hAnsi="Times New Roman"/>
          <w:color w:val="000000"/>
          <w:sz w:val="20"/>
        </w:rPr>
        <w:t>All of our business is conducted through Definitive OpCo and its consolidated subsidiaries and affiliates, and the financial results are included in the unaudited condensed consolidated financial statements of Definitive Healthcare Corp. Definitive Healthcare Corp. has no independent means of generating revenue. The Amended LLC Agreement provides that certain distributions will be made to cover Definitive Healthcare Corp.</w:t>
      </w:r>
      <w:r>
        <w:rPr>
          <w:rFonts w:ascii="Times New Roman" w:hAnsi="Times New Roman"/>
          <w:color w:val="231F20"/>
          <w:sz w:val="20"/>
        </w:rPr>
        <w:t>’</w:t>
      </w:r>
      <w:r>
        <w:rPr>
          <w:rFonts w:ascii="Times New Roman" w:hAnsi="Times New Roman"/>
          <w:color w:val="000000"/>
          <w:sz w:val="20"/>
        </w:rPr>
        <w:t xml:space="preserve">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and in the long term.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“Risk Factors” in our 2025 Form 10-K and the factors described elsewhere in this “Management’s Discussion and Analysis of Financial Condition and Results of Operations.” Macroeconomic conditions, including fluctuating inflation and high interest rates, could increase our anticipated funding requirements. In the event we need to seek additional funding, high interest rates, stock market volatility, or other unfavorable macroeconomic conditions may also prevent us from obtaining additional financing on favorable terms or at all.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 In addition, if we are unable to maintain compliance with Nasdaq’s continued listing requirements, our ability to access capital markets and raise additional financing on favorable terms could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short-term investments, and trade and other receivables. We hold cash with reputable financial institutions that often exceed federally insured limits. We manage our credit risk by concentrating our cash deposits and short-term investments with high-quality financial institutions and periodically evaluating the credit quality of those institutions. The carrying value of our financial instruments approximate fair value.</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of Inflation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tbl>
      <w:tblPr>
        <w:tblW w:w="10205" w:type="dxa"/>
        <w:jc w:val="left"/>
        <w:tblInd w:w="0" w:type="dxa"/>
        <w:tblLayout w:type="fixed"/>
        <w:tblCellMar>
          <w:top w:w="28" w:type="dxa"/>
          <w:left w:w="28" w:type="dxa"/>
          <w:bottom w:w="28" w:type="dxa"/>
          <w:right w:w="28" w:type="dxa"/>
        </w:tblCellMar>
      </w:tblPr>
      <w:tblGrid>
        <w:gridCol w:w="6477"/>
        <w:gridCol w:w="546"/>
        <w:gridCol w:w="217"/>
        <w:gridCol w:w="759"/>
        <w:gridCol w:w="274"/>
        <w:gridCol w:w="253"/>
        <w:gridCol w:w="217"/>
        <w:gridCol w:w="867"/>
        <w:gridCol w:w="595"/>
      </w:tblGrid>
      <w:tr>
        <w:tc>
          <w:tcPr>
            <w:tcW w:w="647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c>
          <w:tcPr>
            <w:tcW w:w="647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34,442</w:t>
            </w:r>
          </w:p>
        </w:tc>
        <w:tc>
          <w:tcPr>
            <w:tcW w:w="2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51,057</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7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2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(16,337</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(146,877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5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$34.4 million during the nine months ended September 30, 2026, primarily as a result of a net loss of $205.2 million, offset by non-cash charges of $253.4 million. The non-cash charges were primarily comprised of $197.2 million in goodwill impairment charges recorded during the nine months ended September 30, 2026, a gain on remeasurement of the TRA of $6.8 million, amortization of intangible assets of $36.3 million, equity compensation costs of $16.0 million, amortization of deferred contract costs of $11.1 million, and a decrease in deferred taxes of $4.4 million. The net decrease in operating assets and liabilities of $13.8 million for the nine months ended September 30, 2026 was primarily driven by cash outflows resulting from lower accounts payable, accrued expenses, and other liabilities, collectively, of $10.0 million, an increase in deferred contract costs of $8.1 million, and a decrease in deferred revenue of $18.7 million due to the timing of billings and cash received in advance of revenue recognition for subscription services. These factors were partially offset by cash inflows resulting from a decrease in accounts receivable of $22.6 million and a decrease in prepaid expenses and other assets of $0.4 million.</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nine months ended September 30, 2026 was $3.7 million, driven primarily by $12.5 million in purchases of short-term investments and $8.5 million in purchases of property (including software), equipment, and data assets, partially offset by $17.3 million in maturities of short-term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Cash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nine months ended September 30, 2026 was $16.3 million, driven by payments of $8.1 million under the TRA, net repayments of the 2021 Term Loan (as defined below) of $6.6 million, and taxes paid related to the net share settlement of equity awards of $1.7 million.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a credit agreement, as amended (the “2021 Credit Agreement”), providing for a $175.0 million term loan facility (the “2021 Term Loan”) and a $50.0 million revolving credit facility (the “Revolving Credit Facility”), each of which matures on January 16, 2030. The obligations under the 2021 Credit Agreement are secured by pledges of assets as described in the 2025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2026, we repaid $6.6 million in outstanding principal of the 2021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had no outstanding borrowings under the Revolving Credit Facility and had $49.7 million of available borrowing capacity after giving effect to $0.3 million of outstanding 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 compliance with our financial covenants under the 2021 Credit Agreement as of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Unamortized financing costs related to the Revolving Credit Facility, which were included in other assets in the unaudited condensed consolidated balance sheets, were $0.4 million and $0.5 million as of September 30,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Obligations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the 2021 Term Loan, lease payments, and purchase obligations. There have been no material changes to our financing obligations during the nine months ended September 30, 2026. Refer to Note 5. </w:t>
      </w:r>
      <w:r>
        <w:rPr>
          <w:rFonts w:ascii="Times New Roman" w:hAnsi="Times New Roman"/>
          <w:i/>
          <w:color w:val="000000"/>
          <w:sz w:val="20"/>
        </w:rPr>
        <w:t>Leases</w:t>
      </w:r>
      <w:r>
        <w:rPr>
          <w:rFonts w:ascii="Times New Roman" w:hAnsi="Times New Roman"/>
          <w:color w:val="000000"/>
          <w:sz w:val="20"/>
        </w:rPr>
        <w:t xml:space="preserve"> and Note 15. </w:t>
      </w:r>
      <w:r>
        <w:rPr>
          <w:rFonts w:ascii="Times New Roman" w:hAnsi="Times New Roman"/>
          <w:i/>
          <w:color w:val="000000"/>
          <w:sz w:val="20"/>
        </w:rPr>
        <w:t>Commitments and Contingencies</w:t>
      </w:r>
      <w:r>
        <w:rPr>
          <w:rFonts w:ascii="Times New Roman" w:hAnsi="Times New Roman"/>
          <w:color w:val="000000"/>
          <w:sz w:val="20"/>
        </w:rPr>
        <w:t xml:space="preserve"> to our consolidated financial statements included in our 2025 Form 10-K for further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15. </w:t>
      </w:r>
      <w:r>
        <w:rPr>
          <w:rFonts w:ascii="Times New Roman" w:hAnsi="Times New Roman"/>
          <w:i/>
          <w:color w:val="000000"/>
          <w:sz w:val="20"/>
        </w:rPr>
        <w:t>Income Taxes</w:t>
      </w:r>
      <w:r>
        <w:rPr>
          <w:rFonts w:ascii="Times New Roman" w:hAnsi="Times New Roman"/>
          <w:color w:val="000000"/>
          <w:sz w:val="20"/>
        </w:rPr>
        <w:t xml:space="preserve"> to our accompanying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previously disclosed, representatives of the TRA Parties, acting on behalf of the applicable TRA Parties, irrevocably waived the right of such TRA Parties to receive an Early Termination Payment (as defined in the TRA) in connection with any Qualifying Change of Control. Upon the consummation of a Qualifying Change of Control, the TRA will terminate in accordance with its terms. Except for this limited Waiver, the TRA Parties’ rights under the TRA, including rights to tax benefit payments with respect to taxable years ending prior to, with, or including the consummation of a Qualifying Change of Control, remain unaffected. See Note 15. </w:t>
      </w:r>
      <w:r>
        <w:rPr>
          <w:rFonts w:ascii="Times New Roman" w:hAnsi="Times New Roman"/>
          <w:i/>
          <w:color w:val="000000"/>
          <w:sz w:val="20"/>
        </w:rPr>
        <w:t>Income Taxes</w:t>
      </w:r>
      <w:r>
        <w:rPr>
          <w:rFonts w:ascii="Times New Roman" w:hAnsi="Times New Roman"/>
          <w:color w:val="000000"/>
          <w:sz w:val="20"/>
        </w:rPr>
        <w:t xml:space="preserve"> to our accompanying unaudited condensed consolidated financial statements for additional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requirement of our lease agreement for our corporate headquarters, in lieu of a security deposit, we provided a standby letter of credit of $0.3 million, which is effective through March 2038. </w:t>
      </w:r>
    </w:p>
    <w:p>
      <w:pPr>
        <w:pStyle w:val="TextBody"/>
        <w:bidi w:val="0"/>
        <w:spacing w:before="24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decreased by $3.8 million to $8.5 million for the nine months ended September 30, 2026 compared to $12.3 million for the same period in the prior year, primarily driven by lower spend on software, using both internal and third-party resources, and data assets in the current year compared with the comparable prior year period.</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U.S.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2025 included in our 2025 Form 10-K. Other than the full impairment of our remaining goodwill during the first quarter of 2026, there have been no material changes to these policies or estimates as of September 30, 2026. </w:t>
      </w:r>
    </w:p>
    <w:p>
      <w:pPr>
        <w:pStyle w:val="TextBody"/>
        <w:bidi w:val="0"/>
        <w:spacing w:before="240" w:after="283"/>
        <w:jc w:val="left"/>
        <w:rPr>
          <w:rFonts w:ascii="Times New Roman" w:hAnsi="Times New Roman"/>
          <w:sz w:val="20"/>
        </w:rPr>
      </w:pPr>
      <w:r>
        <w:rPr>
          <w:rFonts w:ascii="Times New Roman" w:hAnsi="Times New Roman"/>
          <w:b/>
          <w:i/>
          <w:color w:val="000000"/>
          <w:sz w:val="20"/>
        </w:rPr>
        <w:t>New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new accounting pronouncements described under “—Recently Issued Accounting Pronouncements Not Yet Adopted” within Note 1. </w:t>
      </w:r>
      <w:r>
        <w:rPr>
          <w:rFonts w:ascii="Times New Roman" w:hAnsi="Times New Roman"/>
          <w:i/>
          <w:color w:val="000000"/>
          <w:sz w:val="20"/>
        </w:rPr>
        <w:t>Organization and Basis of Presentation</w:t>
      </w:r>
      <w:r>
        <w:rPr>
          <w:rFonts w:ascii="Times New Roman" w:hAnsi="Times New Roman"/>
          <w:color w:val="000000"/>
          <w:sz w:val="20"/>
        </w:rPr>
        <w:t xml:space="preserve"> to our accompanying unaudited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condition due to adverse changes in financial market prices and rates. Our market risk exposure is primarily a result of exposure due to potential changes in inflation, interest rates, or currency rates. There have been no material changes to our quantitative and qualitative disclosures about market risk as compared to the quantitative and qualitative disclosures about market risk described in our 2025 Form 10-K.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our management carried out an evaluation, under the supervision and participation of our Chief Executive Officer (principal executive officer) and our Chief Financial Officer (principal financial officer), of the effectiveness of the design of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its objectives, and management necessarily applies its judgment in evaluating the cost-benefit relationship of possible controls and procedures. Based on such evaluation, our Chief Executive Officer and Chief Financial Officer have concluded that our disclosure controls and procedures were effective as of September 30, 2026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fiscal quarter ended September 30, 2026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14" w:name="part_ii_othe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 addition to the matter discussed in Part I, we are subject to various legal proceedings, claims, and governmental inspections, audits, or investigations that arise in the ordinary course of our business. Although the outcomes of these matters cannot be predicted with certainty, in the opinion of management, the ultimate resolution of these matters would not be expected to have a material adverse effect on our financial position, results of operations, or cash flows. </w:t>
      </w:r>
    </w:p>
    <w:p>
      <w:pPr>
        <w:pStyle w:val="TextBody"/>
        <w:bidi w:val="0"/>
        <w:spacing w:before="20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Other than described below, management believes that there have been no material changes to the risk factors associated with our business as compared to those disclosed in Part I, Item 1A of our 2025 Form 10-K.</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If we do not continue to satisfy the Nasdaq continued listing requirements, our Class A common stock could be delisted from Nasdaq. Our ability to publicly or privately sell equity securities and the liquidity of our Class A common stock could be adversely affected if our Class A common stock is delisted.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is no guarantee that we will continue to meet all requirements for continued listing on The Nasdaq Global Select Market. We must continue to satisfy The Nasdaq Stock Market LLC’s (“Nasdaq”) continued listing requirements, including, among other things, a minimum closing bid price requirement of $1.00 per share.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18, 2026, we received a letter from the Listing Qualifications Department of Nasdaq providing notification that, for the 30 consecutive business days ended June 17, 2026, the bid price for our Class A common stock had closed below the minimum $1.00 per share requirement for continued listing on The Nasdaq Global Select Market under Nasdaq Listing Rule 5450(a)(1). On October 30, 2026, Nasdaq notified us that for the last 10 consecutive business days, from October 16, 2026 to October 29, 2026, the closing bid price of our Class A common stock had been $1.00 per share or greater and, accordingly, we had regained compliance with Nasdaq Listing Rule 5450(a)(1) and the matter was now closed.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Even though we have regained compliance with Nasdaq’s minimum closing bid price requirement, there is no guarantee that we will remain in compliance with such listing requirement or other listing requirements in the future. If the closing bid price of our Class A common stock should fall below $1.00 for 30 consecutive business days in the future, we could again fail to meet the minimum bid price requirement for continued listing on The Nasdaq Global Select Market and face a risk of delisting.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future, if our Class A common stock falls below the continued listing standard of $1.00 per share or otherwise fails to satisfy any of the Nasdaq continued listing requirements, and if we are unable to cure such deficiency during any subsequent cure period, our Class A common stock could be delisted from Nasdaq. Any failure to maintain compliance with the continued listing requirements of Nasdaq could result in delisting of our Class A common stock and negatively impact our company and holders of our Class A common stock, including by reducing the willingness of investors to hold our Class A common stock because of the resulting decreased price, liquidity and trading of our Class A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360" w:after="160"/>
        <w:jc w:val="left"/>
        <w:rPr>
          <w:rFonts w:ascii="Times New Roman" w:hAnsi="Times New Roman"/>
          <w:b/>
          <w:color w:val="000000"/>
          <w:sz w:val="20"/>
        </w:rPr>
      </w:pPr>
      <w:r>
        <w:rPr>
          <w:rFonts w:ascii="Times New Roman" w:hAnsi="Times New Roman"/>
          <w:b/>
          <w:color w:val="000000"/>
          <w:sz w:val="20"/>
        </w:rPr>
        <w:t>There can be no assurance that any definitive agreement will result from the non-binding acquisition proposal submitted by Advent or that any transaction will be consummated.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previously announced, on September 2, 2026, the Special Committee, consisting solely of independent and disinterested directors, received a non-binding indication of interest from Advent to acquire all outstanding shares of our Class A common stock and all outstanding LLC Units, in each case, not already owned by Advent or Jason Krantz, our founder and Executive Chairman. The Special Committee is reviewing and evaluating the proposal and any alternatives thereto with the assistance of its independent legal and financial advisors. No decisions have been made with respect to our response to the proposal or any alternatives thereto, and there can be no assurance that we will pursue the proposed transaction or any other strategic alternative, or that any transaction will be approved or consummated.. Uncertainty about the effect of such proposals or alternatives on our employees, customers and other parties may have an adverse effect on our business, financial condition, results of operation and share price. These risks include, but are not limited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impairment of our ability to attract, retain, and motivate our employees, including key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diversion of significant management time and resources;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difficulties maintaining relationships with customers and other business partners;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delays or deferments of certain business decisions by our customers and other business partners;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inability to pursue alternative business opportunities or make appropriate changes to our business;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litigation in connection with the proposal or alternatives, which can result in substantial costs and divert management time and resources;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any perceived uncertainties as to our future direction, strategy or leadership created as a result of the proposal;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incurrence of significant costs, expenses and fees for any professional services or other transaction costs in connection with any proposed transaction or the process to evaluate such.</w:t>
        <w:br/>
        <w:t> </w:t>
      </w:r>
    </w:p>
    <w:p>
      <w:pPr>
        <w:pStyle w:val="TextBody"/>
        <w:bidi w:val="0"/>
        <w:spacing w:before="240" w:after="283"/>
        <w:jc w:val="left"/>
        <w:rPr>
          <w:rFonts w:ascii="Times New Roman" w:hAnsi="Times New Roman"/>
          <w:b/>
          <w:color w:val="000000"/>
          <w:sz w:val="20"/>
        </w:rPr>
      </w:pPr>
      <w:bookmarkStart w:id="17" w:name="item2_unregistered_sales_of_equity"/>
      <w:bookmarkEnd w:id="17"/>
      <w:r>
        <w:rPr>
          <w:rFonts w:ascii="Times New Roman" w:hAnsi="Times New Roman"/>
          <w:b/>
          <w:color w:val="000000"/>
          <w:sz w:val="20"/>
        </w:rPr>
        <w:t>ITEM 2. UNREGISTERED SALES OF EQUITY SECURITIES AND USE OF PROCEEDS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4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5_othe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i/>
          <w:color w:val="000000"/>
          <w:sz w:val="20"/>
        </w:rPr>
      </w:pPr>
      <w:r>
        <w:rPr>
          <w:rFonts w:ascii="Times New Roman" w:hAnsi="Times New Roman"/>
          <w:b/>
          <w:i/>
          <w:color w:val="000000"/>
          <w:sz w:val="20"/>
        </w:rPr>
        <w:t>Item 5.02 of Form 8-K Compensatory Arrangements of Certain Officers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October 2026, the Company entered into a separation agreement with its former Chief Executive Officer in connection with his previously announced departure from the Company. Pursuant to the separation agreement, in addition to the severance payments and benefits provided for in the former Chief Executive Officer’s employment agreement, the Company also agreed to make an incremental cash payment of $1.0 million, in exchange for the former Chief Executive Officer agreeing to waive certain rights and forfeit certain outstanding performance-based equity awards. The Company expects to recognize the related impact in the fourth quarter of 2026. The foregoing description is qualified in its entirety by reference to the Separation Agreement, which is filed as Exhibit 10.2 to this Quarterly Report on Form 10-Q.</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foregoing disclosures are being made in this Quarterly Report on Form 10-Q in lieu of filing a Current Report on Form 8-K pursuant to Item 5.02(e) of Form 8-K.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57"/>
        <w:gridCol w:w="146"/>
        <w:gridCol w:w="9302"/>
      </w:tblGrid>
      <w:tr>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2" w:type="dxa"/>
            <w:tcBorders/>
            <w:vAlign w:val="center"/>
          </w:tcPr>
          <w:p>
            <w:pPr>
              <w:pStyle w:val="TableContents"/>
              <w:bidi w:val="0"/>
              <w:spacing w:before="0" w:after="283"/>
              <w:jc w:val="left"/>
              <w:rPr>
                <w:sz w:val="4"/>
                <w:szCs w:val="4"/>
              </w:rPr>
            </w:pPr>
            <w:r>
              <w:rPr>
                <w:sz w:val="4"/>
                <w:szCs w:val="4"/>
              </w:rPr>
            </w:r>
          </w:p>
        </w:tc>
      </w:tr>
      <w:tr>
        <w:tc>
          <w:tcPr>
            <w:tcW w:w="757"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02" w:type="dxa"/>
            <w:tcBorders/>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Reorganization Agreement, dated September 14, 2021, between Definitive Healthcare Corp., AIDH TopCo, LLC and the parties named therein (incorporated by reference to Exhibit 10.8 to the Company’s Quarterly Report on Form 10-Q (File No. 001-40815) filed with the SEC on November 8, 2021).</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02" w:type="dxa"/>
            <w:tcBorders/>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02"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02"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Employment Agreement, dated August 28, 2026, between Definitive Healthcare Corp. and Clay Ritchey (incorporated</w:t>
                <w:br/>
                <w:t>by reference to Exhibit 10.1 to the Company's Current Report on Form 8-K (File No. 001-40815) filed with the SEC on September 2, 2026).</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02" w:type="dxa"/>
            <w:tcBorders/>
            <w:tcMar>
              <w:top w:w="0" w:type="dxa"/>
              <w:left w:w="0" w:type="dxa"/>
              <w:bottom w:w="0" w:type="dxa"/>
              <w:right w:w="0" w:type="dxa"/>
            </w:tcMar>
            <w:vAlign w:val="center"/>
          </w:tcPr>
          <w:p>
            <w:pPr>
              <w:pStyle w:val="TableContents"/>
              <w:bidi w:val="0"/>
              <w:spacing w:before="0" w:after="283"/>
              <w:jc w:val="left"/>
            </w:pPr>
            <w:hyperlink w:anchor="dh-ex10_2.htm">
              <w:r>
                <w:rPr>
                  <w:rStyle w:val="InternetLink"/>
                  <w:rFonts w:ascii="Times New Roman" w:hAnsi="Times New Roman"/>
                  <w:color w:val="0000FF"/>
                  <w:sz w:val="20"/>
                  <w:u w:val="single"/>
                </w:rPr>
                <w:t>Separation Agreement and General Release, dated as of October 30, 2026, by and between Definitive Healthcare Corp. and Kevin Coop.</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302" w:type="dxa"/>
            <w:tcBorders/>
            <w:tcMar>
              <w:top w:w="0" w:type="dxa"/>
              <w:left w:w="0" w:type="dxa"/>
              <w:bottom w:w="0" w:type="dxa"/>
              <w:right w:w="0" w:type="dxa"/>
            </w:tcMar>
            <w:vAlign w:val="center"/>
          </w:tcPr>
          <w:p>
            <w:pPr>
              <w:pStyle w:val="TableContents"/>
              <w:bidi w:val="0"/>
              <w:spacing w:before="0" w:after="283"/>
              <w:jc w:val="left"/>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7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 101)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7275" w:type="dxa"/>
        <w:jc w:val="left"/>
        <w:tblInd w:w="0" w:type="dxa"/>
        <w:tblLayout w:type="fixed"/>
        <w:tblCellMar>
          <w:top w:w="28" w:type="dxa"/>
          <w:left w:w="28" w:type="dxa"/>
          <w:bottom w:w="28" w:type="dxa"/>
          <w:right w:w="28" w:type="dxa"/>
        </w:tblCellMar>
      </w:tblPr>
      <w:tblGrid>
        <w:gridCol w:w="1621"/>
        <w:gridCol w:w="146"/>
        <w:gridCol w:w="406"/>
        <w:gridCol w:w="631"/>
        <w:gridCol w:w="4471"/>
      </w:tblGrid>
      <w:t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5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5102" w:type="dxa"/>
            <w:gridSpan w:val="2"/>
            <w:tcBorders/>
            <w:tcMar>
              <w:top w:w="0" w:type="dxa"/>
              <w:left w:w="0" w:type="dxa"/>
              <w:bottom w:w="0" w:type="dxa"/>
              <w:right w:w="0" w:type="dxa"/>
            </w:tcMar>
            <w:vAlign w:val="center"/>
          </w:tcPr>
          <w:p>
            <w:pPr>
              <w:pStyle w:val="TableContents"/>
              <w:bidi w:val="0"/>
              <w:spacing w:before="0" w:after="283"/>
              <w:jc w:val="left"/>
            </w:pPr>
            <w:r>
              <w:t> </w:t>
            </w:r>
          </w:p>
        </w:tc>
      </w:tr>
      <w:tr>
        <w:tc>
          <w:tcPr>
            <w:tcW w:w="16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Clay Ritchey</w:t>
            </w:r>
          </w:p>
        </w:tc>
      </w:tr>
      <w:t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Clay Ritchey</w:t>
            </w:r>
          </w:p>
        </w:tc>
      </w:tr>
      <w:tr>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Executive Officer (</w:t>
            </w:r>
            <w:r>
              <w:rPr>
                <w:rFonts w:ascii="Times New Roman" w:hAnsi="Times New Roman"/>
                <w:i/>
                <w:color w:val="000000"/>
                <w:sz w:val="20"/>
              </w:rPr>
              <w:t>Principal Executive Officer</w:t>
            </w:r>
            <w:r>
              <w:rPr>
                <w:rFonts w:ascii="Times New Roman" w:hAnsi="Times New Roman"/>
                <w:color w:val="000000"/>
                <w:sz w:val="20"/>
              </w:rPr>
              <w:t>)</w:t>
            </w:r>
          </w:p>
        </w:tc>
      </w:tr>
    </w:tbl>
    <w:tbl>
      <w:tblPr>
        <w:tblW w:w="7230" w:type="dxa"/>
        <w:jc w:val="left"/>
        <w:tblInd w:w="0" w:type="dxa"/>
        <w:tblLayout w:type="fixed"/>
        <w:tblCellMar>
          <w:top w:w="28" w:type="dxa"/>
          <w:left w:w="28" w:type="dxa"/>
          <w:bottom w:w="28" w:type="dxa"/>
          <w:right w:w="28" w:type="dxa"/>
        </w:tblCellMar>
      </w:tblPr>
      <w:tblGrid>
        <w:gridCol w:w="1621"/>
        <w:gridCol w:w="146"/>
        <w:gridCol w:w="406"/>
        <w:gridCol w:w="631"/>
        <w:gridCol w:w="4426"/>
      </w:tblGrid>
      <w:t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c>
          <w:tcPr>
            <w:tcW w:w="16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5,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c>
          <w:tcPr>
            <w:tcW w:w="162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Chief Financial Officer (</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spacing w:before="360" w:after="283"/>
        <w:jc w:val="left"/>
      </w:pPr>
      <w:r>
        <w:t> </w:t>
      </w:r>
    </w:p>
    <w:p>
      <w:pPr>
        <w:pStyle w:val="TextBody"/>
        <w:bidi w:val="0"/>
        <w:spacing w:before="360" w:after="283"/>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4"/>
        </w:rPr>
      </w:pPr>
      <w:bookmarkStart w:id="23" w:name="dh-ex10_2.htm"/>
      <w:bookmarkStart w:id="24" w:name="ksdhex10_2"/>
      <w:bookmarkEnd w:id="23"/>
      <w:bookmarkEnd w:id="24"/>
      <w:r>
        <w:rPr>
          <w:rFonts w:ascii="Times New Roman" w:hAnsi="Times New Roman"/>
          <w:b/>
          <w:color w:val="000000"/>
          <w:sz w:val="24"/>
        </w:rPr>
        <w:t>Exhibit 10.2</w:t>
      </w:r>
      <w:r>
        <w:br w:type="page"/>
      </w:r>
    </w:p>
    <w:p>
      <w:pPr>
        <w:pStyle w:val="TextBody"/>
        <w:bidi w:val="0"/>
        <w:spacing w:before="0" w:after="240"/>
        <w:jc w:val="left"/>
      </w:pPr>
      <w: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SEPARATION AGREEMENT AND GENERAL RELEASE</w:t>
      </w:r>
    </w:p>
    <w:p>
      <w:pPr>
        <w:pStyle w:val="TextBody"/>
        <w:bidi w:val="0"/>
        <w:spacing w:before="0" w:after="240"/>
        <w:jc w:val="both"/>
        <w:rPr>
          <w:rFonts w:ascii="Times New Roman" w:hAnsi="Times New Roman"/>
          <w:sz w:val="24"/>
        </w:rPr>
      </w:pPr>
      <w:r>
        <w:rPr>
          <w:rFonts w:ascii="Times New Roman" w:hAnsi="Times New Roman"/>
          <w:color w:val="000000"/>
          <w:sz w:val="24"/>
        </w:rPr>
        <w:t>This Separation Agreement and General Release (the “</w:t>
      </w:r>
      <w:r>
        <w:rPr>
          <w:rFonts w:ascii="Times New Roman" w:hAnsi="Times New Roman"/>
          <w:color w:val="000000"/>
          <w:sz w:val="24"/>
          <w:u w:val="single"/>
        </w:rPr>
        <w:t>Agreement</w:t>
      </w:r>
      <w:r>
        <w:rPr>
          <w:rFonts w:ascii="Times New Roman" w:hAnsi="Times New Roman"/>
          <w:color w:val="000000"/>
          <w:sz w:val="24"/>
        </w:rPr>
        <w:t>”) is being entered into between Kevin Coop (“</w:t>
      </w:r>
      <w:r>
        <w:rPr>
          <w:rFonts w:ascii="Times New Roman" w:hAnsi="Times New Roman"/>
          <w:color w:val="000000"/>
          <w:sz w:val="24"/>
          <w:u w:val="single"/>
        </w:rPr>
        <w:t>Employee</w:t>
      </w:r>
      <w:r>
        <w:rPr>
          <w:rFonts w:ascii="Times New Roman" w:hAnsi="Times New Roman"/>
          <w:color w:val="000000"/>
          <w:sz w:val="24"/>
        </w:rPr>
        <w:t>”) and Definitive Healthcare, LLC (the “</w:t>
      </w:r>
      <w:r>
        <w:rPr>
          <w:rFonts w:ascii="Times New Roman" w:hAnsi="Times New Roman"/>
          <w:color w:val="000000"/>
          <w:sz w:val="24"/>
          <w:u w:val="single"/>
        </w:rPr>
        <w:t>Company</w:t>
      </w:r>
      <w:r>
        <w:rPr>
          <w:rFonts w:ascii="Times New Roman" w:hAnsi="Times New Roman"/>
          <w:color w:val="000000"/>
          <w:sz w:val="24"/>
        </w:rPr>
        <w:t>”) and its parent company, Definitive Healthcare Corp. (the “</w:t>
      </w:r>
      <w:r>
        <w:rPr>
          <w:rFonts w:ascii="Times New Roman" w:hAnsi="Times New Roman"/>
          <w:color w:val="000000"/>
          <w:sz w:val="24"/>
          <w:u w:val="single"/>
        </w:rPr>
        <w:t>Parent</w:t>
      </w:r>
      <w:r>
        <w:rPr>
          <w:rFonts w:ascii="Times New Roman" w:hAnsi="Times New Roman"/>
          <w:color w:val="000000"/>
          <w:sz w:val="24"/>
        </w:rPr>
        <w:t>”) (together with the Company, the “</w:t>
      </w:r>
      <w:r>
        <w:rPr>
          <w:rFonts w:ascii="Times New Roman" w:hAnsi="Times New Roman"/>
          <w:color w:val="000000"/>
          <w:sz w:val="24"/>
          <w:u w:val="single"/>
        </w:rPr>
        <w:t>Company Group</w:t>
      </w:r>
      <w:r>
        <w:rPr>
          <w:rFonts w:ascii="Times New Roman" w:hAnsi="Times New Roman"/>
          <w:color w:val="000000"/>
          <w:sz w:val="24"/>
        </w:rPr>
        <w:t>”) in connection with the termination of Employee’s employment.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sz w:val="24"/>
        </w:rPr>
      </w:pPr>
      <w:r>
        <w:rPr>
          <w:rFonts w:ascii="Times New Roman" w:hAnsi="Times New Roman"/>
          <w:b/>
          <w:color w:val="000000"/>
          <w:sz w:val="24"/>
        </w:rPr>
        <w:t>Separation</w:t>
      </w:r>
      <w:r>
        <w:rPr>
          <w:rFonts w:ascii="Times New Roman" w:hAnsi="Times New Roman"/>
          <w:color w:val="000000"/>
          <w:sz w:val="24"/>
        </w:rPr>
        <w:t>. Employee’s last day of employment with the Company and the Parent is August 31, 2026 (the “</w:t>
      </w:r>
      <w:r>
        <w:rPr>
          <w:rFonts w:ascii="Times New Roman" w:hAnsi="Times New Roman"/>
          <w:color w:val="000000"/>
          <w:sz w:val="24"/>
          <w:u w:val="single"/>
        </w:rPr>
        <w:t>Separation Date</w:t>
      </w:r>
      <w:r>
        <w:rPr>
          <w:rFonts w:ascii="Times New Roman" w:hAnsi="Times New Roman"/>
          <w:color w:val="000000"/>
          <w:sz w:val="24"/>
        </w:rPr>
        <w:t>”). As of the Separation Date, pursuant to the employment agreement by and between the Company and the Parent and Employee, dated as of May 20, 2024 (the “</w:t>
      </w:r>
      <w:r>
        <w:rPr>
          <w:rFonts w:ascii="Times New Roman" w:hAnsi="Times New Roman"/>
          <w:color w:val="000000"/>
          <w:sz w:val="24"/>
          <w:u w:val="single"/>
        </w:rPr>
        <w:t>Employment Agreement</w:t>
      </w:r>
      <w:r>
        <w:rPr>
          <w:rFonts w:ascii="Times New Roman" w:hAnsi="Times New Roman"/>
          <w:color w:val="000000"/>
          <w:sz w:val="24"/>
        </w:rPr>
        <w:t>”), Employee’s roles or positions on the Board of Directors of the Parent (the “</w:t>
      </w:r>
      <w:r>
        <w:rPr>
          <w:rFonts w:ascii="Times New Roman" w:hAnsi="Times New Roman"/>
          <w:color w:val="000000"/>
          <w:sz w:val="24"/>
          <w:u w:val="single"/>
        </w:rPr>
        <w:t>Board</w:t>
      </w:r>
      <w:r>
        <w:rPr>
          <w:rFonts w:ascii="Times New Roman" w:hAnsi="Times New Roman"/>
          <w:color w:val="000000"/>
          <w:sz w:val="24"/>
        </w:rPr>
        <w:t xml:space="preserve">”) and any of its direct or indirect subsidiaries and affiliates are terminated. At Parent’s reasonable request, the Employee will execute documents confirming those terminations.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sz w:val="24"/>
        </w:rPr>
      </w:pPr>
      <w:r>
        <w:rPr>
          <w:rFonts w:ascii="Times New Roman" w:hAnsi="Times New Roman"/>
          <w:b/>
          <w:color w:val="000000"/>
          <w:sz w:val="24"/>
        </w:rPr>
        <w:t>Final Wages</w:t>
      </w:r>
      <w:r>
        <w:rPr>
          <w:rFonts w:ascii="Times New Roman" w:hAnsi="Times New Roman"/>
          <w:color w:val="000000"/>
          <w:sz w:val="24"/>
        </w:rPr>
        <w:t xml:space="preserve">. Regardless of whether Employee executes this Agreement, Employee will be paid all outstanding, earned and accrued wages and incurred but not reimbursed expenses, through the Separation Date, less the required federal, state and local taxes and other required withholdings.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b/>
          <w:color w:val="000000"/>
          <w:sz w:val="24"/>
        </w:rPr>
        <w:t xml:space="preserve">Severance. </w:t>
      </w:r>
      <w:r>
        <w:rPr>
          <w:rFonts w:ascii="Times New Roman" w:hAnsi="Times New Roman"/>
          <w:color w:val="000000"/>
          <w:sz w:val="24"/>
        </w:rPr>
        <w:t xml:space="preserve">If Employee signs this Agreement within the time frame set forth in </w:t>
      </w:r>
      <w:r>
        <w:rPr>
          <w:rFonts w:ascii="Times New Roman" w:hAnsi="Times New Roman"/>
          <w:color w:val="000000"/>
          <w:sz w:val="24"/>
          <w:u w:val="single"/>
        </w:rPr>
        <w:t>Section 13(a)</w:t>
      </w:r>
      <w:r>
        <w:rPr>
          <w:color w:val="000000"/>
        </w:rPr>
        <w:t xml:space="preserve"> </w:t>
      </w:r>
      <w:r>
        <w:rPr>
          <w:rFonts w:ascii="Times New Roman" w:hAnsi="Times New Roman"/>
          <w:color w:val="000000"/>
          <w:sz w:val="24"/>
        </w:rPr>
        <w:t xml:space="preserve">herein, does not revoke it and at all times abides by its terms, pursuant to the terms of Section 11 (“Severance”) of the Employment Agreement, the Company Group shall provide to Employee the following subject to the conditions and limitations set forth in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below: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rPr>
        <w:t>Salary Continuation</w:t>
      </w:r>
      <w:r>
        <w:rPr>
          <w:rFonts w:ascii="Times New Roman" w:hAnsi="Times New Roman"/>
          <w:color w:val="000000"/>
          <w:sz w:val="24"/>
        </w:rPr>
        <w:t>. The Company Group will make severance payments to Employee in the form of continuation of Employee’s regular base salary in effect on the Separation Date for twelve (12) months following the Separation Date (i.e., $500,000 in the aggregate). These payments will be subject to standard payroll deductions and withholdings and will be made on the Company’s ordinary payroll dates, beginning with the first such date which occurs at least eight 8 business days following the Effective Date (as defined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rPr>
        <w:t>2026 Annual Bonus</w:t>
      </w:r>
      <w:r>
        <w:rPr>
          <w:rFonts w:ascii="Times New Roman" w:hAnsi="Times New Roman"/>
          <w:color w:val="000000"/>
          <w:sz w:val="24"/>
        </w:rPr>
        <w:t>. The Company Group will pay Employee a lump sum payment equal to $500,000, which is equal to the target Annual Bonus for 2026 in accordance with the Bonus Plan (as defined in the Employment Agreement), payable within thirty (30) days following the Effective Date and subject to withholding for all required taxes and required deductions.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sz w:val="24"/>
        </w:rPr>
      </w:pPr>
      <w:r>
        <w:rPr>
          <w:rFonts w:ascii="Times New Roman" w:hAnsi="Times New Roman"/>
          <w:b/>
          <w:color w:val="000000"/>
          <w:sz w:val="24"/>
        </w:rPr>
        <w:t>Equity Treatment</w:t>
      </w:r>
      <w:r>
        <w:rPr>
          <w:rFonts w:ascii="Times New Roman" w:hAnsi="Times New Roman"/>
          <w:color w:val="000000"/>
          <w:sz w:val="24"/>
        </w:rPr>
        <w:t>. The Company Group will accelerate the vesting of all RSUs (as defined in the Employment Agreement), that vest solely based on the passage of time, awarded to Employee by the Company Group at any time (the “</w:t>
      </w:r>
      <w:r>
        <w:rPr>
          <w:rFonts w:ascii="Times New Roman" w:hAnsi="Times New Roman"/>
          <w:color w:val="000000"/>
          <w:sz w:val="24"/>
          <w:u w:val="single"/>
        </w:rPr>
        <w:t>Time-Based Equity</w:t>
      </w:r>
      <w:r>
        <w:rPr>
          <w:rFonts w:ascii="Times New Roman" w:hAnsi="Times New Roman"/>
          <w:color w:val="000000"/>
          <w:sz w:val="24"/>
        </w:rPr>
        <w:t xml:space="preserve">”) to the extent that such Time-Based Equity would otherwise have vested during the twelve (12) month period following the Separation Date had Employee’s employment not terminated; provided, that notwithstanding the foregoing, the Initial RSU Grant, (as defined in the Employment Agreement) shall vest in full. For the purposes of clarity, as defined in the preceding sentence, the Time-Based Equity shall not include any equity or equity-based awards that vest based on performance and the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acceleration described in the preceding sentence shall not apply to any such performance-based equity. A schedule showing outstanding Time-Based Equity, the number of vested and unvested shares or units as of the Termination Date, and the treatment of each award under subsections (c) is attached hereto as Exhibit 1. Except for the acceleration expressly provided above, the applicable equity plans and award agreements continue to govern settlement, tax withholding, and other applicable administrative terms, including the Company’s practices with respect to forfeiture of RSUs for the purposes of satisfying withholding obligations. Notwithstanding anything to the contrary in any award agreement or other agreement between the Company and Employee, the Company and Employee agree that as of the Effective Date, Employee forfeits any and all rights and entitlement he may have to the Value Creation PSU Grant (as defined in the Employment Agreement) and the awards granted under the 2025 Restricted Stock Unit Award Agreement (Performance-Based) dated March 1, 2025 and under the 2026 Restricted Stock Unit Award Agreement (Performance-Based) dated February 24, 2026.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sz w:val="24"/>
        </w:rPr>
      </w:pPr>
      <w:r>
        <w:rPr>
          <w:rFonts w:ascii="Times New Roman" w:hAnsi="Times New Roman"/>
          <w:b/>
          <w:color w:val="000000"/>
          <w:sz w:val="24"/>
        </w:rPr>
        <w:t>Additional Cash Payment</w:t>
      </w:r>
      <w:r>
        <w:rPr>
          <w:rFonts w:ascii="Times New Roman" w:hAnsi="Times New Roman"/>
          <w:color w:val="000000"/>
          <w:sz w:val="24"/>
        </w:rPr>
        <w:t>. The Company Group will pay Employee a lump sum payment equal to one million dollars ($1,000,000), payable within thirty (30) days following the Effective Date and subject to withholding for all required taxes and required deductions.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sz w:val="24"/>
        </w:rPr>
      </w:pPr>
      <w:r>
        <w:rPr>
          <w:rFonts w:ascii="Times New Roman" w:hAnsi="Times New Roman"/>
          <w:b/>
          <w:color w:val="000000"/>
          <w:sz w:val="24"/>
        </w:rPr>
        <w:t>COBRA</w:t>
      </w:r>
      <w:r>
        <w:rPr>
          <w:rFonts w:ascii="Times New Roman" w:hAnsi="Times New Roman"/>
          <w:color w:val="000000"/>
          <w:sz w:val="24"/>
        </w:rPr>
        <w:t>. Should Employee timely elect and be eligible to continue receiving group medical insurance pursuant to the Consolidated Omnibus Budget Reconciliation Act (“</w:t>
      </w:r>
      <w:r>
        <w:rPr>
          <w:rFonts w:ascii="Times New Roman" w:hAnsi="Times New Roman"/>
          <w:color w:val="000000"/>
          <w:sz w:val="24"/>
          <w:u w:val="single"/>
        </w:rPr>
        <w:t>COBRA</w:t>
      </w:r>
      <w:r>
        <w:rPr>
          <w:rFonts w:ascii="Times New Roman" w:hAnsi="Times New Roman"/>
          <w:color w:val="000000"/>
          <w:sz w:val="24"/>
        </w:rPr>
        <w:t>”), the Company Group shall pay the entire amount of the premiums (and any administrative charges) for such coverage for a period of twelve (12) months following the Separation Date, or if earlier, until the date Employee is no longer eligible to receive COBRA continuation coverage or the date on which Employee becomes eligible to receive substantially similar coverage from another employer.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sz w:val="24"/>
        </w:rPr>
      </w:pPr>
      <w:r>
        <w:rPr>
          <w:rFonts w:ascii="Times New Roman" w:hAnsi="Times New Roman"/>
          <w:b/>
          <w:color w:val="000000"/>
          <w:sz w:val="24"/>
        </w:rPr>
        <w:t>Conditions and Limitations to Severance</w:t>
      </w:r>
      <w:r>
        <w:rPr>
          <w:rFonts w:ascii="Times New Roman" w:hAnsi="Times New Roman"/>
          <w:color w:val="000000"/>
          <w:sz w:val="24"/>
        </w:rPr>
        <w:t xml:space="preserve">. Notwithstanding the foregoing, the Company Group’s obligation to provide the severance benefits set forth in </w:t>
      </w:r>
      <w:r>
        <w:rPr>
          <w:rFonts w:ascii="Times New Roman" w:hAnsi="Times New Roman"/>
          <w:color w:val="000000"/>
          <w:sz w:val="24"/>
          <w:u w:val="single"/>
        </w:rPr>
        <w:t>Section 3</w:t>
      </w:r>
      <w:r>
        <w:rPr>
          <w:rFonts w:ascii="Times New Roman" w:hAnsi="Times New Roman"/>
          <w:color w:val="000000"/>
          <w:sz w:val="24"/>
        </w:rPr>
        <w:t xml:space="preserve"> above shall be subject to the following provisions and conditions: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rPr>
        <w:t>Clawback and Recoupment</w:t>
      </w:r>
      <w:r>
        <w:rPr>
          <w:rFonts w:ascii="Times New Roman" w:hAnsi="Times New Roman"/>
          <w:color w:val="000000"/>
          <w:sz w:val="24"/>
        </w:rPr>
        <w:t>. All compensation provided to Employee will be subject to recoupment in accordance with the Company Group’s clawback policies as maintained or adopted from time to time for similarly situated executives generally, to the extent provided therein.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Consequences of Breach. </w:t>
      </w:r>
      <w:r>
        <w:rPr>
          <w:rFonts w:ascii="Times New Roman" w:hAnsi="Times New Roman"/>
          <w:color w:val="000000"/>
          <w:sz w:val="24"/>
        </w:rPr>
        <w:t xml:space="preserve">If Employee (i) breaches Employee’s obligations under </w:t>
      </w:r>
      <w:r>
        <w:rPr>
          <w:rFonts w:ascii="Times New Roman" w:hAnsi="Times New Roman"/>
          <w:color w:val="000000"/>
          <w:sz w:val="24"/>
          <w:u w:val="single"/>
        </w:rPr>
        <w:t>Section 7</w:t>
      </w:r>
      <w:r>
        <w:rPr>
          <w:rFonts w:ascii="Times New Roman" w:hAnsi="Times New Roman"/>
          <w:color w:val="000000"/>
          <w:sz w:val="24"/>
        </w:rPr>
        <w:t xml:space="preserve"> of this Agreement or </w:t>
      </w:r>
      <w:r>
        <w:rPr>
          <w:rFonts w:ascii="Times New Roman" w:hAnsi="Times New Roman"/>
          <w:color w:val="000000"/>
          <w:sz w:val="24"/>
          <w:u w:val="single"/>
        </w:rPr>
        <w:t>Sections 6 or 7</w:t>
      </w:r>
      <w:r>
        <w:rPr>
          <w:rFonts w:ascii="Times New Roman" w:hAnsi="Times New Roman"/>
          <w:color w:val="000000"/>
          <w:sz w:val="24"/>
        </w:rPr>
        <w:t xml:space="preserve"> of the Employment Agreement or (ii) materially breaches Employee’s obligations under </w:t>
      </w:r>
      <w:r>
        <w:rPr>
          <w:rFonts w:ascii="Times New Roman" w:hAnsi="Times New Roman"/>
          <w:color w:val="000000"/>
          <w:sz w:val="24"/>
          <w:u w:val="single"/>
        </w:rPr>
        <w:t>Section 8</w:t>
      </w:r>
      <w:r>
        <w:rPr>
          <w:rFonts w:ascii="Times New Roman" w:hAnsi="Times New Roman"/>
          <w:color w:val="000000"/>
          <w:sz w:val="24"/>
        </w:rPr>
        <w:t xml:space="preserve"> of this Agreement or </w:t>
      </w:r>
      <w:r>
        <w:rPr>
          <w:rFonts w:ascii="Times New Roman" w:hAnsi="Times New Roman"/>
          <w:color w:val="000000"/>
          <w:sz w:val="24"/>
          <w:u w:val="single"/>
        </w:rPr>
        <w:t xml:space="preserve">Sections 5 </w:t>
      </w:r>
      <w:r>
        <w:rPr>
          <w:rFonts w:ascii="Times New Roman" w:hAnsi="Times New Roman"/>
          <w:color w:val="000000"/>
          <w:sz w:val="24"/>
        </w:rPr>
        <w:t xml:space="preserve">of the Employment Agreement, in both cases, during the period any of the Company Group is obligated to pay the amounts set forth in </w:t>
      </w:r>
      <w:r>
        <w:rPr>
          <w:rFonts w:ascii="Times New Roman" w:hAnsi="Times New Roman"/>
          <w:color w:val="000000"/>
          <w:sz w:val="24"/>
          <w:u w:val="single"/>
        </w:rPr>
        <w:t>Section 3</w:t>
      </w:r>
      <w:r>
        <w:rPr>
          <w:rFonts w:ascii="Times New Roman" w:hAnsi="Times New Roman"/>
          <w:color w:val="000000"/>
          <w:sz w:val="24"/>
        </w:rPr>
        <w:t>, the Company Group may immediately cease such payments and may recover the all amounts paid to Employee after the date of such breach. The cessation and recovery of these payments shall be in addition to, and not as an alternative to, any other remedies at law or in equity available to the Company Group including, without limitation, the right to seek specific performance or an injunction. To the extent any breach set forth in this section can be cured, Parent shall provide written notice to Employee identifying the breach and Employee shall have thirty (30) calendar days to cure the breach.</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Affordable Care Act. </w:t>
      </w:r>
      <w:r>
        <w:rPr>
          <w:rFonts w:ascii="Times New Roman" w:hAnsi="Times New Roman"/>
          <w:color w:val="000000"/>
          <w:sz w:val="24"/>
        </w:rPr>
        <w:t xml:space="preserve">If making payments of COBRA premiums under </w:t>
      </w:r>
      <w:r>
        <w:rPr>
          <w:rFonts w:ascii="Times New Roman" w:hAnsi="Times New Roman"/>
          <w:color w:val="000000"/>
          <w:sz w:val="24"/>
          <w:u w:val="single"/>
        </w:rPr>
        <w:t>Section 3</w:t>
      </w:r>
      <w:r>
        <w:rPr>
          <w:rFonts w:ascii="Times New Roman" w:hAnsi="Times New Roman"/>
          <w:color w:val="000000"/>
          <w:sz w:val="24"/>
        </w:rPr>
        <w:t xml:space="preserve"> would violate the nondiscrimination rules applicable to non-grandfathered plans under the Affordable Care Act (the “</w:t>
      </w:r>
      <w:r>
        <w:rPr>
          <w:rFonts w:ascii="Times New Roman" w:hAnsi="Times New Roman"/>
          <w:color w:val="000000"/>
          <w:sz w:val="24"/>
          <w:u w:val="single"/>
        </w:rPr>
        <w:t>ACA</w:t>
      </w:r>
      <w:r>
        <w:rPr>
          <w:rFonts w:ascii="Times New Roman" w:hAnsi="Times New Roman"/>
          <w:color w:val="000000"/>
          <w:sz w:val="24"/>
        </w:rPr>
        <w:t xml:space="preserve">”), or result in the imposition of penalties under the ACA and the related regulations and guidance promulgated thereunder, the parties agree to reform </w:t>
      </w:r>
      <w:r>
        <w:rPr>
          <w:rFonts w:ascii="Times New Roman" w:hAnsi="Times New Roman"/>
          <w:color w:val="000000"/>
          <w:sz w:val="24"/>
          <w:u w:val="single"/>
        </w:rPr>
        <w:t>Section 3</w:t>
      </w:r>
      <w:r>
        <w:rPr>
          <w:rFonts w:ascii="Times New Roman" w:hAnsi="Times New Roman"/>
          <w:color w:val="000000"/>
          <w:sz w:val="24"/>
        </w:rPr>
        <w:t xml:space="preserve"> in an economically equivalent manner as is necessary to comply with the ACA.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No Mitigation; No Set Off. </w:t>
      </w:r>
      <w:r>
        <w:rPr>
          <w:rFonts w:ascii="Times New Roman" w:hAnsi="Times New Roman"/>
          <w:color w:val="000000"/>
          <w:sz w:val="24"/>
        </w:rPr>
        <w:t>Employee shall be under no obligation to seek other employment and there shall be no offset against any amount due Employee under this Agreement (or otherwise) on account and any subsequent remuneration received from any subsequent employer or person. No amounts payable hereunder shall be subject to any setoff or recoupment unless expressly provided for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b/>
          <w:color w:val="000000"/>
          <w:sz w:val="24"/>
        </w:rPr>
        <w:t>Benefits</w:t>
      </w:r>
      <w:r>
        <w:rPr>
          <w:rFonts w:ascii="Times New Roman" w:hAnsi="Times New Roman"/>
          <w:color w:val="000000"/>
          <w:sz w:val="24"/>
        </w:rPr>
        <w:t>. Except as expressly provided in this Agreement, as of Employee’s Separation Date, Employee is no longer eligible to participate in any of the Company Group’s benefit plans, including, but not limited to, any dental or medical insurance, long term care plans, retirement or 401(k)</w:t>
      </w:r>
      <w:r>
        <w:rPr>
          <w:color w:val="000000"/>
        </w:rPr>
        <w:t xml:space="preserve"> </w:t>
      </w:r>
      <w:r>
        <w:rPr>
          <w:rFonts w:ascii="Times New Roman" w:hAnsi="Times New Roman"/>
          <w:color w:val="000000"/>
          <w:sz w:val="24"/>
        </w:rPr>
        <w:t xml:space="preserve">plans, vacation leave, sick leave, long term disability insurance, life insurance, incentive plans, or personal accident insurance.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sz w:val="24"/>
        </w:rPr>
      </w:pPr>
      <w:r>
        <w:rPr>
          <w:rFonts w:ascii="Times New Roman" w:hAnsi="Times New Roman"/>
          <w:b/>
          <w:color w:val="000000"/>
          <w:sz w:val="24"/>
        </w:rPr>
        <w:t>Acknowledgement</w:t>
      </w:r>
      <w:r>
        <w:rPr>
          <w:rFonts w:ascii="Times New Roman" w:hAnsi="Times New Roman"/>
          <w:color w:val="000000"/>
          <w:sz w:val="24"/>
        </w:rPr>
        <w:t xml:space="preserve">. Employee acknowledges and agrees that, except as expressly provided in this Agreement, Employee has been fully paid any and all compensation due and owing to Employee, including all wages, salary, commissions, bonuses, incentive payments, profit-sharing payments, expense reimbursements, leave or other benefits. Employee further agrees that the severance benefits set forth in </w:t>
      </w:r>
      <w:r>
        <w:rPr>
          <w:rFonts w:ascii="Times New Roman" w:hAnsi="Times New Roman"/>
          <w:color w:val="000000"/>
          <w:sz w:val="24"/>
          <w:u w:val="single"/>
        </w:rPr>
        <w:t>Section 3</w:t>
      </w:r>
      <w:r>
        <w:rPr>
          <w:rFonts w:ascii="Times New Roman" w:hAnsi="Times New Roman"/>
          <w:color w:val="000000"/>
          <w:sz w:val="24"/>
        </w:rPr>
        <w:t xml:space="preserve"> are not compensation for Employee’s services rendered through the Separation Date, but rather constitute consideration for the promises contained in this Agreement, and are above and beyond any wages or salary or other sums to which Employee is entitled from the Company Group under the terms of Employee’s employment with the Company Group or under any other contract or law. Further, Employee agrees and acknowledges that the Separation Date does not fall within the Change in Control Period (as defined in the Employment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sz w:val="24"/>
        </w:rPr>
      </w:pPr>
      <w:r>
        <w:rPr>
          <w:rFonts w:ascii="Times New Roman" w:hAnsi="Times New Roman"/>
          <w:b/>
          <w:color w:val="000000"/>
          <w:sz w:val="24"/>
        </w:rPr>
        <w:t>General Release</w:t>
      </w:r>
      <w:r>
        <w:rPr>
          <w:rFonts w:ascii="Times New Roman" w:hAnsi="Times New Roman"/>
          <w:color w:val="000000"/>
          <w:sz w:val="24"/>
        </w:rPr>
        <w:t>. Except for any rights granted or retained under this Agreement (including, without limitation, to the Excluded Claims), Employee, for himself, and for Employee’s heirs, assigns, executors and administrators, hereby releases, remises and forever discharges the Company, the Parent and their respective parents, subsidiaries, affiliates, divisions, predecessors, successors, assigns, and each of their respective members, managers, directors, officers, partners, attorneys, shareholders, administrators, employees, agents, representatives, employment benefit plans, plan administrators, fiduciaries, trustees, insurers and re-insurers, and investors, and all of their predecessors, successors and assigns, and each of their respective members, managers, directors, officers, partners, attorneys, shareholders, administrators, employees, agents, representatives, employment benefit plans, plan administrators, fiduciaries, trustees, insurers and re-insurers, investors (collectively, the “</w:t>
      </w:r>
      <w:r>
        <w:rPr>
          <w:rFonts w:ascii="Times New Roman" w:hAnsi="Times New Roman"/>
          <w:color w:val="000000"/>
          <w:sz w:val="24"/>
          <w:u w:val="single"/>
        </w:rPr>
        <w:t>Releasees</w:t>
      </w:r>
      <w:r>
        <w:rPr>
          <w:rFonts w:ascii="Times New Roman" w:hAnsi="Times New Roman"/>
          <w:color w:val="000000"/>
          <w:sz w:val="24"/>
        </w:rPr>
        <w:t xml:space="preserve">”) of and from all claims, causes of action, covenants, contracts, agreements, promises, damages, disputes, demands, and all other manner of actions whatsoever, in law or in equity, that Employee ever had, may have had, now has, or that Employee’s heirs, assigns, executors or administrators hereinafter can, shall or may have, whether known or unknown, asserted or unasserted, suspected or unsuspected, as a result of or related to Employee’s employment with the Company Group, including vacation pay, profit sharing plans, retirement plans or any other benefit plans of any type or nature other than as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sz w:val="24"/>
        </w:rPr>
      </w:pPr>
      <w:r>
        <w:rPr>
          <w:rFonts w:ascii="Times New Roman" w:hAnsi="Times New Roman"/>
          <w:color w:val="000000"/>
          <w:sz w:val="24"/>
        </w:rPr>
        <w:t>preserved hereby, the termination of Employee’s employment, or under any contract relating to Employee’s employment, or any act or omission which has occurred at any time up to and including the date of the execution of this Release (collectively, the “</w:t>
      </w:r>
      <w:r>
        <w:rPr>
          <w:rFonts w:ascii="Times New Roman" w:hAnsi="Times New Roman"/>
          <w:color w:val="000000"/>
          <w:sz w:val="24"/>
          <w:u w:val="single"/>
        </w:rPr>
        <w:t>Released Claims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rPr>
        <w:t>Released Claims.</w:t>
      </w:r>
      <w:r>
        <w:rPr>
          <w:rFonts w:ascii="Times New Roman" w:hAnsi="Times New Roman"/>
          <w:color w:val="000000"/>
          <w:sz w:val="24"/>
        </w:rPr>
        <w:t xml:space="preserve"> The Released Claims include, but are not limited to, claims for monetary damages; claims related to Employee’s employment with the Company Group or the termination thereof; claims to severance or similar benefits; claims to expenses, attorneys’ fees or other indemnities; claims based on any actions or failures to act that occurred on or before the date of this Agreement; and claims for other personal remedies or damages sought in any legal proceeding or charge filed with any court or federal, state or local agency either by Employee or by any person claiming to act on Employee’s behalf or in Employee’s interest. Employee understands that the Released Claims may have arisen under different local, state and federal statutes, regulations, or common law doctrines. Employee hereby specifically, but without limitation, agrees to release all Releasees from any and all claims under each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color w:val="000000"/>
          <w:sz w:val="24"/>
          <w:u w:val="single"/>
        </w:rPr>
        <w:t>Antidiscrimination laws</w:t>
      </w:r>
      <w:r>
        <w:rPr>
          <w:rFonts w:ascii="Times New Roman" w:hAnsi="Times New Roman"/>
          <w:color w:val="000000"/>
          <w:sz w:val="24"/>
        </w:rPr>
        <w:t>, such as Title VII of the Civil Rights Act of 1964, as amended, and Executive Order 11246 (which prohibit discrimination based on race, color, national origin, religion, or sex); Section 1981 of the Civil Rights Act of 1866 (which prohibits discrimination based on race or color); the Americans with Disabilities Act and Sections 503</w:t>
      </w:r>
      <w:r>
        <w:rPr>
          <w:color w:val="000000"/>
        </w:rPr>
        <w:t xml:space="preserve"> </w:t>
      </w:r>
      <w:r>
        <w:rPr>
          <w:rFonts w:ascii="Times New Roman" w:hAnsi="Times New Roman"/>
          <w:color w:val="000000"/>
          <w:sz w:val="24"/>
        </w:rPr>
        <w:t xml:space="preserve">and </w:t>
      </w:r>
      <w:bookmarkStart w:id="25" w:name="docxtextref11"/>
      <w:bookmarkEnd w:id="25"/>
      <w:r>
        <w:rPr>
          <w:rFonts w:ascii="Times New Roman" w:hAnsi="Times New Roman"/>
          <w:color w:val="000000"/>
          <w:sz w:val="24"/>
        </w:rPr>
        <w:t>504</w:t>
      </w:r>
      <w:r>
        <w:rPr>
          <w:color w:val="000000"/>
        </w:rPr>
        <w:t xml:space="preserve"> </w:t>
      </w:r>
      <w:r>
        <w:rPr>
          <w:rFonts w:ascii="Times New Roman" w:hAnsi="Times New Roman"/>
          <w:color w:val="000000"/>
          <w:sz w:val="24"/>
        </w:rPr>
        <w:t xml:space="preserve">of the Rehabilitation Act of 1973 (which prohibit discrimination based upon disability); the Age Discrimination in Employment Act, as amended, </w:t>
      </w:r>
      <w:bookmarkStart w:id="26" w:name="docxtextref8"/>
      <w:bookmarkEnd w:id="26"/>
      <w:r>
        <w:rPr>
          <w:rFonts w:ascii="Times New Roman" w:hAnsi="Times New Roman"/>
          <w:color w:val="000000"/>
          <w:sz w:val="24"/>
        </w:rPr>
        <w:t>29</w:t>
      </w:r>
      <w:r>
        <w:rPr>
          <w:color w:val="000000"/>
        </w:rPr>
        <w:t xml:space="preserve"> </w:t>
      </w:r>
      <w:r>
        <w:rPr>
          <w:rFonts w:ascii="Times New Roman" w:hAnsi="Times New Roman"/>
          <w:color w:val="000000"/>
          <w:sz w:val="24"/>
        </w:rPr>
        <w:t xml:space="preserve">U.S.C. </w:t>
      </w:r>
      <w:bookmarkStart w:id="27" w:name="docxtextref10"/>
      <w:bookmarkEnd w:id="27"/>
      <w:r>
        <w:rPr>
          <w:rFonts w:ascii="Times New Roman" w:hAnsi="Times New Roman"/>
          <w:color w:val="000000"/>
          <w:sz w:val="24"/>
        </w:rPr>
        <w:t>Section 621</w:t>
      </w:r>
      <w:r>
        <w:rPr>
          <w:color w:val="000000"/>
        </w:rPr>
        <w:t xml:space="preserve"> </w:t>
      </w:r>
      <w:r>
        <w:rPr>
          <w:rFonts w:ascii="Times New Roman" w:hAnsi="Times New Roman"/>
          <w:i/>
          <w:color w:val="000000"/>
          <w:sz w:val="24"/>
        </w:rPr>
        <w:t>et seq.</w:t>
      </w:r>
      <w:r>
        <w:rPr>
          <w:color w:val="000000"/>
        </w:rPr>
        <w:t xml:space="preserve"> </w:t>
      </w:r>
      <w:r>
        <w:rPr>
          <w:rFonts w:ascii="Times New Roman" w:hAnsi="Times New Roman"/>
          <w:color w:val="000000"/>
          <w:sz w:val="24"/>
        </w:rPr>
        <w:t>(which prohibits discrimination on the basis of age); the Equal Pay Act (which prohibits paying men and women unequal pay for equal work); the Lilly Ledbetter Fair Pay Act; the Massachusetts Fair Employment Practices Act (M.G.L. c. 151B); the Massachusetts Equal Rights Act; the Massachusetts Equal Pay Act; the Massachusetts Privacy Statute; the Massachusetts Sick Leave Law; the Massachusetts Civil Rights Act; or any other local, state or federal statute, regulation, common law or decision concerning discrimination, harassment, or retaliation on these or any other grounds or otherwise governing the employment relationship.</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employment laws</w:t>
      </w:r>
      <w:r>
        <w:rPr>
          <w:rFonts w:ascii="Times New Roman" w:hAnsi="Times New Roman"/>
          <w:color w:val="000000"/>
          <w:sz w:val="24"/>
        </w:rPr>
        <w:t>, such as the federal Worker Adjustment and Retraining Notification Act of 1988; the Executive Retirement Income Security Act of 1974 (which, among other things, protects employee benefits); the Fair Labor Standards Act of 1938 (which regulates wage and hour matters); the Family and Medical Leave Act of 1993 (which requires employers to provide leaves of absence under certain circumstances); the U.S. Patriot Act; the Sarbanes Oxley Act; the Dodd Frank Act; the Massachusetts Sick Leave Law; the Massachusetts Payment of Wages Act (M.G.L. c. 149 §148 and §150); the Massachusetts Overtime regulations (M.G.L. c. 151 §1A and §1B); the Massachusetts Meal Break regulations (M.G.L. c 149 §100-101), all as amended, and any other federal, state, or local statute, regulation, common law or decision relating to employment, reemployment rights, leaves of absence or any other aspect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Other laws of general application</w:t>
      </w:r>
      <w:r>
        <w:rPr>
          <w:rFonts w:ascii="Times New Roman" w:hAnsi="Times New Roman"/>
          <w:color w:val="000000"/>
          <w:sz w:val="24"/>
        </w:rPr>
        <w:t xml:space="preserve">, such as federal, state, or local laws enforcing express or implied employment agreements or other contracts or covenants, or addressing breaches of such agreements, contracts or covenants; federal, state or local laws providing relief for alleged wrongful discharge or termination, physical or personal injury, emotional distress, fraud, intentional or negligent misrepresentation, defamation, invasion of privacy, violation of public policy or similar claims; common law claims under any tort, contract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other theory now or hereafter recognized, and any other federal, state, or local statute, regulation, common law doctrine, or decision regulating or regarding employment.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rPr>
        <w:t>Participation in Agency Proceedings</w:t>
      </w:r>
      <w:r>
        <w:rPr>
          <w:rFonts w:ascii="Times New Roman" w:hAnsi="Times New Roman"/>
          <w:color w:val="000000"/>
          <w:sz w:val="24"/>
        </w:rPr>
        <w:t>. Nothing in this Agreement shall prevent Employee from speaking with law enforcement or filing a charge (including a challenge to the validity of this Agreement) with the Equal Employment Opportunity Commission (the “</w:t>
      </w:r>
      <w:r>
        <w:rPr>
          <w:rFonts w:ascii="Times New Roman" w:hAnsi="Times New Roman"/>
          <w:color w:val="000000"/>
          <w:sz w:val="24"/>
          <w:u w:val="single"/>
        </w:rPr>
        <w:t>EEOC</w:t>
      </w:r>
      <w:r>
        <w:rPr>
          <w:rFonts w:ascii="Times New Roman" w:hAnsi="Times New Roman"/>
          <w:color w:val="000000"/>
          <w:sz w:val="24"/>
        </w:rPr>
        <w:t>”), the National Labor Relations Board (the “</w:t>
      </w:r>
      <w:r>
        <w:rPr>
          <w:rFonts w:ascii="Times New Roman" w:hAnsi="Times New Roman"/>
          <w:color w:val="000000"/>
          <w:sz w:val="24"/>
          <w:u w:val="single"/>
        </w:rPr>
        <w:t>NLRB</w:t>
      </w:r>
      <w:r>
        <w:rPr>
          <w:rFonts w:ascii="Times New Roman" w:hAnsi="Times New Roman"/>
          <w:color w:val="000000"/>
          <w:sz w:val="24"/>
        </w:rPr>
        <w:t>”), the Massachusetts Commission Against Discrimination (the “</w:t>
      </w:r>
      <w:r>
        <w:rPr>
          <w:rFonts w:ascii="Times New Roman" w:hAnsi="Times New Roman"/>
          <w:color w:val="000000"/>
          <w:sz w:val="24"/>
          <w:u w:val="single"/>
        </w:rPr>
        <w:t>MCAD</w:t>
      </w:r>
      <w:r>
        <w:rPr>
          <w:rFonts w:ascii="Times New Roman" w:hAnsi="Times New Roman"/>
          <w:color w:val="000000"/>
          <w:sz w:val="24"/>
        </w:rPr>
        <w:t xml:space="preserve">”), or other similar federal, state or local agency, or from participating in any investigation or proceeding conducted by law enforcement, the EEOC, the NLRB, the MCAD, or similar federal, state or local agencies. However, by entering into this Agreement, Employee understands and agrees that Employee is waiving any and all rights to recover any monetary relief or other personal relief against the Releasees as a result of any such EEOC, NLRB, MCAD or similar federal, state or local agency proceeding, including any subsequent legal action.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b/>
          <w:color w:val="000000"/>
          <w:sz w:val="24"/>
        </w:rPr>
        <w:t>Claims Not Released</w:t>
      </w:r>
      <w:r>
        <w:rPr>
          <w:rFonts w:ascii="Times New Roman" w:hAnsi="Times New Roman"/>
          <w:color w:val="000000"/>
          <w:sz w:val="24"/>
        </w:rPr>
        <w:t>. The Released Claims do not include claims by or rights of Employee for or to (the “</w:t>
      </w:r>
      <w:r>
        <w:rPr>
          <w:rFonts w:ascii="Times New Roman" w:hAnsi="Times New Roman"/>
          <w:color w:val="000000"/>
          <w:sz w:val="24"/>
          <w:u w:val="single"/>
        </w:rPr>
        <w:t>Excluded Claims</w:t>
      </w:r>
      <w:r>
        <w:rPr>
          <w:color w:val="000000"/>
        </w:rPr>
        <w:t>”</w:t>
      </w:r>
      <w:r>
        <w:rPr>
          <w:rFonts w:ascii="Times New Roman" w:hAnsi="Times New Roman"/>
          <w:color w:val="000000"/>
          <w:sz w:val="24"/>
        </w:rPr>
        <w:t>): (1)</w:t>
      </w:r>
      <w:r>
        <w:rPr>
          <w:color w:val="000000"/>
        </w:rPr>
        <w:t xml:space="preserve"> </w:t>
      </w:r>
      <w:r>
        <w:rPr>
          <w:rFonts w:ascii="Times New Roman" w:hAnsi="Times New Roman"/>
          <w:color w:val="000000"/>
          <w:sz w:val="24"/>
        </w:rPr>
        <w:t xml:space="preserve">unemployment insurance; </w:t>
      </w:r>
      <w:bookmarkStart w:id="28" w:name="docxtextref13"/>
      <w:bookmarkEnd w:id="28"/>
      <w:r>
        <w:rPr>
          <w:rFonts w:ascii="Times New Roman" w:hAnsi="Times New Roman"/>
          <w:color w:val="000000"/>
          <w:sz w:val="24"/>
        </w:rPr>
        <w:t>(2)</w:t>
      </w:r>
      <w:r>
        <w:rPr>
          <w:color w:val="000000"/>
        </w:rPr>
        <w:t xml:space="preserve"> </w:t>
      </w:r>
      <w:r>
        <w:rPr>
          <w:rFonts w:ascii="Times New Roman" w:hAnsi="Times New Roman"/>
          <w:color w:val="000000"/>
          <w:sz w:val="24"/>
        </w:rPr>
        <w:t xml:space="preserve">worker’s compensation benefits; </w:t>
      </w:r>
      <w:bookmarkStart w:id="29" w:name="docxtextref14"/>
      <w:bookmarkEnd w:id="29"/>
      <w:r>
        <w:rPr>
          <w:rFonts w:ascii="Times New Roman" w:hAnsi="Times New Roman"/>
          <w:color w:val="000000"/>
          <w:sz w:val="24"/>
        </w:rPr>
        <w:t>(3)</w:t>
      </w:r>
      <w:r>
        <w:rPr>
          <w:color w:val="000000"/>
        </w:rPr>
        <w:t xml:space="preserve"> </w:t>
      </w:r>
      <w:r>
        <w:rPr>
          <w:rFonts w:ascii="Times New Roman" w:hAnsi="Times New Roman"/>
          <w:color w:val="000000"/>
          <w:sz w:val="24"/>
        </w:rPr>
        <w:t xml:space="preserve">state disability compensation; </w:t>
      </w:r>
      <w:bookmarkStart w:id="30" w:name="docxtextref15"/>
      <w:bookmarkEnd w:id="30"/>
      <w:r>
        <w:rPr>
          <w:rFonts w:ascii="Times New Roman" w:hAnsi="Times New Roman"/>
          <w:color w:val="000000"/>
          <w:sz w:val="24"/>
        </w:rPr>
        <w:t>(4)</w:t>
      </w:r>
      <w:r>
        <w:rPr>
          <w:color w:val="000000"/>
        </w:rPr>
        <w:t xml:space="preserve"> </w:t>
      </w:r>
      <w:r>
        <w:rPr>
          <w:rFonts w:ascii="Times New Roman" w:hAnsi="Times New Roman"/>
          <w:color w:val="000000"/>
          <w:sz w:val="24"/>
        </w:rPr>
        <w:t xml:space="preserve">vested benefits under any Company Group benefits plan; (5) equity awards for equity in the Company, Parent or any affiliate that have previously vested or that vest in accordance with this Agreement, (6) enforce this Agreement, </w:t>
      </w:r>
      <w:bookmarkStart w:id="31" w:name="docxtextref16"/>
      <w:bookmarkEnd w:id="31"/>
      <w:r>
        <w:rPr>
          <w:rFonts w:ascii="Times New Roman" w:hAnsi="Times New Roman"/>
          <w:color w:val="000000"/>
          <w:sz w:val="24"/>
        </w:rPr>
        <w:t>(7) with respect to indemnification, exculpation, contribution or D&amp;O insurance coverage, or (8)</w:t>
      </w:r>
      <w:r>
        <w:rPr>
          <w:color w:val="000000"/>
        </w:rPr>
        <w:t xml:space="preserve"> </w:t>
      </w:r>
      <w:r>
        <w:rPr>
          <w:rFonts w:ascii="Times New Roman" w:hAnsi="Times New Roman"/>
          <w:color w:val="000000"/>
          <w:sz w:val="24"/>
        </w:rPr>
        <w:t xml:space="preserve">any other rights that cannot by law be released by private agreement or that arise out of facts and circumstances that occur after the date of Employee’s execution of the Agreement.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sz w:val="24"/>
        </w:rPr>
      </w:pPr>
      <w:r>
        <w:rPr>
          <w:rFonts w:ascii="Times New Roman" w:hAnsi="Times New Roman"/>
          <w:b/>
          <w:color w:val="000000"/>
          <w:sz w:val="24"/>
        </w:rPr>
        <w:t>No Existing Claims or Assignment of Claims</w:t>
      </w:r>
      <w:r>
        <w:rPr>
          <w:rFonts w:ascii="Times New Roman" w:hAnsi="Times New Roman"/>
          <w:color w:val="000000"/>
          <w:sz w:val="24"/>
        </w:rPr>
        <w:t xml:space="preserve">. Employee represents and warrants that Employee has not previously filed or joined in any claims that are released in this Agreement and that Employee has not given or sold any portion of any claims released herein to anyone else, and that Employee will indemnify and hold harmless the Company, the Parent and the Releasees from all liabilities, claims, demands, costs, expenses and/or attorneys’ fees incurred as a result of any such prior assignment or transfer. The undersigned Company and Parent representatives acknowledge and agree after reasonable due inquiry that none of the Company, Parent or its respective affiliates or any of the other Releasees has any claims against Employee.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sz w:val="24"/>
        </w:rPr>
      </w:pPr>
      <w:r>
        <w:rPr>
          <w:rFonts w:ascii="Times New Roman" w:hAnsi="Times New Roman"/>
          <w:b/>
          <w:color w:val="000000"/>
          <w:sz w:val="24"/>
        </w:rPr>
        <w:t>Acknowledgement of Legal Effect of Release</w:t>
      </w:r>
      <w:r>
        <w:rPr>
          <w:rFonts w:ascii="Times New Roman" w:hAnsi="Times New Roman"/>
          <w:color w:val="000000"/>
          <w:sz w:val="24"/>
        </w:rPr>
        <w:t>. BY SIGNING THIS AGREEMENT, EMPLOYEE UNDERSTANDS THAT EMPLOYEE IS WAIVING ALL RIGHTS EMPLOYEE MAY HAVE HAD TO PURSUE OR BRING A LAWSUIT OR MAKE ANY LEGAL CLAIM AGAINST THE COMPANY GROUP OR ANY RELEASEES (OTHER THAN WITH RESPECT TO EXCLUDED CLAIMS, WHICH ARE NOT WAIVED), INCLUDING, BUT NOT LIMITED TO, CLAIMS THAT IN ANY WAY ARISE FROM OR RELATE TO EMPLOYEE’S EMPLOYMENT OR THE TERMINATION OF THAT EMPLOYMENT, FOR ALL OF TIME UP TO AND INCLUDING THE DATE OF THE EXECUTION OF THIS AGREEMENT. EMPLOYEE FURTHER UNDERSTANDS THAT BY SIGNING THIS AGREEMENT, EMPLOYEE IS PROMISING NOT TO PURSUE OR BRING ANY SUCH LAWSUIT OR LEGAL CLAIM SEEKING MONETARY OR OTHER RELIEF WITH RESPECT TO SUCH CLAIMS RELEASED HEREUNDER.</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Restrictions. </w:t>
      </w:r>
      <w:r>
        <w:rPr>
          <w:rFonts w:ascii="Times New Roman" w:hAnsi="Times New Roman"/>
          <w:color w:val="000000"/>
          <w:sz w:val="24"/>
        </w:rPr>
        <w:t>Notwithstanding anything to the contrary herein, Employee understands that nothing in this Agreement or any other agreement that Employee may have with the Company Group restricts or prohibits Employee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(collectively, “</w:t>
      </w:r>
      <w:r>
        <w:rPr>
          <w:rFonts w:ascii="Times New Roman" w:hAnsi="Times New Roman"/>
          <w:color w:val="000000"/>
          <w:sz w:val="24"/>
          <w:u w:val="single"/>
        </w:rPr>
        <w:t>Government Agencies</w:t>
      </w:r>
      <w:r>
        <w:rPr>
          <w:rFonts w:ascii="Times New Roman" w:hAnsi="Times New Roman"/>
          <w:color w:val="000000"/>
          <w:sz w:val="24"/>
        </w:rPr>
        <w:t>”), or from making other disclosures that are protected under the whistleblower provisions of state or federal law or regulation, and Employee does not need the Company Group’s prior authorization to engage in such conduct. Notwithstanding, in making any such disclosures or communications, Employee must take all reasonable precautions to prevent any unauthorized use or disclosure of any information that may constitute Confidential Information of the Company Group (as defined in the Employment Agreement) to any parties other than the Government Agencies. This Agreement does not limit Employee’s right to receive an award for information provided to any Government Agencies.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sz w:val="24"/>
        </w:rPr>
      </w:pPr>
      <w:r>
        <w:rPr>
          <w:rFonts w:ascii="Times New Roman" w:hAnsi="Times New Roman"/>
          <w:b/>
          <w:color w:val="000000"/>
          <w:sz w:val="24"/>
        </w:rPr>
        <w:t>Future Conduct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rPr>
        <w:t>Confidentiality of this Agreement</w:t>
      </w:r>
      <w:r>
        <w:rPr>
          <w:rFonts w:ascii="Times New Roman" w:hAnsi="Times New Roman"/>
          <w:color w:val="000000"/>
          <w:sz w:val="24"/>
        </w:rPr>
        <w:t xml:space="preserve">. Other than as permitted in </w:t>
      </w:r>
      <w:r>
        <w:rPr>
          <w:rFonts w:ascii="Times New Roman" w:hAnsi="Times New Roman"/>
          <w:color w:val="000000"/>
          <w:sz w:val="24"/>
          <w:u w:val="single"/>
        </w:rPr>
        <w:t>Section 7</w:t>
      </w:r>
      <w:r>
        <w:rPr>
          <w:rFonts w:ascii="Times New Roman" w:hAnsi="Times New Roman"/>
          <w:color w:val="000000"/>
          <w:sz w:val="24"/>
        </w:rPr>
        <w:t xml:space="preserve"> above, Employee agrees that Employee shall not disclose</w:t>
      </w:r>
      <w:r>
        <w:rPr>
          <w:rFonts w:ascii="Times New Roman" w:hAnsi="Times New Roman"/>
          <w:b/>
          <w:color w:val="000000"/>
          <w:sz w:val="24"/>
        </w:rPr>
        <w:t xml:space="preserve">, </w:t>
      </w:r>
      <w:r>
        <w:rPr>
          <w:rFonts w:ascii="Times New Roman" w:hAnsi="Times New Roman"/>
          <w:color w:val="000000"/>
          <w:sz w:val="24"/>
        </w:rPr>
        <w:t>divulge or publish, directly or indirectly, any information regarding the payments and benefits set forth in this Agreement to any person or organization other than (i) Employee’s immediate family, (ii) Employee’s accountants or attorneys when such disclosure is necessary for the accountants or attorneys to render professional services, (iii) to the taxing authorities, (iv) the unemployment compensation agency; or (v) when otherwise compelled by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rPr>
        <w:t>Existing Agreements</w:t>
      </w:r>
      <w:r>
        <w:rPr>
          <w:rFonts w:ascii="Times New Roman" w:hAnsi="Times New Roman"/>
          <w:color w:val="000000"/>
          <w:sz w:val="24"/>
        </w:rPr>
        <w:t xml:space="preserve">. By signing this Agreement Employee acknowledges that Employee has post-termination obligations as set out in </w:t>
      </w:r>
      <w:r>
        <w:rPr>
          <w:rFonts w:ascii="Times New Roman" w:hAnsi="Times New Roman"/>
          <w:color w:val="000000"/>
          <w:sz w:val="24"/>
          <w:u w:val="single"/>
        </w:rPr>
        <w:t xml:space="preserve">Sections 5, 6, 7, </w:t>
      </w:r>
      <w:r>
        <w:rPr>
          <w:rFonts w:ascii="Times New Roman" w:hAnsi="Times New Roman"/>
          <w:color w:val="000000"/>
          <w:sz w:val="24"/>
        </w:rPr>
        <w:t xml:space="preserve">and </w:t>
      </w:r>
      <w:r>
        <w:rPr>
          <w:rFonts w:ascii="Times New Roman" w:hAnsi="Times New Roman"/>
          <w:color w:val="000000"/>
          <w:sz w:val="24"/>
          <w:u w:val="single"/>
        </w:rPr>
        <w:t>8</w:t>
      </w:r>
      <w:r>
        <w:rPr>
          <w:rFonts w:ascii="Times New Roman" w:hAnsi="Times New Roman"/>
          <w:color w:val="000000"/>
          <w:sz w:val="24"/>
        </w:rPr>
        <w:t xml:space="preserve"> of the Employment Agreement and the Award Agreements and Employee agrees to comply, and represents that Employee will comply, with those obligations. This Agreement supersedes the Employment Agreement in its entirety and all rights, obligations, covenants, and agreements of the parties under the Employment Agreement are hereby terminated and shall be of no further force or effect; provided, however, that </w:t>
      </w:r>
      <w:r>
        <w:rPr>
          <w:rFonts w:ascii="Times New Roman" w:hAnsi="Times New Roman"/>
          <w:color w:val="000000"/>
          <w:sz w:val="24"/>
          <w:u w:val="single"/>
        </w:rPr>
        <w:t>Sections 5, 6, 7, 8, 9, 10, 15, 17, 18, 19, and 20 of the Employment Agreement</w:t>
      </w:r>
      <w:r>
        <w:rPr>
          <w:rFonts w:ascii="Times New Roman" w:hAnsi="Times New Roman"/>
          <w:color w:val="000000"/>
          <w:sz w:val="24"/>
        </w:rPr>
        <w:t xml:space="preserve"> shall survive and remain in full force and effect in accordance with their terms. Notwithstanding the foregoing, the Director and Officer Indemnifcation Agreement by and between Employee and Definitive Healthcare Corp., dated June 24, 2024, shall remain in full force and effect in accordance with its terms.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sz w:val="24"/>
        </w:rPr>
      </w:pPr>
      <w:r>
        <w:rPr>
          <w:rFonts w:ascii="Times New Roman" w:hAnsi="Times New Roman"/>
          <w:b/>
          <w:color w:val="000000"/>
          <w:sz w:val="24"/>
        </w:rPr>
        <w:t>Non-disparagement</w:t>
      </w:r>
      <w:r>
        <w:rPr>
          <w:rFonts w:ascii="Times New Roman" w:hAnsi="Times New Roman"/>
          <w:color w:val="000000"/>
          <w:sz w:val="24"/>
        </w:rPr>
        <w:t xml:space="preserve">. Employee agrees not to make disparaging, critical or otherwise detrimental comments to any person or entity concerning the Company Group, its directors, officers, agents, employees, consultants or customers. The Company and Parent each agree not to make any public disparaging, critical or otherwise detrimental comments concerning Employee, and shall instruct their respective officers and directors (during their respective service for the Company, Parent, the Company Group or their successors or assigns) not to make disparaging, critical or otherwise detrimental comments to any person or entity concerning Employee. Nothing in this </w:t>
      </w:r>
      <w:r>
        <w:rPr>
          <w:rFonts w:ascii="Times New Roman" w:hAnsi="Times New Roman"/>
          <w:color w:val="000000"/>
          <w:sz w:val="24"/>
          <w:u w:val="single"/>
        </w:rPr>
        <w:t>Section 8(c)</w:t>
      </w:r>
      <w:r>
        <w:rPr>
          <w:rFonts w:ascii="Times New Roman" w:hAnsi="Times New Roman"/>
          <w:color w:val="000000"/>
          <w:sz w:val="24"/>
        </w:rPr>
        <w:t xml:space="preserve"> shall prevent either party from responding truthfully to a valid subpoena, court order and/or similar process from a judicial, law enforcement, administrative or regulatory body of competent jurisdiction.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sz w:val="24"/>
        </w:rPr>
      </w:pPr>
      <w:r>
        <w:rPr>
          <w:rFonts w:ascii="Times New Roman" w:hAnsi="Times New Roman"/>
          <w:b/>
          <w:color w:val="000000"/>
          <w:sz w:val="24"/>
        </w:rPr>
        <w:t>Return of Information and Property.</w:t>
      </w:r>
      <w:r>
        <w:rPr>
          <w:rFonts w:ascii="Times New Roman" w:hAnsi="Times New Roman"/>
          <w:color w:val="000000"/>
          <w:sz w:val="24"/>
        </w:rPr>
        <w:t xml:space="preserve"> Employee agrees to return to the Company Group all property and equipment belonging to the Company Group and the Releasees, including without limitation all computers, hard drives, phones, and access cards, the originals and all copies (regardless of medium) of all information, files, materials, documents or other property relating to the business of the Company Group, the Releasees, or their affiliates, and Employee represents that all such information and items have been returned to the Company Group. This obligation shall not apply to Employee’s equity or employment documentation.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sz w:val="24"/>
        </w:rPr>
      </w:pPr>
      <w:r>
        <w:rPr>
          <w:rFonts w:ascii="Times New Roman" w:hAnsi="Times New Roman"/>
          <w:b/>
          <w:color w:val="000000"/>
          <w:sz w:val="24"/>
        </w:rPr>
        <w:t>No Obligation to Hire.</w:t>
      </w:r>
      <w:r>
        <w:rPr>
          <w:rFonts w:ascii="Times New Roman" w:hAnsi="Times New Roman"/>
          <w:color w:val="000000"/>
          <w:sz w:val="24"/>
        </w:rPr>
        <w:t xml:space="preserve"> Employee agrees that the Company Group does not have any obligation to hire, reemploy, or reinstate Employee in the future. Employee agrees that Employee will not at any time apply for employment with the Company Group.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sz w:val="24"/>
        </w:rPr>
      </w:pPr>
      <w:r>
        <w:rPr>
          <w:rFonts w:ascii="Times New Roman" w:hAnsi="Times New Roman"/>
          <w:b/>
          <w:color w:val="000000"/>
          <w:sz w:val="24"/>
        </w:rPr>
        <w:t>No Admission</w:t>
      </w:r>
      <w:r>
        <w:rPr>
          <w:rFonts w:ascii="Times New Roman" w:hAnsi="Times New Roman"/>
          <w:color w:val="000000"/>
          <w:sz w:val="24"/>
        </w:rPr>
        <w:t xml:space="preserve">. The parties agree that nothing contained in this Agreement will constitute or be treated as an admission of liability or wrongdoing by either of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b/>
          <w:color w:val="000000"/>
          <w:sz w:val="24"/>
        </w:rPr>
        <w:t>Continuing Obligations and Injunctive Relief.</w:t>
      </w:r>
      <w:r>
        <w:rPr>
          <w:color w:val="000000"/>
        </w:rPr>
        <w:t xml:space="preserve"> </w:t>
      </w:r>
      <w:r>
        <w:rPr>
          <w:rFonts w:ascii="Times New Roman" w:hAnsi="Times New Roman"/>
          <w:color w:val="000000"/>
          <w:sz w:val="24"/>
        </w:rPr>
        <w:t xml:space="preserve">Employee acknowledges and agrees that Employee’s compliance with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and </w:t>
      </w:r>
      <w:bookmarkStart w:id="32" w:name="docxtextref22"/>
      <w:bookmarkEnd w:id="32"/>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of this Agreement and </w:t>
      </w:r>
      <w:r>
        <w:rPr>
          <w:rFonts w:ascii="Times New Roman" w:hAnsi="Times New Roman"/>
          <w:color w:val="000000"/>
          <w:sz w:val="24"/>
          <w:u w:val="single"/>
        </w:rPr>
        <w:t xml:space="preserve">Sections 5, 6, 7, </w:t>
      </w:r>
      <w:r>
        <w:rPr>
          <w:rFonts w:ascii="Times New Roman" w:hAnsi="Times New Roman"/>
          <w:color w:val="000000"/>
          <w:sz w:val="24"/>
        </w:rPr>
        <w:t xml:space="preserve">and </w:t>
      </w:r>
      <w:r>
        <w:rPr>
          <w:rFonts w:ascii="Times New Roman" w:hAnsi="Times New Roman"/>
          <w:color w:val="000000"/>
          <w:sz w:val="24"/>
          <w:u w:val="single"/>
        </w:rPr>
        <w:t>8</w:t>
      </w:r>
      <w:r>
        <w:rPr>
          <w:color w:val="000000"/>
        </w:rPr>
        <w:t xml:space="preserve"> </w:t>
      </w:r>
      <w:r>
        <w:rPr>
          <w:rFonts w:ascii="Times New Roman" w:hAnsi="Times New Roman"/>
          <w:color w:val="000000"/>
          <w:sz w:val="24"/>
        </w:rPr>
        <w:t xml:space="preserve">of the Employment Agreement and the Award Agreements, is necessary to protect the goodwill and other proprietary interests of the Company Group and Employee was one of the principal executives of the Company Group and conversant with its affairs, its trade secrets and other proprietary information. Employee acknowledges that a breach of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 xml:space="preserve">of this Agreement or </w:t>
      </w:r>
      <w:r>
        <w:rPr>
          <w:rFonts w:ascii="Times New Roman" w:hAnsi="Times New Roman"/>
          <w:color w:val="000000"/>
          <w:sz w:val="24"/>
          <w:u w:val="single"/>
        </w:rPr>
        <w:t xml:space="preserve">Sections 5, 6, 7, </w:t>
      </w:r>
      <w:r>
        <w:rPr>
          <w:rFonts w:ascii="Times New Roman" w:hAnsi="Times New Roman"/>
          <w:color w:val="000000"/>
          <w:sz w:val="24"/>
        </w:rPr>
        <w:t xml:space="preserve">or </w:t>
      </w:r>
      <w:r>
        <w:rPr>
          <w:rFonts w:ascii="Times New Roman" w:hAnsi="Times New Roman"/>
          <w:color w:val="000000"/>
          <w:sz w:val="24"/>
          <w:u w:val="single"/>
        </w:rPr>
        <w:t>8</w:t>
      </w:r>
      <w:r>
        <w:rPr>
          <w:color w:val="000000"/>
        </w:rPr>
        <w:t xml:space="preserve"> </w:t>
      </w:r>
      <w:r>
        <w:rPr>
          <w:rFonts w:ascii="Times New Roman" w:hAnsi="Times New Roman"/>
          <w:color w:val="000000"/>
          <w:sz w:val="24"/>
        </w:rPr>
        <w:t xml:space="preserve">of the Employment Agreement and the Award Agreement will result in irreparable and continuing damage to the Company Group for which there may be no adequate remedy at law; and Employee agrees that in the event of any such breach, the Company Group and its successors and assigns shall be entitled to seek injunctive relief and to such other and further relief as may be proper. In connection with enforcing (or defending) their respective rights under this Agreement, or the agreements or arrangements referenced herein, then a court of competent jurisdiction (or arbitrator as the case may be) may award the prevailing party in any such action their attorneys’ fees and disbursements reasonably incurred in connection with such action.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b/>
          <w:color w:val="000000"/>
          <w:sz w:val="24"/>
        </w:rPr>
        <w:t xml:space="preserve">Waiver of Age Discrimination Claims and Claims under ADEA; Acknowledgment/Time Periods. </w:t>
      </w:r>
      <w:r>
        <w:rPr>
          <w:rFonts w:ascii="Times New Roman" w:hAnsi="Times New Roman"/>
          <w:color w:val="000000"/>
          <w:sz w:val="24"/>
        </w:rPr>
        <w:t xml:space="preserve">With respect to the General Release in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 xml:space="preserve">of this Agreement, Employee agrees and understands that by signing this Agreement, Employee is specifically releasing all claims Employee may have against Releasees (other than the Excluded Claims), including without limitation all claims for age discrimination under the Age Discrimination in Employment Act as amended, </w:t>
      </w:r>
      <w:bookmarkStart w:id="33" w:name="docxtextref25"/>
      <w:bookmarkEnd w:id="33"/>
      <w:r>
        <w:rPr>
          <w:rFonts w:ascii="Times New Roman" w:hAnsi="Times New Roman"/>
          <w:color w:val="000000"/>
          <w:sz w:val="24"/>
        </w:rPr>
        <w:t>29</w:t>
      </w:r>
      <w:r>
        <w:rPr>
          <w:color w:val="000000"/>
        </w:rPr>
        <w:t xml:space="preserve"> </w:t>
      </w:r>
      <w:r>
        <w:rPr>
          <w:rFonts w:ascii="Times New Roman" w:hAnsi="Times New Roman"/>
          <w:color w:val="000000"/>
          <w:sz w:val="24"/>
        </w:rPr>
        <w:t xml:space="preserve">U.S.C. </w:t>
      </w:r>
      <w:bookmarkStart w:id="34" w:name="docxtextref27"/>
      <w:bookmarkEnd w:id="34"/>
      <w:r>
        <w:rPr>
          <w:rFonts w:ascii="Times New Roman" w:hAnsi="Times New Roman"/>
          <w:color w:val="000000"/>
          <w:sz w:val="24"/>
        </w:rPr>
        <w:t>Section 621</w:t>
      </w:r>
      <w:r>
        <w:rPr>
          <w:color w:val="000000"/>
        </w:rPr>
        <w:t xml:space="preserve"> </w:t>
      </w:r>
      <w:r>
        <w:rPr>
          <w:rFonts w:ascii="Times New Roman" w:hAnsi="Times New Roman"/>
          <w:color w:val="000000"/>
          <w:sz w:val="24"/>
        </w:rPr>
        <w:t>et seq. Employee acknowledges that Employee has carefully read and understands this Agreement in its entirety and executes it voluntarily and without coercion.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rPr>
        <w:t>Consideration Period; Deadline</w:t>
      </w:r>
      <w:r>
        <w:rPr>
          <w:rFonts w:ascii="Times New Roman" w:hAnsi="Times New Roman"/>
          <w:color w:val="000000"/>
          <w:sz w:val="24"/>
        </w:rPr>
        <w:t xml:space="preserve">. Employee acknowledges that Employee has been given a period of at least twenty-one (21) days to consider and execute this Agreement before signing it. Employee further acknowledges that Employee is hereby being advised in writing to consult with a competent, independent attorney of Employee’s choice, at Employee’s own expense, regarding the legal effect of this Agreement before signing it.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rPr>
        <w:t>Revocation Deadline</w:t>
      </w:r>
      <w:r>
        <w:rPr>
          <w:rFonts w:ascii="Times New Roman" w:hAnsi="Times New Roman"/>
          <w:color w:val="000000"/>
          <w:sz w:val="24"/>
        </w:rPr>
        <w:t>. Employee understands and acknowledges that Employee has seven (7) days following Employee’s execution of this Agreement to revoke it in writing, and that this Agreement is effective and enforceable on the day following the expiration of the seven (7) day period without Employee’s revocation (“</w:t>
      </w:r>
      <w:r>
        <w:rPr>
          <w:rFonts w:ascii="Times New Roman" w:hAnsi="Times New Roman"/>
          <w:color w:val="000000"/>
          <w:sz w:val="24"/>
          <w:u w:val="single"/>
        </w:rPr>
        <w:t>Effective Date</w:t>
      </w:r>
      <w:r>
        <w:rPr>
          <w:rFonts w:ascii="Times New Roman" w:hAnsi="Times New Roman"/>
          <w:color w:val="000000"/>
          <w:sz w:val="24"/>
        </w:rPr>
        <w:t>”). For a revocation to be effective, written notice must be delivered by email to the attention of Jeannine Lombardi, Chief Human Resources Officer (Jeannine.lombardi@definitivehc.com) no later than 11:59 p.m. ET on the seventh calendar day after Employee signs the Agreement (“</w:t>
      </w:r>
      <w:r>
        <w:rPr>
          <w:rFonts w:ascii="Times New Roman" w:hAnsi="Times New Roman"/>
          <w:color w:val="000000"/>
          <w:sz w:val="24"/>
          <w:u w:val="single"/>
        </w:rPr>
        <w:t>Revocation Deadline</w:t>
      </w:r>
      <w:r>
        <w:rPr>
          <w:rFonts w:ascii="Times New Roman" w:hAnsi="Times New Roman"/>
          <w:color w:val="000000"/>
          <w:sz w:val="24"/>
        </w:rPr>
        <w:t xml:space="preserve">”). In the event that Employee timely revokes Employee’s acceptance of this Agreement before the Revocation Deadline, this Agreement shall be voided in its entirety and the parties shall be relieved of all obligations hereunder. Employee acknowledges that no material changes have been made to this Agreement during the course of discussions leading up to the execution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pPr>
      <w:r>
        <w:rPr>
          <w:rFonts w:ascii="Times New Roman" w:hAnsi="Times New Roman"/>
          <w:b/>
          <w:color w:val="000000"/>
          <w:sz w:val="24"/>
        </w:rPr>
        <w:t>Internal Revenue Code Section 409A.</w:t>
      </w:r>
      <w:r>
        <w:rPr>
          <w:color w:val="000000"/>
        </w:rPr>
        <w:t xml:space="preserve"> </w:t>
      </w:r>
      <w:r>
        <w:rPr>
          <w:rFonts w:ascii="Times New Roman" w:hAnsi="Times New Roman"/>
          <w:color w:val="000000"/>
          <w:sz w:val="24"/>
        </w:rPr>
        <w:t xml:space="preserve">This Agreement is intended to comply with </w:t>
      </w:r>
      <w:bookmarkStart w:id="35" w:name="docxtextref30"/>
      <w:bookmarkEnd w:id="35"/>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of the Internal Revenue Code of 1986, as amended or an exemption thereunder and shall be construed and administered in accordance with </w:t>
      </w:r>
      <w:bookmarkStart w:id="36" w:name="docxtextref31"/>
      <w:bookmarkEnd w:id="36"/>
      <w:r>
        <w:rPr>
          <w:rFonts w:ascii="Times New Roman" w:hAnsi="Times New Roman"/>
          <w:color w:val="000000"/>
          <w:sz w:val="24"/>
        </w:rPr>
        <w:t xml:space="preserve">Section 409A. Notwithstanding any other provision of this Agreement, payments provided under this Agreement may only be made upon an event and in a manner that complies with </w:t>
      </w:r>
      <w:bookmarkStart w:id="37" w:name="docxtextref32"/>
      <w:bookmarkEnd w:id="37"/>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(to the extent applicable) or an applicable exemption. Any payments under this Agreement that may be excluded from </w:t>
      </w:r>
      <w:bookmarkStart w:id="38" w:name="docxtextref33"/>
      <w:bookmarkEnd w:id="38"/>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either as separation pay due to an involuntary separation from service or as a short-term deferral shall be excluded from </w:t>
      </w:r>
      <w:bookmarkStart w:id="39" w:name="docxtextref34"/>
      <w:bookmarkEnd w:id="39"/>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to the maximum extent possible. Any payments subject to Section 409A to be made under this Agreement upon a termination of employment shall only be made upon a “separation from service” under </w:t>
      </w:r>
      <w:bookmarkStart w:id="40" w:name="docxtextref35"/>
      <w:bookmarkEnd w:id="40"/>
      <w:r>
        <w:rPr>
          <w:rFonts w:ascii="Times New Roman" w:hAnsi="Times New Roman"/>
          <w:color w:val="000000"/>
          <w:sz w:val="24"/>
        </w:rPr>
        <w:t xml:space="preserve">Section 409A. Notwithstanding the foregoing, the Company Group makes no representations that the payments and benefits provided under this Agreement comply with </w:t>
      </w:r>
      <w:bookmarkStart w:id="41" w:name="docxtextref36"/>
      <w:bookmarkEnd w:id="41"/>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and in no event shall the Company Group be liable for all or any portion of any taxes, penalties, interest or other expenses that may be incurred by Employee on account of non-compliance with </w:t>
      </w:r>
      <w:bookmarkStart w:id="42" w:name="docxtextref37"/>
      <w:bookmarkEnd w:id="42"/>
      <w:r>
        <w:rPr>
          <w:rFonts w:ascii="Times New Roman" w:hAnsi="Times New Roman"/>
          <w:color w:val="000000"/>
          <w:sz w:val="24"/>
        </w:rPr>
        <w:t xml:space="preserve">Section 409A. For purposes of Section 409A of the Code, each payment or series of payments made under this Agreement shall be each treated as a separate payment.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herein, if a payment or benefit under this Agreement is subject to Section 409A, due to a “separation from service” for purposes of the rules under Section 409A, and Employee is determined to be a “specified employee” under Section 409A, such payment or benefit shall, to the extent necessary to comply with the requirements of Section 409A, be made or provided on the later of the date specified by the foregoing provisions of this Agreement or the date that is six months after the date of Employee’s separation from service (or, if earlier, the date of Employee’s death). Any installment payments that are delayed pursuant to this paragraph shall be accumulated and paid in a lump sum on the first day of the seventh month following Employee’s separation from service, and the remaining installment payments shall begin on such date in accordance with the schedule provided in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sz w:val="24"/>
        </w:rPr>
      </w:pPr>
      <w:r>
        <w:rPr>
          <w:rFonts w:ascii="Times New Roman" w:hAnsi="Times New Roman"/>
          <w:b/>
          <w:color w:val="000000"/>
          <w:sz w:val="24"/>
        </w:rPr>
        <w:t>General Provisions</w:t>
      </w:r>
      <w:r>
        <w:rPr>
          <w:rFonts w:ascii="Times New Roman" w:hAnsi="Times New Roman"/>
          <w:color w:val="000000"/>
          <w:sz w:val="24"/>
        </w:rPr>
        <w:t xml:space="preserve">. This Agreement contains the entire understanding and agreement between the parties relating to the subject matter of this Agreement, and supersedes any and all prior agreements or understandings between the parties pertaining to the subject matter hereof except for the Employment Agreement to the extent provided expressly in this Agreement, Award Agreements with respect to Employee’s obligations and benefits thereunder, and documentation regarding Excluded Claims. This Agreement may not be altered or amended except by an instrument in writing signed by both parties. Employee has not relied upon any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representation or statement outside this Agreement with regard to the subject matter, basis or effect of this Agreement. This Agreement will be governed by, and construed in accordance with, the laws of the Commonwealth of Massachusetts, excluding the choice of law rules thereof, consistent with Sections 18 and 19 of the Employment Agreement. This Agreement will be binding upon and inure to the benefit of the parties and their respective representatives, successors and permitted assigns. No waiver of a party’s rights will be effective unless such waiver is in writing signed by the waiving party. This Agreement and the rights and obligations of the parties hereunder may not be assigned by Employee without the prior written consent of the Company Group, but may be assigned by the Company Group or its successors and assigns to the Company Group business without Employee’s permission or consent, and shall be binding upon the Company Group’s successors. If any one or more of the provisions of this Agreement, or any part thereof, will be held to be invalid, illegal or unenforceable, the validity, legality and enforceability of the remainder of this Agreement will not in any way be affected or impaired thereby. This Agreement may be signed in one or more counterparts, each of which will be deemed an original, and all of which together will constitute one instrument. Electronic signatures shall be deemed originals for all purposes.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sz w:val="24"/>
        </w:rPr>
      </w:pPr>
      <w:r>
        <w:rPr>
          <w:rFonts w:ascii="Times New Roman" w:hAnsi="Times New Roman"/>
          <w:b/>
          <w:color w:val="000000"/>
          <w:sz w:val="24"/>
        </w:rPr>
        <w:t>Execution</w:t>
      </w:r>
      <w:r>
        <w:rPr>
          <w:rFonts w:ascii="Times New Roman" w:hAnsi="Times New Roman"/>
          <w:color w:val="000000"/>
          <w:sz w:val="24"/>
        </w:rPr>
        <w:t>. The parties understand and agree that this Agreement shall be null and void and have no legal or binding effect whatsoever if Employee signs but then timely revokes the Agreement before the Revocation Deadline.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By signing below, Employee represents and warrants that EMPLOYEE has full legal capacity to enter into this Agreement, Employee has carefully read and understands this Agreement in its entirety, has had a full opportunity to review this Agreement with an attorney of Employee’s choosing, and has executed this Agreement voluntarily, without duress, coercion or undue influence. THIS AGREEMENT MAY BE SIGNED ELECTRONICALLY BY EITHER PARTY. A pdf version of this agreement is the same as a hard copy or original version.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to Follow]</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undersigned, intending to be bound hereby, have agreed to the terms and conditions of this Agreement as of the date first set forth below.</w:t>
      </w:r>
    </w:p>
    <w:p>
      <w:pPr>
        <w:pStyle w:val="TextBody"/>
        <w:bidi w:val="0"/>
        <w:spacing w:before="0" w:after="240"/>
        <w:jc w:val="center"/>
      </w:pPr>
      <w: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KEVIN COOP</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_____________________</w:t>
      </w:r>
    </w:p>
    <w:p>
      <w:pPr>
        <w:pStyle w:val="TextBody"/>
        <w:bidi w:val="0"/>
        <w:spacing w:before="0" w:after="240"/>
        <w:jc w:val="left"/>
      </w:pPr>
      <w: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DEFINITIVE HEALTHCARE, LLC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_____________________</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left"/>
      </w:pPr>
      <w: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of Separation Agreement and General Release</w:t>
      </w:r>
      <w:r>
        <w:rPr>
          <w:rFonts w:ascii="Times New Roman" w:hAnsi="Times New Roman"/>
          <w:color w:val="000000"/>
          <w:sz w:val="24"/>
        </w:rPr>
        <w:t>]</w:t>
      </w:r>
    </w:p>
    <w:p>
      <w:pPr>
        <w:pStyle w:val="TextBody"/>
        <w:bidi w:val="0"/>
        <w:spacing w:before="0" w:after="240"/>
        <w:jc w:val="left"/>
      </w:pPr>
      <w:r>
        <w:t> </w:t>
      </w:r>
    </w:p>
    <w:p>
      <w:pPr>
        <w:pStyle w:val="TextBody"/>
        <w:bidi w:val="0"/>
        <w:spacing w:before="0" w:after="24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RSUs Subject to Accelerated Vesting</w:t>
      </w:r>
    </w:p>
    <w:tbl>
      <w:tblPr>
        <w:tblW w:w="8152" w:type="dxa"/>
        <w:jc w:val="left"/>
        <w:tblInd w:w="0" w:type="dxa"/>
        <w:tblLayout w:type="fixed"/>
        <w:tblCellMar>
          <w:top w:w="28" w:type="dxa"/>
          <w:left w:w="28" w:type="dxa"/>
          <w:bottom w:w="28" w:type="dxa"/>
          <w:right w:w="28" w:type="dxa"/>
        </w:tblCellMar>
      </w:tblPr>
      <w:tblGrid>
        <w:gridCol w:w="2116"/>
        <w:gridCol w:w="916"/>
        <w:gridCol w:w="916"/>
        <w:gridCol w:w="736"/>
        <w:gridCol w:w="1186"/>
        <w:gridCol w:w="1021"/>
        <w:gridCol w:w="1261"/>
      </w:tblGrid>
      <w:tr>
        <w:tc>
          <w:tcPr>
            <w:tcW w:w="21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br/>
              <w:t>Number</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Grant/</w:t>
              <w:br/>
              <w:t>Adjust</w:t>
              <w:br/>
              <w:t>Date</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Vest</w:t>
              <w:br/>
              <w:t>Date</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br/>
              <w:t>Shares</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br/>
              <w:t>Shares To Vest</w:t>
            </w:r>
          </w:p>
        </w:tc>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br/>
              <w:t>Vest Type</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Action</w:t>
            </w:r>
          </w:p>
        </w:tc>
      </w:tr>
      <w:t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P001720 (Initial RSU Grant)</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06/24/2024</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07/01/2025</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292,511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292,511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10/01/2025</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01/01/2026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01/01/2027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01/01/2028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73,128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736" w:type="dxa"/>
            <w:tcBorders/>
            <w:tcMar>
              <w:top w:w="0" w:type="dxa"/>
              <w:left w:w="0" w:type="dxa"/>
              <w:bottom w:w="0" w:type="dxa"/>
              <w:right w:w="0" w:type="dxa"/>
            </w:tcMar>
            <w:vAlign w:val="center"/>
          </w:tcPr>
          <w:p>
            <w:pPr>
              <w:pStyle w:val="TableContents"/>
              <w:bidi w:val="0"/>
              <w:spacing w:before="0" w:after="283"/>
              <w:jc w:val="left"/>
            </w:pPr>
            <w:r>
              <w:t> </w:t>
            </w:r>
          </w:p>
        </w:tc>
        <w:tc>
          <w:tcPr>
            <w:tcW w:w="1186" w:type="dxa"/>
            <w:tcBorders/>
            <w:tcMar>
              <w:top w:w="0" w:type="dxa"/>
              <w:left w:w="0" w:type="dxa"/>
              <w:bottom w:w="0" w:type="dxa"/>
              <w:right w:w="0" w:type="dxa"/>
            </w:tcMar>
            <w:vAlign w:val="center"/>
          </w:tcPr>
          <w:p>
            <w:pPr>
              <w:pStyle w:val="TableContents"/>
              <w:bidi w:val="0"/>
              <w:spacing w:before="0" w:after="283"/>
              <w:jc w:val="right"/>
            </w:pPr>
            <w:r>
              <w:t> </w:t>
            </w:r>
          </w:p>
        </w:tc>
        <w:tc>
          <w:tcPr>
            <w:tcW w:w="1021" w:type="dxa"/>
            <w:tcBorders/>
            <w:tcMar>
              <w:top w:w="0" w:type="dxa"/>
              <w:left w:w="0" w:type="dxa"/>
              <w:bottom w:w="0" w:type="dxa"/>
              <w:right w:w="0" w:type="dxa"/>
            </w:tcMar>
            <w:vAlign w:val="center"/>
          </w:tcPr>
          <w:p>
            <w:pPr>
              <w:pStyle w:val="TableContents"/>
              <w:bidi w:val="0"/>
              <w:spacing w:before="0" w:after="283"/>
              <w:jc w:val="right"/>
            </w:pPr>
            <w:r>
              <w:t> </w:t>
            </w:r>
          </w:p>
        </w:tc>
        <w:tc>
          <w:tcPr>
            <w:tcW w:w="1261" w:type="dxa"/>
            <w:tcBorders/>
            <w:tcMar>
              <w:top w:w="0" w:type="dxa"/>
              <w:left w:w="0" w:type="dxa"/>
              <w:bottom w:w="0" w:type="dxa"/>
              <w:right w:w="0" w:type="dxa"/>
            </w:tcMar>
            <w:vAlign w:val="center"/>
          </w:tcPr>
          <w:p>
            <w:pPr>
              <w:pStyle w:val="TableContents"/>
              <w:bidi w:val="0"/>
              <w:spacing w:before="0" w:after="283"/>
              <w:jc w:val="right"/>
            </w:pPr>
            <w:r>
              <w:t> </w:t>
            </w:r>
          </w:p>
        </w:tc>
      </w:tr>
      <w:t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P001724</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07/04/2024</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07/01/2025</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46,548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46,548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10/01/2025</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01/01/2026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01/01/2027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01/01/2028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11,637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736" w:type="dxa"/>
            <w:tcBorders/>
            <w:tcMar>
              <w:top w:w="0" w:type="dxa"/>
              <w:left w:w="0" w:type="dxa"/>
              <w:bottom w:w="0" w:type="dxa"/>
              <w:right w:w="0" w:type="dxa"/>
            </w:tcMar>
            <w:vAlign w:val="center"/>
          </w:tcPr>
          <w:p>
            <w:pPr>
              <w:pStyle w:val="TableContents"/>
              <w:bidi w:val="0"/>
              <w:spacing w:before="0" w:after="283"/>
              <w:jc w:val="left"/>
            </w:pPr>
            <w:r>
              <w:t> </w:t>
            </w:r>
          </w:p>
        </w:tc>
        <w:tc>
          <w:tcPr>
            <w:tcW w:w="1186" w:type="dxa"/>
            <w:tcBorders/>
            <w:tcMar>
              <w:top w:w="0" w:type="dxa"/>
              <w:left w:w="0" w:type="dxa"/>
              <w:bottom w:w="0" w:type="dxa"/>
              <w:right w:w="0" w:type="dxa"/>
            </w:tcMar>
            <w:vAlign w:val="center"/>
          </w:tcPr>
          <w:p>
            <w:pPr>
              <w:pStyle w:val="TableContents"/>
              <w:bidi w:val="0"/>
              <w:spacing w:before="0" w:after="283"/>
              <w:jc w:val="right"/>
            </w:pPr>
            <w:r>
              <w:t> </w:t>
            </w:r>
          </w:p>
        </w:tc>
        <w:tc>
          <w:tcPr>
            <w:tcW w:w="1021" w:type="dxa"/>
            <w:tcBorders/>
            <w:tcMar>
              <w:top w:w="0" w:type="dxa"/>
              <w:left w:w="0" w:type="dxa"/>
              <w:bottom w:w="0" w:type="dxa"/>
              <w:right w:w="0" w:type="dxa"/>
            </w:tcMar>
            <w:vAlign w:val="center"/>
          </w:tcPr>
          <w:p>
            <w:pPr>
              <w:pStyle w:val="TableContents"/>
              <w:bidi w:val="0"/>
              <w:spacing w:before="0" w:after="283"/>
              <w:jc w:val="right"/>
            </w:pPr>
            <w:r>
              <w:t> </w:t>
            </w:r>
          </w:p>
        </w:tc>
        <w:tc>
          <w:tcPr>
            <w:tcW w:w="1261" w:type="dxa"/>
            <w:tcBorders/>
            <w:tcMar>
              <w:top w:w="0" w:type="dxa"/>
              <w:left w:w="0" w:type="dxa"/>
              <w:bottom w:w="0" w:type="dxa"/>
              <w:right w:w="0" w:type="dxa"/>
            </w:tcMar>
            <w:vAlign w:val="center"/>
          </w:tcPr>
          <w:p>
            <w:pPr>
              <w:pStyle w:val="TableContents"/>
              <w:bidi w:val="0"/>
              <w:spacing w:before="0" w:after="283"/>
              <w:jc w:val="right"/>
            </w:pPr>
            <w:r>
              <w:t> </w:t>
            </w:r>
          </w:p>
        </w:tc>
      </w:tr>
      <w:t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P001801</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03/01/2025</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595,723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595,723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06/01/2026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148,930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148,930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Already Vested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09/01/2026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12/01/2026</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06/01/2027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148,930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148,930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09/01/2027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2116"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bl>
    <w:p>
      <w:pPr>
        <w:pStyle w:val="HorizontalLine"/>
        <w:pBdr>
          <w:bottom w:val="double" w:sz="2" w:space="0" w:color="808080"/>
        </w:pBdr>
        <w:bidi w:val="0"/>
        <w:spacing w:before="0" w:after="283"/>
        <w:jc w:val="left"/>
      </w:pPr>
      <w:r/>
    </w:p>
    <w:p>
      <w:pPr>
        <w:pStyle w:val="TextBody"/>
        <w:bidi w:val="0"/>
        <w:jc w:val="left"/>
      </w:pPr>
      <w:r>
        <w:t> </w:t>
      </w:r>
    </w:p>
    <w:tbl>
      <w:tblPr>
        <w:tblW w:w="6442" w:type="dxa"/>
        <w:jc w:val="left"/>
        <w:tblInd w:w="0" w:type="dxa"/>
        <w:tblLayout w:type="fixed"/>
        <w:tblCellMar>
          <w:top w:w="28" w:type="dxa"/>
          <w:left w:w="28" w:type="dxa"/>
          <w:bottom w:w="28" w:type="dxa"/>
          <w:right w:w="28" w:type="dxa"/>
        </w:tblCellMar>
      </w:tblPr>
      <w:tblGrid>
        <w:gridCol w:w="751"/>
        <w:gridCol w:w="916"/>
        <w:gridCol w:w="916"/>
        <w:gridCol w:w="736"/>
        <w:gridCol w:w="1276"/>
        <w:gridCol w:w="1021"/>
        <w:gridCol w:w="826"/>
      </w:tblGrid>
      <w:tr>
        <w:tc>
          <w:tcPr>
            <w:tcW w:w="7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06/01/2028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148,930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148,930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09/01/2028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03/01/2029</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148,931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736" w:type="dxa"/>
            <w:tcBorders/>
            <w:tcMar>
              <w:top w:w="0" w:type="dxa"/>
              <w:left w:w="0" w:type="dxa"/>
              <w:bottom w:w="0" w:type="dxa"/>
              <w:right w:w="0" w:type="dxa"/>
            </w:tcMar>
            <w:vAlign w:val="center"/>
          </w:tcPr>
          <w:p>
            <w:pPr>
              <w:pStyle w:val="TableContents"/>
              <w:bidi w:val="0"/>
              <w:spacing w:before="0" w:after="283"/>
              <w:jc w:val="left"/>
            </w:pPr>
            <w:r>
              <w:t> </w:t>
            </w:r>
          </w:p>
        </w:tc>
        <w:tc>
          <w:tcPr>
            <w:tcW w:w="1276" w:type="dxa"/>
            <w:tcBorders/>
            <w:tcMar>
              <w:top w:w="0" w:type="dxa"/>
              <w:left w:w="0" w:type="dxa"/>
              <w:bottom w:w="0" w:type="dxa"/>
              <w:right w:w="0" w:type="dxa"/>
            </w:tcMar>
            <w:vAlign w:val="center"/>
          </w:tcPr>
          <w:p>
            <w:pPr>
              <w:pStyle w:val="TableContents"/>
              <w:bidi w:val="0"/>
              <w:spacing w:before="0" w:after="283"/>
              <w:jc w:val="right"/>
            </w:pPr>
            <w:r>
              <w:t> </w:t>
            </w:r>
          </w:p>
        </w:tc>
        <w:tc>
          <w:tcPr>
            <w:tcW w:w="1021" w:type="dxa"/>
            <w:tcBorders/>
            <w:tcMar>
              <w:top w:w="0" w:type="dxa"/>
              <w:left w:w="0" w:type="dxa"/>
              <w:bottom w:w="0" w:type="dxa"/>
              <w:right w:w="0" w:type="dxa"/>
            </w:tcMar>
            <w:vAlign w:val="center"/>
          </w:tcPr>
          <w:p>
            <w:pPr>
              <w:pStyle w:val="TableContents"/>
              <w:bidi w:val="0"/>
              <w:spacing w:before="0" w:after="283"/>
              <w:jc w:val="right"/>
            </w:pPr>
            <w:r>
              <w:t> </w:t>
            </w:r>
          </w:p>
        </w:tc>
        <w:tc>
          <w:tcPr>
            <w:tcW w:w="826" w:type="dxa"/>
            <w:tcBorders/>
            <w:tcMar>
              <w:top w:w="0" w:type="dxa"/>
              <w:left w:w="0" w:type="dxa"/>
              <w:bottom w:w="0" w:type="dxa"/>
              <w:right w:w="0" w:type="dxa"/>
            </w:tcMar>
            <w:vAlign w:val="center"/>
          </w:tcPr>
          <w:p>
            <w:pPr>
              <w:pStyle w:val="TableContents"/>
              <w:bidi w:val="0"/>
              <w:spacing w:before="0" w:after="283"/>
              <w:jc w:val="right"/>
            </w:pPr>
            <w:r>
              <w:t> </w:t>
            </w:r>
          </w:p>
        </w:tc>
      </w:tr>
      <w:t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P002305</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02/24/2026</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433,859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433,859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05/01/2027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108,464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108,464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08/01/2027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Will Vest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11/01/2027</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05/01/2028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08/01/2028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11/01/2028</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108,464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108,464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02/01/2029</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05/01/2029</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08/01/2029</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11/01/2029</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02/01/2030</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108,465 </w:t>
            </w:r>
          </w:p>
        </w:tc>
        <w:tc>
          <w:tcPr>
            <w:tcW w:w="10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On Vest Date</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Forfeit </w:t>
            </w:r>
          </w:p>
        </w:tc>
      </w:tr>
      <w:tr>
        <w:tc>
          <w:tcPr>
            <w:tcW w:w="751" w:type="dxa"/>
            <w:tcBorders/>
            <w:tcMar>
              <w:top w:w="0" w:type="dxa"/>
              <w:left w:w="0" w:type="dxa"/>
              <w:bottom w:w="0" w:type="dxa"/>
              <w:right w:w="0" w:type="dxa"/>
            </w:tcMar>
            <w:vAlign w:val="center"/>
          </w:tcPr>
          <w:p>
            <w:pPr>
              <w:pStyle w:val="TableContents"/>
              <w:bidi w:val="0"/>
              <w:spacing w:before="0" w:after="283"/>
              <w:jc w:val="righ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916" w:type="dxa"/>
            <w:tcBorders/>
            <w:tcMar>
              <w:top w:w="0" w:type="dxa"/>
              <w:left w:w="0" w:type="dxa"/>
              <w:bottom w:w="0" w:type="dxa"/>
              <w:right w:w="0" w:type="dxa"/>
            </w:tcMar>
            <w:vAlign w:val="center"/>
          </w:tcPr>
          <w:p>
            <w:pPr>
              <w:pStyle w:val="TableContents"/>
              <w:bidi w:val="0"/>
              <w:spacing w:before="0" w:after="283"/>
              <w:jc w:val="left"/>
            </w:pPr>
            <w:r>
              <w:t> </w:t>
            </w:r>
          </w:p>
        </w:tc>
        <w:tc>
          <w:tcPr>
            <w:tcW w:w="736" w:type="dxa"/>
            <w:tcBorders/>
            <w:tcMar>
              <w:top w:w="0" w:type="dxa"/>
              <w:left w:w="0" w:type="dxa"/>
              <w:bottom w:w="0" w:type="dxa"/>
              <w:right w:w="0" w:type="dxa"/>
            </w:tcMar>
            <w:vAlign w:val="center"/>
          </w:tcPr>
          <w:p>
            <w:pPr>
              <w:pStyle w:val="TableContents"/>
              <w:bidi w:val="0"/>
              <w:spacing w:before="0" w:after="283"/>
              <w:jc w:val="right"/>
            </w:pPr>
            <w:r>
              <w:t>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Total: 1,878,083</w:t>
            </w:r>
          </w:p>
        </w:tc>
        <w:tc>
          <w:tcPr>
            <w:tcW w:w="1021" w:type="dxa"/>
            <w:tcBorders/>
            <w:tcMar>
              <w:top w:w="0" w:type="dxa"/>
              <w:left w:w="0" w:type="dxa"/>
              <w:bottom w:w="0" w:type="dxa"/>
              <w:right w:w="0" w:type="dxa"/>
            </w:tcMar>
            <w:vAlign w:val="center"/>
          </w:tcPr>
          <w:p>
            <w:pPr>
              <w:pStyle w:val="TableContents"/>
              <w:bidi w:val="0"/>
              <w:spacing w:before="0" w:after="283"/>
              <w:jc w:val="right"/>
            </w:pPr>
            <w:r>
              <w:t> </w:t>
            </w:r>
          </w:p>
        </w:tc>
        <w:tc>
          <w:tcPr>
            <w:tcW w:w="826" w:type="dxa"/>
            <w:tcBorders/>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spacing w:before="0" w:after="240"/>
        <w:jc w:val="both"/>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43" w:name="dh-ex31_1.htm"/>
      <w:bookmarkStart w:id="44" w:name="ksdhex31_1"/>
      <w:bookmarkEnd w:id="43"/>
      <w:bookmarkEnd w:id="44"/>
      <w:r>
        <w:rPr>
          <w:rFonts w:ascii="Times New Roman" w:hAnsi="Times New Roman"/>
          <w:b/>
          <w:color w:val="000000"/>
          <w:sz w:val="20"/>
        </w:rPr>
        <w:t>Exhibit 31.1</w:t>
      </w:r>
      <w:r>
        <w:br w:type="page"/>
      </w:r>
    </w:p>
    <w:p>
      <w:pPr>
        <w:pStyle w:val="TextBody"/>
        <w:bidi w:val="0"/>
        <w:jc w:val="right"/>
      </w:pPr>
      <w:r>
        <w:t> </w:t>
      </w:r>
    </w:p>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Clay Ritchey,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020" w:type="dxa"/>
        <w:jc w:val="left"/>
        <w:tblInd w:w="0" w:type="dxa"/>
        <w:tblLayout w:type="fixed"/>
        <w:tblCellMar>
          <w:top w:w="28" w:type="dxa"/>
          <w:left w:w="28" w:type="dxa"/>
          <w:bottom w:w="28" w:type="dxa"/>
          <w:right w:w="28" w:type="dxa"/>
        </w:tblCellMar>
      </w:tblPr>
      <w:tblGrid>
        <w:gridCol w:w="556"/>
        <w:gridCol w:w="1666"/>
        <w:gridCol w:w="146"/>
        <w:gridCol w:w="146"/>
        <w:gridCol w:w="2506"/>
      </w:tblGrid>
      <w:tr>
        <w:tc>
          <w:tcPr>
            <w:tcW w:w="5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06"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November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Clay Ritchey</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Clay Ritchey</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45" w:name="dh-ex31_2.htm"/>
      <w:bookmarkStart w:id="46" w:name="ksdhex31_2"/>
      <w:bookmarkEnd w:id="45"/>
      <w:bookmarkEnd w:id="46"/>
      <w:r>
        <w:rPr>
          <w:rFonts w:ascii="Times New Roman" w:hAnsi="Times New Roman"/>
          <w:b/>
          <w:color w:val="000000"/>
          <w:sz w:val="20"/>
        </w:rPr>
        <w:t>Exhibit 31.2</w:t>
      </w:r>
      <w:r>
        <w:br w:type="page"/>
      </w:r>
    </w:p>
    <w:p>
      <w:pPr>
        <w:pStyle w:val="TextBody"/>
        <w:bidi w:val="0"/>
        <w:jc w:val="right"/>
      </w:pPr>
      <w:r>
        <w:t> </w:t>
      </w:r>
    </w:p>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Casey Heller,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889" w:type="dxa"/>
        <w:jc w:val="left"/>
        <w:tblInd w:w="0" w:type="dxa"/>
        <w:tblLayout w:type="fixed"/>
        <w:tblCellMar>
          <w:top w:w="28" w:type="dxa"/>
          <w:left w:w="28" w:type="dxa"/>
          <w:bottom w:w="28" w:type="dxa"/>
          <w:right w:w="28" w:type="dxa"/>
        </w:tblCellMar>
      </w:tblPr>
      <w:tblGrid>
        <w:gridCol w:w="556"/>
        <w:gridCol w:w="1666"/>
        <w:gridCol w:w="146"/>
        <w:gridCol w:w="2521"/>
      </w:tblGrid>
      <w:tr>
        <w:tc>
          <w:tcPr>
            <w:tcW w:w="5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21"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November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47" w:name="dh-ex32_1.htm"/>
      <w:bookmarkStart w:id="48" w:name="ksdhex32_1"/>
      <w:bookmarkEnd w:id="47"/>
      <w:bookmarkEnd w:id="48"/>
      <w:r>
        <w:rPr>
          <w:rFonts w:ascii="Times New Roman" w:hAnsi="Times New Roman"/>
          <w:b/>
          <w:color w:val="000000"/>
          <w:sz w:val="20"/>
        </w:rPr>
        <w:t>Exhibit 32.1</w:t>
      </w:r>
      <w:r>
        <w:br w:type="page"/>
      </w:r>
    </w:p>
    <w:p>
      <w:pPr>
        <w:pStyle w:val="TextBody"/>
        <w:bidi w:val="0"/>
        <w:jc w:val="right"/>
      </w:pPr>
      <w:r>
        <w:t> </w:t>
      </w:r>
    </w:p>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Definitive Healthcare Corp. (the “Company”) for the quarterly period ended September 30, 2026 as filed with the Securities and Exchange Commission on the date hereof (the “Report”), Clay Ritchey, Chief Executive Officer of the Company, and Casey Heller,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their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5, 2026</w:t>
      </w:r>
    </w:p>
    <w:tbl>
      <w:tblPr>
        <w:tblW w:w="2521" w:type="dxa"/>
        <w:jc w:val="left"/>
        <w:tblInd w:w="0" w:type="dxa"/>
        <w:tblLayout w:type="fixed"/>
        <w:tblCellMar>
          <w:top w:w="28" w:type="dxa"/>
          <w:left w:w="28" w:type="dxa"/>
          <w:bottom w:w="28" w:type="dxa"/>
          <w:right w:w="28" w:type="dxa"/>
        </w:tblCellMar>
      </w:tblPr>
      <w:tblGrid>
        <w:gridCol w:w="2521"/>
      </w:tblGrid>
      <w:tr>
        <w:tc>
          <w:tcPr>
            <w:tcW w:w="2521" w:type="dxa"/>
            <w:tcBorders/>
            <w:vAlign w:val="center"/>
          </w:tcPr>
          <w:p>
            <w:pPr>
              <w:pStyle w:val="TableContents"/>
              <w:bidi w:val="0"/>
              <w:spacing w:before="0" w:after="283"/>
              <w:jc w:val="left"/>
              <w:rPr>
                <w:sz w:val="4"/>
                <w:szCs w:val="4"/>
              </w:rPr>
            </w:pPr>
            <w:r>
              <w:rPr>
                <w:sz w:val="4"/>
                <w:szCs w:val="4"/>
              </w:rPr>
            </w:r>
          </w:p>
        </w:tc>
      </w:tr>
      <w:tr>
        <w:tc>
          <w:tcPr>
            <w:tcW w:w="2521" w:type="dxa"/>
            <w:tcBorders/>
            <w:tcMar>
              <w:top w:w="0" w:type="dxa"/>
              <w:left w:w="0" w:type="dxa"/>
              <w:bottom w:w="0" w:type="dxa"/>
              <w:right w:w="0" w:type="dxa"/>
            </w:tcMar>
            <w:vAlign w:val="center"/>
          </w:tcPr>
          <w:p>
            <w:pPr>
              <w:pStyle w:val="TableContents"/>
              <w:bidi w:val="0"/>
              <w:spacing w:before="0" w:after="283"/>
              <w:jc w:val="left"/>
            </w:pPr>
            <w:r>
              <w:t> </w:t>
            </w:r>
          </w:p>
        </w:tc>
      </w:tr>
      <w:t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Clay Ritchey</w:t>
            </w:r>
          </w:p>
        </w:tc>
      </w:tr>
      <w:t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Clay Ritchey</w:t>
            </w:r>
          </w:p>
        </w:tc>
      </w:tr>
      <w:t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c>
          <w:tcPr>
            <w:tcW w:w="2536" w:type="dxa"/>
            <w:tcBorders/>
            <w:vAlign w:val="center"/>
          </w:tcPr>
          <w:p>
            <w:pPr>
              <w:pStyle w:val="TableContents"/>
              <w:bidi w:val="0"/>
              <w:spacing w:before="0" w:after="283"/>
              <w:jc w:val="left"/>
              <w:rPr>
                <w:sz w:val="4"/>
                <w:szCs w:val="4"/>
              </w:rPr>
            </w:pPr>
            <w:r>
              <w:rPr>
                <w:sz w:val="4"/>
                <w:szCs w:val="4"/>
              </w:rPr>
            </w:r>
          </w:p>
        </w:tc>
      </w:tr>
      <w:tr>
        <w:tc>
          <w:tcPr>
            <w:tcW w:w="2536" w:type="dxa"/>
            <w:tcBorders/>
            <w:tcMar>
              <w:top w:w="0" w:type="dxa"/>
              <w:left w:w="0" w:type="dxa"/>
              <w:bottom w:w="0" w:type="dxa"/>
              <w:right w:w="0" w:type="dxa"/>
            </w:tcMar>
            <w:vAlign w:val="center"/>
          </w:tcPr>
          <w:p>
            <w:pPr>
              <w:pStyle w:val="TableContents"/>
              <w:bidi w:val="0"/>
              <w:spacing w:before="0" w:after="283"/>
              <w:jc w:val="left"/>
            </w:pPr>
            <w:r>
              <w:t> </w:t>
            </w:r>
          </w:p>
        </w:tc>
      </w:tr>
      <w:t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Casey Heller</w:t>
            </w:r>
          </w:p>
        </w:tc>
      </w:tr>
      <w:t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10_8.htm" TargetMode="External"/><Relationship Id="rId3" Type="http://schemas.openxmlformats.org/officeDocument/2006/relationships/hyperlink" Target="https://www.sec.gov/Archives/edgar/data/1861795/000095017021003484/dh-ex3_1.htm" TargetMode="External"/><Relationship Id="rId4" Type="http://schemas.openxmlformats.org/officeDocument/2006/relationships/hyperlink" Target="https://www.sec.gov/Archives/edgar/data/1861795/000095017021003484/dh-ex3_2.htm" TargetMode="External"/><Relationship Id="rId5" Type="http://schemas.openxmlformats.org/officeDocument/2006/relationships/hyperlink" Target="https://www.sec.gov/Archives/edgar/data/1861795/000119312526379420/dh-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31463</Words>
  <Characters>176425</Characters>
  <CharactersWithSpaces>209010</CharactersWithSpaces>
  <Paragraphs>8122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