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Heller Casey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733,301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2,007,322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$0.001, with 25% of the RSUs vesting on March 1, 2027, followed by vesting of 6.25% every three months thereafter over the subsequent three years,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043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3441</Characters>
  <CharactersWithSpaces>4012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