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-217805</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40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-599440</wp:posOffset>
            </wp:positionV>
            <wp:extent cx="56515" cy="612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3902710</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24765</wp:posOffset>
            </wp:positionV>
            <wp:extent cx="6999605" cy="4452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445262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140" w:space="540"/>
            <w:col w:w="8400"/>
          </w:cols>
          <w:pgMar w:left="460" w:top="213"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Coop Kevin</w:t>
        </w:r>
      </w:hyperlink>
    </w:p>
    <w:p>
      <w:pPr>
        <w:spacing w:after="0" w:line="279"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DEFINITIVE HEALTHCARE CORP.</w:t>
      </w:r>
    </w:p>
    <w:p>
      <w:pPr>
        <w:spacing w:after="0" w:line="63" w:lineRule="exact"/>
        <w:rPr>
          <w:sz w:val="24"/>
          <w:szCs w:val="24"/>
          <w:color w:val="auto"/>
        </w:rPr>
      </w:pPr>
    </w:p>
    <w:p>
      <w:pPr>
        <w:ind w:left="80" w:firstLine="37"/>
        <w:spacing w:after="0" w:line="410" w:lineRule="auto"/>
        <w:rPr>
          <w:sz w:val="20"/>
          <w:szCs w:val="20"/>
          <w:color w:val="auto"/>
        </w:rPr>
      </w:pPr>
      <w:r>
        <w:rPr>
          <w:rFonts w:ascii="Times New Roman" w:cs="Times New Roman" w:eastAsia="Times New Roman" w:hAnsi="Times New Roman"/>
          <w:sz w:val="16"/>
          <w:szCs w:val="16"/>
          <w:color w:val="0000FF"/>
        </w:rPr>
        <w:t xml:space="preserve">492 OLD CONNECTICUT PATH, SUITE 401 </w:t>
      </w:r>
      <w:r>
        <w:rPr>
          <w:rFonts w:ascii="Arial" w:cs="Arial" w:eastAsia="Arial" w:hAnsi="Arial"/>
          <w:sz w:val="12"/>
          <w:szCs w:val="12"/>
          <w:color w:val="000000"/>
        </w:rPr>
        <w:t>(Street)</w:t>
      </w:r>
    </w:p>
    <w:p>
      <w:pPr>
        <w:spacing w:after="0" w:line="1" w:lineRule="exact"/>
        <w:rPr>
          <w:sz w:val="24"/>
          <w:szCs w:val="24"/>
          <w:color w:val="auto"/>
        </w:rPr>
      </w:pPr>
    </w:p>
    <w:p>
      <w:pPr>
        <w:ind w:left="100"/>
        <w:spacing w:after="0"/>
        <w:tabs>
          <w:tab w:leader="none" w:pos="2540" w:val="left"/>
        </w:tabs>
        <w:rPr>
          <w:sz w:val="20"/>
          <w:szCs w:val="20"/>
          <w:color w:val="auto"/>
        </w:rPr>
      </w:pPr>
      <w:r>
        <w:rPr>
          <w:rFonts w:ascii="Times New Roman" w:cs="Times New Roman" w:eastAsia="Times New Roman" w:hAnsi="Times New Roman"/>
          <w:sz w:val="16"/>
          <w:szCs w:val="16"/>
          <w:color w:val="0000FF"/>
        </w:rPr>
        <w:t>FRAMINGHAM  MA</w:t>
      </w:r>
      <w:r>
        <w:rPr>
          <w:sz w:val="20"/>
          <w:szCs w:val="20"/>
          <w:color w:val="auto"/>
        </w:rPr>
        <w:tab/>
      </w:r>
      <w:r>
        <w:rPr>
          <w:rFonts w:ascii="Times New Roman" w:cs="Times New Roman" w:eastAsia="Times New Roman" w:hAnsi="Times New Roman"/>
          <w:sz w:val="16"/>
          <w:szCs w:val="16"/>
          <w:color w:val="0000FF"/>
        </w:rPr>
        <w:t>01701</w:t>
      </w:r>
    </w:p>
    <w:p>
      <w:pPr>
        <w:spacing w:after="0" w:line="310"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3760" w:type="dxa"/>
            <w:vAlign w:val="bottom"/>
            <w:gridSpan w:val="3"/>
          </w:tcPr>
          <w:p>
            <w:pPr>
              <w:spacing w:after="0" w:line="136"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Definitive Healthcare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DH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1820" w:type="dxa"/>
            <w:vAlign w:val="bottom"/>
            <w:vMerge w:val="restart"/>
          </w:tcPr>
          <w:p>
            <w:pPr>
              <w:ind w:left="600"/>
              <w:spacing w:after="0"/>
              <w:rPr>
                <w:sz w:val="20"/>
                <w:szCs w:val="20"/>
                <w:color w:val="auto"/>
              </w:rPr>
            </w:pPr>
            <w:r>
              <w:rPr>
                <w:rFonts w:ascii="Arial" w:cs="Arial" w:eastAsia="Arial" w:hAnsi="Arial"/>
                <w:sz w:val="12"/>
                <w:szCs w:val="12"/>
                <w:color w:val="auto"/>
              </w:rPr>
              <w:t>Director</w:t>
            </w:r>
          </w:p>
        </w:tc>
        <w:tc>
          <w:tcPr>
            <w:tcW w:w="1480" w:type="dxa"/>
            <w:vAlign w:val="bottom"/>
            <w:vMerge w:val="restart"/>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820" w:type="dxa"/>
            <w:vAlign w:val="bottom"/>
            <w:vMerge w:val="restart"/>
          </w:tcPr>
          <w:p>
            <w:pPr>
              <w:ind w:left="600"/>
              <w:spacing w:after="0"/>
              <w:rPr>
                <w:sz w:val="20"/>
                <w:szCs w:val="20"/>
                <w:color w:val="auto"/>
              </w:rPr>
            </w:pPr>
            <w:r>
              <w:rPr>
                <w:rFonts w:ascii="Arial" w:cs="Arial" w:eastAsia="Arial" w:hAnsi="Arial"/>
                <w:sz w:val="12"/>
                <w:szCs w:val="12"/>
                <w:color w:val="auto"/>
              </w:rPr>
              <w:t>Officer (give title</w:t>
            </w:r>
          </w:p>
        </w:tc>
        <w:tc>
          <w:tcPr>
            <w:tcW w:w="1480" w:type="dxa"/>
            <w:vAlign w:val="bottom"/>
            <w:vMerge w:val="restart"/>
          </w:tcPr>
          <w:p>
            <w:pPr>
              <w:ind w:left="3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8"/>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2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20" w:type="dxa"/>
            <w:vAlign w:val="bottom"/>
            <w:vMerge w:val="restart"/>
          </w:tcPr>
          <w:p>
            <w:pPr>
              <w:ind w:left="600"/>
              <w:spacing w:after="0"/>
              <w:rPr>
                <w:sz w:val="20"/>
                <w:szCs w:val="20"/>
                <w:color w:val="auto"/>
              </w:rPr>
            </w:pPr>
            <w:r>
              <w:rPr>
                <w:rFonts w:ascii="Arial" w:cs="Arial" w:eastAsia="Arial" w:hAnsi="Arial"/>
                <w:sz w:val="12"/>
                <w:szCs w:val="12"/>
                <w:color w:val="auto"/>
              </w:rPr>
              <w:t>below)</w:t>
            </w:r>
          </w:p>
        </w:tc>
        <w:tc>
          <w:tcPr>
            <w:tcW w:w="1480" w:type="dxa"/>
            <w:vAlign w:val="bottom"/>
            <w:vMerge w:val="restart"/>
          </w:tcPr>
          <w:p>
            <w:pPr>
              <w:ind w:left="3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88"/>
        </w:trPr>
        <w:tc>
          <w:tcPr>
            <w:tcW w:w="2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06/24/2024</w:t>
            </w:r>
          </w:p>
        </w:tc>
        <w:tc>
          <w:tcPr>
            <w:tcW w:w="156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2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3300" w:type="dxa"/>
            <w:vAlign w:val="bottom"/>
            <w:gridSpan w:val="2"/>
            <w:vMerge w:val="restart"/>
          </w:tcPr>
          <w:p>
            <w:pPr>
              <w:ind w:left="880"/>
              <w:spacing w:after="0"/>
              <w:rPr>
                <w:sz w:val="20"/>
                <w:szCs w:val="20"/>
                <w:color w:val="auto"/>
              </w:rPr>
            </w:pPr>
            <w:r>
              <w:rPr>
                <w:rFonts w:ascii="Times New Roman" w:cs="Times New Roman" w:eastAsia="Times New Roman" w:hAnsi="Times New Roman"/>
                <w:sz w:val="16"/>
                <w:szCs w:val="16"/>
                <w:color w:val="0000FF"/>
              </w:rPr>
              <w:t>Chief Executive Officer</w:t>
            </w:r>
          </w:p>
        </w:tc>
        <w:tc>
          <w:tcPr>
            <w:tcW w:w="0" w:type="dxa"/>
            <w:vAlign w:val="bottom"/>
          </w:tcPr>
          <w:p>
            <w:pPr>
              <w:spacing w:after="0"/>
              <w:rPr>
                <w:sz w:val="1"/>
                <w:szCs w:val="1"/>
                <w:color w:val="auto"/>
              </w:rPr>
            </w:pPr>
          </w:p>
        </w:tc>
      </w:tr>
      <w:tr>
        <w:trPr>
          <w:trHeight w:val="111"/>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3"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2" w:lineRule="exact"/>
        <w:rPr>
          <w:sz w:val="24"/>
          <w:szCs w:val="24"/>
          <w:color w:val="auto"/>
        </w:rPr>
      </w:pPr>
    </w:p>
    <w:p>
      <w:pPr>
        <w:ind w:left="300" w:right="420"/>
        <w:spacing w:after="0" w:line="26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3" w:lineRule="exact"/>
        <w:rPr>
          <w:sz w:val="24"/>
          <w:szCs w:val="24"/>
          <w:color w:val="auto"/>
        </w:rPr>
      </w:pPr>
    </w:p>
    <w:p>
      <w:pPr>
        <w:sectPr>
          <w:pgSz w:w="11900" w:h="16838" w:orient="portrait"/>
          <w:cols w:equalWidth="0" w:num="2">
            <w:col w:w="3140" w:space="700"/>
            <w:col w:w="7240"/>
          </w:cols>
          <w:pgMar w:left="460" w:top="213"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2"/>
                <w:szCs w:val="12"/>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ind w:left="780"/>
              <w:spacing w:after="0" w:line="124"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5"/>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80" w:type="dxa"/>
            <w:vAlign w:val="bottom"/>
            <w:gridSpan w:val="2"/>
          </w:tcPr>
          <w:p>
            <w:pPr>
              <w:ind w:left="780"/>
              <w:spacing w:after="0" w:line="124"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340" w:type="dxa"/>
            <w:vAlign w:val="bottom"/>
          </w:tcPr>
          <w:p>
            <w:pPr>
              <w:jc w:val="right"/>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vMerge w:val="restart"/>
          </w:tcPr>
          <w:p>
            <w:pPr>
              <w:jc w:val="right"/>
              <w:ind w:right="96"/>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1"/>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6"/>
                <w:szCs w:val="16"/>
                <w:color w:val="0000FF"/>
              </w:rPr>
              <w:t>06/24/2024</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A</w:t>
            </w:r>
          </w:p>
        </w:tc>
        <w:tc>
          <w:tcPr>
            <w:tcW w:w="9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6"/>
                <w:szCs w:val="16"/>
                <w:color w:val="0000FF"/>
              </w:rPr>
              <w:t>1,170,047</w:t>
            </w:r>
            <w:r>
              <w:rPr>
                <w:rFonts w:ascii="Times New Roman" w:cs="Times New Roman" w:eastAsia="Times New Roman" w:hAnsi="Times New Roman"/>
                <w:sz w:val="20"/>
                <w:szCs w:val="20"/>
                <w:color w:val="008000"/>
                <w:vertAlign w:val="superscript"/>
              </w:rPr>
              <w:t>(1)</w:t>
            </w:r>
          </w:p>
        </w:tc>
        <w:tc>
          <w:tcPr>
            <w:tcW w:w="34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Borders>
              <w:bottom w:val="single" w:sz="8" w:color="2C2C2C"/>
            </w:tcBorders>
          </w:tcPr>
          <w:p>
            <w:pPr>
              <w:ind w:left="3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1,170,047</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78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6200" w:type="dxa"/>
            <w:vAlign w:val="bottom"/>
            <w:tcBorders>
              <w:top w:val="single" w:sz="8" w:color="2C2C2C"/>
            </w:tcBorders>
            <w:gridSpan w:val="12"/>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6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80"/>
              <w:spacing w:after="0"/>
              <w:rPr>
                <w:sz w:val="20"/>
                <w:szCs w:val="20"/>
                <w:color w:val="auto"/>
              </w:rPr>
            </w:pPr>
            <w:r>
              <w:rPr>
                <w:rFonts w:ascii="Arial" w:cs="Arial" w:eastAsia="Arial" w:hAnsi="Arial"/>
                <w:sz w:val="11"/>
                <w:szCs w:val="11"/>
                <w:b w:val="1"/>
                <w:bCs w:val="1"/>
                <w:color w:val="auto"/>
                <w:w w:val="97"/>
              </w:rPr>
              <w:t>Title</w:t>
            </w:r>
          </w:p>
        </w:tc>
        <w:tc>
          <w:tcPr>
            <w:tcW w:w="34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(2)(3)</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color w:val="008000"/>
              </w:rPr>
              <w:t>(2)(3)</w:t>
            </w:r>
          </w:p>
        </w:tc>
        <w:tc>
          <w:tcPr>
            <w:tcW w:w="640" w:type="dxa"/>
            <w:vAlign w:val="bottom"/>
          </w:tcPr>
          <w:p>
            <w:pPr>
              <w:spacing w:after="0"/>
              <w:rPr>
                <w:sz w:val="14"/>
                <w:szCs w:val="14"/>
                <w:color w:val="auto"/>
              </w:rPr>
            </w:pPr>
          </w:p>
        </w:tc>
        <w:tc>
          <w:tcPr>
            <w:tcW w:w="660" w:type="dxa"/>
            <w:vAlign w:val="bottom"/>
            <w:gridSpan w:val="2"/>
          </w:tcPr>
          <w:p>
            <w:pPr>
              <w:jc w:val="right"/>
              <w:ind w:right="96"/>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1,137,038</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8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based Stock</w:t>
            </w:r>
          </w:p>
        </w:tc>
        <w:tc>
          <w:tcPr>
            <w:tcW w:w="760" w:type="dxa"/>
            <w:vAlign w:val="bottom"/>
            <w:vMerge w:val="continue"/>
          </w:tcPr>
          <w:p>
            <w:pPr>
              <w:spacing w:after="0"/>
              <w:rPr>
                <w:sz w:val="11"/>
                <w:szCs w:val="11"/>
                <w:color w:val="auto"/>
              </w:rPr>
            </w:pPr>
          </w:p>
        </w:tc>
        <w:tc>
          <w:tcPr>
            <w:tcW w:w="1020" w:type="dxa"/>
            <w:vAlign w:val="bottom"/>
          </w:tcPr>
          <w:p>
            <w:pPr>
              <w:jc w:val="right"/>
              <w:ind w:right="163"/>
              <w:spacing w:after="0" w:line="136" w:lineRule="exact"/>
              <w:rPr>
                <w:sz w:val="20"/>
                <w:szCs w:val="20"/>
                <w:color w:val="auto"/>
              </w:rPr>
            </w:pPr>
            <w:r>
              <w:rPr>
                <w:rFonts w:ascii="Times New Roman" w:cs="Times New Roman" w:eastAsia="Times New Roman" w:hAnsi="Times New Roman"/>
                <w:sz w:val="12"/>
                <w:szCs w:val="12"/>
                <w:color w:val="0000FF"/>
              </w:rPr>
              <w:t>06/24/2024</w:t>
            </w:r>
          </w:p>
        </w:tc>
        <w:tc>
          <w:tcPr>
            <w:tcW w:w="1040" w:type="dxa"/>
            <w:vAlign w:val="bottom"/>
          </w:tcPr>
          <w:p>
            <w:pPr>
              <w:spacing w:after="0"/>
              <w:rPr>
                <w:sz w:val="11"/>
                <w:szCs w:val="11"/>
                <w:color w:val="auto"/>
              </w:rPr>
            </w:pPr>
          </w:p>
        </w:tc>
        <w:tc>
          <w:tcPr>
            <w:tcW w:w="74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A</w:t>
            </w:r>
          </w:p>
        </w:tc>
        <w:tc>
          <w:tcPr>
            <w:tcW w:w="700" w:type="dxa"/>
            <w:vAlign w:val="bottom"/>
          </w:tcPr>
          <w:p>
            <w:pPr>
              <w:ind w:left="100"/>
              <w:spacing w:after="0" w:line="136" w:lineRule="exact"/>
              <w:rPr>
                <w:sz w:val="20"/>
                <w:szCs w:val="20"/>
                <w:color w:val="auto"/>
              </w:rPr>
            </w:pPr>
            <w:r>
              <w:rPr>
                <w:rFonts w:ascii="Times New Roman" w:cs="Times New Roman" w:eastAsia="Times New Roman" w:hAnsi="Times New Roman"/>
                <w:sz w:val="12"/>
                <w:szCs w:val="12"/>
                <w:color w:val="0000FF"/>
              </w:rPr>
              <w:t>1,137,038</w:t>
            </w:r>
          </w:p>
        </w:tc>
        <w:tc>
          <w:tcPr>
            <w:tcW w:w="2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40" w:type="dxa"/>
            <w:vAlign w:val="bottom"/>
          </w:tcPr>
          <w:p>
            <w:pPr>
              <w:ind w:left="20"/>
              <w:spacing w:after="0" w:line="136" w:lineRule="exact"/>
              <w:rPr>
                <w:sz w:val="20"/>
                <w:szCs w:val="20"/>
                <w:color w:val="auto"/>
              </w:rPr>
            </w:pPr>
            <w:r>
              <w:rPr>
                <w:rFonts w:ascii="Times New Roman" w:cs="Times New Roman" w:eastAsia="Times New Roman" w:hAnsi="Times New Roman"/>
                <w:sz w:val="12"/>
                <w:szCs w:val="12"/>
                <w:color w:val="0000FF"/>
              </w:rPr>
              <w:t>06/24/2028</w:t>
            </w:r>
          </w:p>
        </w:tc>
        <w:tc>
          <w:tcPr>
            <w:tcW w:w="660" w:type="dxa"/>
            <w:vAlign w:val="bottom"/>
            <w:gridSpan w:val="2"/>
          </w:tcPr>
          <w:p>
            <w:pPr>
              <w:ind w:left="8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80"/>
              <w:spacing w:after="0" w:line="136" w:lineRule="exact"/>
              <w:rPr>
                <w:sz w:val="20"/>
                <w:szCs w:val="20"/>
                <w:color w:val="auto"/>
              </w:rPr>
            </w:pPr>
            <w:r>
              <w:rPr>
                <w:rFonts w:ascii="Times New Roman" w:cs="Times New Roman" w:eastAsia="Times New Roman" w:hAnsi="Times New Roman"/>
                <w:sz w:val="12"/>
                <w:szCs w:val="12"/>
                <w:color w:val="0000FF"/>
              </w:rPr>
              <w:t>1,137,038</w:t>
            </w:r>
          </w:p>
        </w:tc>
        <w:tc>
          <w:tcPr>
            <w:tcW w:w="620" w:type="dxa"/>
            <w:vAlign w:val="bottom"/>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-1610360</wp:posOffset>
            </wp:positionV>
            <wp:extent cx="28575" cy="1616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616075"/>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jc w:val="both"/>
        <w:ind w:left="40" w:right="400" w:hanging="4"/>
        <w:spacing w:after="0" w:line="274"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restricted stock units ("RSUs"), each representing a contingent right to receive one share of the Issuer's Class A Common Stock, par value $0.001 (the "Class A Common Stock"), with 25% of the RSUs vesting on July 1, 2025, followed by vesting of 6.25% every three months thereafter over the subsequent three years, subject to the Reporting Person's continued service with the Issuer through each such vesting date.</w:t>
      </w:r>
    </w:p>
    <w:p>
      <w:pPr>
        <w:spacing w:after="0" w:line="5" w:lineRule="exact"/>
        <w:rPr>
          <w:rFonts w:ascii="Times New Roman" w:cs="Times New Roman" w:eastAsia="Times New Roman" w:hAnsi="Times New Roman"/>
          <w:sz w:val="12"/>
          <w:szCs w:val="12"/>
          <w:color w:val="008000"/>
        </w:rPr>
      </w:pPr>
    </w:p>
    <w:p>
      <w:pPr>
        <w:jc w:val="both"/>
        <w:ind w:left="40" w:right="140" w:hanging="4"/>
        <w:spacing w:after="0" w:line="248"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performance-based stock units ("PSUs"), each representing a contingent right to receive one share of the Issuer's Class A Common Stock, which will vest in four tranches: (i) 200,000 PSUs are subject to the first vesting tranche, (ii) 266,667 PSUs are subject to the second vesting tranche, (iii) 300,000 PSUs are subject to the third vesting tranche, and (iv) 370,371 PSUs are subject to the fourth vesting tranche. The first vesting tranche will vest during a two-year performance period beginning on the grant date and the other three vesting tranches will vest during a four-year performance period beginning on the grant date (each, a "Performance Period"). Each vesting tranche is subject to satisfaction of certain stock price hurdles and a continued service requirement.</w:t>
      </w:r>
    </w:p>
    <w:p>
      <w:pPr>
        <w:spacing w:after="0" w:line="21" w:lineRule="exact"/>
        <w:rPr>
          <w:rFonts w:ascii="Times New Roman" w:cs="Times New Roman" w:eastAsia="Times New Roman" w:hAnsi="Times New Roman"/>
          <w:sz w:val="12"/>
          <w:szCs w:val="12"/>
          <w:color w:val="008000"/>
        </w:rPr>
      </w:pPr>
    </w:p>
    <w:p>
      <w:pPr>
        <w:ind w:left="40" w:right="160" w:hanging="4"/>
        <w:spacing w:after="0" w:line="245"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Footnote continued: The stock price hurdle for a particular vesting tranche will be satisfied if, during the applicable Performance Period, the average closing price of the Class A Common Stock is at least, for 30 consecutive trading days, (i) $10.00 with respect to the first vesting tranche, (ii) $15.00 with respect to the second vesting tranche, (iii) $20.00 with respect to the third vesting tranche and (iv) $27.00 with respect to the fourth vesting tranche. The vesting date for a particular vesting tranche will be the date on which the Human Capital Management and Compensation Committee of the Board certifies that the applicable stock price hurdle has been achieved with respect to such vesting tranche (the "PSU Vesting Date"). For the continued service requirement to be satisfied with respect to a particular vesting tranche, the Reporting Person must remain in continued service through each PSU Vesting Date.</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Matthew Ruderman,</w:t>
            </w:r>
          </w:p>
        </w:tc>
        <w:tc>
          <w:tcPr>
            <w:tcW w:w="68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06/24/2024</w:t>
            </w:r>
          </w:p>
        </w:tc>
        <w:tc>
          <w:tcPr>
            <w:tcW w:w="0" w:type="dxa"/>
            <w:vAlign w:val="bottom"/>
          </w:tcPr>
          <w:p>
            <w:pPr>
              <w:spacing w:after="0"/>
              <w:rPr>
                <w:sz w:val="1"/>
                <w:szCs w:val="1"/>
                <w:color w:val="auto"/>
              </w:rPr>
            </w:pPr>
          </w:p>
        </w:tc>
      </w:tr>
      <w:tr>
        <w:trPr>
          <w:trHeight w:val="84"/>
        </w:trPr>
        <w:tc>
          <w:tcPr>
            <w:tcW w:w="1080" w:type="dxa"/>
            <w:vAlign w:val="bottom"/>
            <w:vMerge w:val="restart"/>
          </w:tcPr>
          <w:p>
            <w:pPr>
              <w:spacing w:after="0" w:line="178" w:lineRule="exact"/>
              <w:rPr>
                <w:sz w:val="20"/>
                <w:szCs w:val="20"/>
                <w:color w:val="auto"/>
              </w:rPr>
            </w:pPr>
            <w:r>
              <w:rPr>
                <w:rFonts w:ascii="Times New Roman" w:cs="Times New Roman" w:eastAsia="Times New Roman" w:hAnsi="Times New Roman"/>
                <w:sz w:val="16"/>
                <w:szCs w:val="16"/>
                <w:color w:val="0000FF"/>
                <w:w w:val="98"/>
              </w:rPr>
              <w:t>Attorney-in-Fact</w:t>
            </w:r>
          </w:p>
        </w:tc>
        <w:tc>
          <w:tcPr>
            <w:tcW w:w="1120" w:type="dxa"/>
            <w:vAlign w:val="bottom"/>
            <w:gridSpan w:val="2"/>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1080" w:type="dxa"/>
            <w:vAlign w:val="bottom"/>
            <w:tcBorders>
              <w:bottom w:val="single" w:sz="8" w:color="auto"/>
            </w:tcBorders>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4"/>
          <w:szCs w:val="24"/>
          <w:color w:val="auto"/>
        </w:rPr>
      </w:pPr>
    </w:p>
    <w:p>
      <w:pPr>
        <w:jc w:val="both"/>
        <w:ind w:left="40" w:right="3920" w:hanging="4"/>
        <w:spacing w:after="0" w:line="321" w:lineRule="auto"/>
        <w:tabs>
          <w:tab w:leader="none" w:pos="17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2728"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2024-06-24T17:33:19Z</dcterms:created>
  <dcterms:modified xsi:type="dcterms:W3CDTF">2024-06-24T17:33:19Z</dcterms:modified>
</cp:coreProperties>
</file>