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Krantz Jason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01"/>
        <w:gridCol w:w="771"/>
        <w:gridCol w:w="598"/>
        <w:gridCol w:w="345"/>
        <w:gridCol w:w="921"/>
        <w:gridCol w:w="445"/>
        <w:gridCol w:w="662"/>
        <w:gridCol w:w="1266"/>
        <w:gridCol w:w="985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44,545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2.32</w:t>
            </w:r>
            <w:r>
              <w:rPr/>
              <w:t xml:space="preserve"> </w:t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1,016,039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 Holdings (f/k/a Jason R. Krantz 2009 Trust)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 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the Reporting Person's tax withholding obligations in connection with the vesting and settlement of previously reported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beneficially owned in trust by DH Holdings (f/k/a Jason R. Krantz 2009 Trust), of which the reporting person is the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507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3468</Characters>
  <CharactersWithSpaces>4037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