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November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7" w:lineRule="exact"/>
        <w:rPr>
          <w:sz w:val="24"/>
          <w:szCs w:val="24"/>
          <w:color w:val="auto"/>
        </w:rPr>
      </w:pPr>
    </w:p>
    <w:tbl>
      <w:tblPr>
        <w:tblLayout w:type="fixed"/>
        <w:tblInd w:w="1420" w:type="dxa"/>
        <w:tblCellMar>
          <w:top w:w="0" w:type="dxa"/>
          <w:left w:w="0" w:type="dxa"/>
          <w:bottom w:w="0" w:type="dxa"/>
          <w:right w:w="0" w:type="dxa"/>
        </w:tblCellMar>
      </w:tblPr>
      <w:tr>
        <w:trPr>
          <w:trHeight w:val="534"/>
        </w:trPr>
        <w:tc>
          <w:tcPr>
            <w:tcW w:w="1320" w:type="dxa"/>
            <w:vAlign w:val="bottom"/>
          </w:tcPr>
          <w:p>
            <w:pPr>
              <w:spacing w:after="0"/>
              <w:rPr>
                <w:sz w:val="24"/>
                <w:szCs w:val="24"/>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43"/>
                <w:szCs w:val="43"/>
                <w:b w:val="1"/>
                <w:bCs w:val="1"/>
                <w:color w:val="auto"/>
              </w:rPr>
              <w:t>Definitive Healthcare Corp.</w:t>
            </w: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r>
      <w:tr>
        <w:trPr>
          <w:trHeight w:val="203"/>
        </w:trPr>
        <w:tc>
          <w:tcPr>
            <w:tcW w:w="1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3120" w:type="dxa"/>
            <w:vAlign w:val="bottom"/>
          </w:tcPr>
          <w:p>
            <w:pPr>
              <w:spacing w:after="0"/>
              <w:rPr>
                <w:sz w:val="17"/>
                <w:szCs w:val="17"/>
                <w:color w:val="auto"/>
              </w:rPr>
            </w:pPr>
          </w:p>
        </w:tc>
      </w:tr>
      <w:tr>
        <w:trPr>
          <w:trHeight w:val="426"/>
        </w:trPr>
        <w:tc>
          <w:tcPr>
            <w:tcW w:w="1320" w:type="dxa"/>
            <w:vAlign w:val="bottom"/>
          </w:tcPr>
          <w:p>
            <w:pPr>
              <w:spacing w:after="0"/>
              <w:rPr>
                <w:sz w:val="24"/>
                <w:szCs w:val="24"/>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18"/>
                <w:szCs w:val="18"/>
                <w:b w:val="1"/>
                <w:bCs w:val="1"/>
                <w:color w:val="auto"/>
              </w:rPr>
              <w:t>Commission File Number 001-40815</w:t>
            </w:r>
          </w:p>
        </w:tc>
      </w:tr>
      <w:tr>
        <w:trPr>
          <w:trHeight w:val="456"/>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120" w:type="dxa"/>
            <w:vAlign w:val="bottom"/>
            <w:gridSpan w:val="3"/>
          </w:tcPr>
          <w:p>
            <w:pPr>
              <w:jc w:val="center"/>
              <w:ind w:left="5986"/>
              <w:spacing w:after="0"/>
              <w:rPr>
                <w:sz w:val="20"/>
                <w:szCs w:val="20"/>
                <w:color w:val="auto"/>
              </w:rPr>
            </w:pPr>
            <w:r>
              <w:rPr>
                <w:rFonts w:ascii="Times New Roman" w:cs="Times New Roman" w:eastAsia="Times New Roman" w:hAnsi="Times New Roman"/>
                <w:sz w:val="18"/>
                <w:szCs w:val="18"/>
                <w:b w:val="1"/>
                <w:bCs w:val="1"/>
                <w:color w:val="auto"/>
              </w:rPr>
              <w:t>86-3988281</w:t>
            </w:r>
          </w:p>
        </w:tc>
      </w:tr>
      <w:tr>
        <w:trPr>
          <w:trHeight w:val="149"/>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3"/>
                <w:szCs w:val="13"/>
                <w:b w:val="1"/>
                <w:bCs w:val="1"/>
                <w:color w:val="auto"/>
                <w:w w:val="98"/>
              </w:rPr>
              <w:t>(State</w:t>
            </w:r>
          </w:p>
        </w:tc>
        <w:tc>
          <w:tcPr>
            <w:tcW w:w="17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120" w:type="dxa"/>
            <w:vAlign w:val="bottom"/>
          </w:tcPr>
          <w:p>
            <w:pPr>
              <w:jc w:val="center"/>
              <w:ind w:left="2013"/>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56"/>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17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120" w:type="dxa"/>
            <w:vAlign w:val="bottom"/>
          </w:tcPr>
          <w:p>
            <w:pPr>
              <w:jc w:val="center"/>
              <w:ind w:left="1993"/>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30"/>
        </w:trPr>
        <w:tc>
          <w:tcPr>
            <w:tcW w:w="1320" w:type="dxa"/>
            <w:vAlign w:val="bottom"/>
          </w:tcPr>
          <w:p>
            <w:pPr>
              <w:spacing w:after="0"/>
              <w:rPr>
                <w:sz w:val="19"/>
                <w:szCs w:val="19"/>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8"/>
                <w:szCs w:val="18"/>
                <w:b w:val="1"/>
                <w:bCs w:val="1"/>
                <w:color w:val="auto"/>
                <w:w w:val="99"/>
              </w:rPr>
              <w:t>492 Old Connecticut Path, Suite 401</w:t>
            </w:r>
          </w:p>
        </w:tc>
      </w:tr>
      <w:tr>
        <w:trPr>
          <w:trHeight w:val="238"/>
        </w:trPr>
        <w:tc>
          <w:tcPr>
            <w:tcW w:w="1320" w:type="dxa"/>
            <w:vAlign w:val="bottom"/>
          </w:tcPr>
          <w:p>
            <w:pPr>
              <w:spacing w:after="0"/>
              <w:rPr>
                <w:sz w:val="20"/>
                <w:szCs w:val="20"/>
                <w:color w:val="auto"/>
              </w:rPr>
            </w:pPr>
          </w:p>
        </w:tc>
        <w:tc>
          <w:tcPr>
            <w:tcW w:w="712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Framingham, Massachusetts 01701</w:t>
            </w:r>
          </w:p>
        </w:tc>
      </w:tr>
      <w:tr>
        <w:trPr>
          <w:trHeight w:val="215"/>
        </w:trPr>
        <w:tc>
          <w:tcPr>
            <w:tcW w:w="1320" w:type="dxa"/>
            <w:vAlign w:val="bottom"/>
          </w:tcPr>
          <w:p>
            <w:pPr>
              <w:spacing w:after="0"/>
              <w:rPr>
                <w:sz w:val="18"/>
                <w:szCs w:val="18"/>
                <w:color w:val="auto"/>
              </w:rPr>
            </w:pPr>
          </w:p>
        </w:tc>
        <w:tc>
          <w:tcPr>
            <w:tcW w:w="7120" w:type="dxa"/>
            <w:vAlign w:val="bottom"/>
            <w:gridSpan w:val="3"/>
          </w:tcPr>
          <w:p>
            <w:pPr>
              <w:jc w:val="center"/>
              <w:ind w:right="1313"/>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r>
      <w:tr>
        <w:trPr>
          <w:trHeight w:val="456"/>
        </w:trPr>
        <w:tc>
          <w:tcPr>
            <w:tcW w:w="1320" w:type="dxa"/>
            <w:vAlign w:val="bottom"/>
          </w:tcPr>
          <w:p>
            <w:pPr>
              <w:spacing w:after="0"/>
              <w:rPr>
                <w:sz w:val="24"/>
                <w:szCs w:val="24"/>
                <w:color w:val="auto"/>
              </w:rPr>
            </w:pPr>
          </w:p>
        </w:tc>
        <w:tc>
          <w:tcPr>
            <w:tcW w:w="4000" w:type="dxa"/>
            <w:vAlign w:val="bottom"/>
            <w:gridSpan w:val="2"/>
          </w:tcPr>
          <w:p>
            <w:pPr>
              <w:jc w:val="center"/>
              <w:ind w:left="1666"/>
              <w:spacing w:after="0"/>
              <w:rPr>
                <w:sz w:val="20"/>
                <w:szCs w:val="20"/>
                <w:color w:val="auto"/>
              </w:rPr>
            </w:pPr>
            <w:r>
              <w:rPr>
                <w:rFonts w:ascii="Times New Roman" w:cs="Times New Roman" w:eastAsia="Times New Roman" w:hAnsi="Times New Roman"/>
                <w:sz w:val="18"/>
                <w:szCs w:val="18"/>
                <w:b w:val="1"/>
                <w:bCs w:val="1"/>
                <w:color w:val="auto"/>
                <w:w w:val="99"/>
              </w:rPr>
              <w:t>508 720-4224</w:t>
            </w:r>
          </w:p>
        </w:tc>
        <w:tc>
          <w:tcPr>
            <w:tcW w:w="3120" w:type="dxa"/>
            <w:vAlign w:val="bottom"/>
          </w:tcPr>
          <w:p>
            <w:pPr>
              <w:spacing w:after="0"/>
              <w:rPr>
                <w:sz w:val="24"/>
                <w:szCs w:val="24"/>
                <w:color w:val="auto"/>
              </w:rPr>
            </w:pP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r>
      <w:tr>
        <w:trPr>
          <w:trHeight w:val="591"/>
        </w:trPr>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380" w:type="dxa"/>
            <w:vAlign w:val="bottom"/>
            <w:gridSpan w:val="2"/>
          </w:tcPr>
          <w:p>
            <w:pPr>
              <w:jc w:val="center"/>
              <w:ind w:right="303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6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5" w:lineRule="exact"/>
        <w:rPr>
          <w:sz w:val="24"/>
          <w:szCs w:val="24"/>
          <w:color w:val="auto"/>
        </w:rPr>
      </w:pPr>
    </w:p>
    <w:tbl>
      <w:tblPr>
        <w:tblLayout w:type="fixed"/>
        <w:tblInd w:w="86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2"/>
                <w:szCs w:val="12"/>
                <w:color w:val="auto"/>
              </w:rPr>
            </w:pPr>
          </w:p>
        </w:tc>
        <w:tc>
          <w:tcPr>
            <w:tcW w:w="3360" w:type="dxa"/>
            <w:vAlign w:val="bottom"/>
          </w:tcPr>
          <w:p>
            <w:pPr>
              <w:spacing w:after="0"/>
              <w:rPr>
                <w:sz w:val="12"/>
                <w:szCs w:val="12"/>
                <w:color w:val="auto"/>
              </w:rPr>
            </w:pPr>
          </w:p>
        </w:tc>
      </w:tr>
      <w:tr>
        <w:trPr>
          <w:trHeight w:val="17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w:t>
            </w:r>
          </w:p>
        </w:tc>
        <w:tc>
          <w:tcPr>
            <w:tcW w:w="100" w:type="dxa"/>
            <w:vAlign w:val="bottom"/>
          </w:tcPr>
          <w:p>
            <w:pPr>
              <w:spacing w:after="0"/>
              <w:rPr>
                <w:sz w:val="15"/>
                <w:szCs w:val="15"/>
                <w:color w:val="auto"/>
              </w:rPr>
            </w:pPr>
          </w:p>
        </w:tc>
        <w:tc>
          <w:tcPr>
            <w:tcW w:w="3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$0.001 par value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DH</w:t>
            </w:r>
          </w:p>
        </w:tc>
        <w:tc>
          <w:tcPr>
            <w:tcW w:w="100" w:type="dxa"/>
            <w:vAlign w:val="bottom"/>
          </w:tcPr>
          <w:p>
            <w:pPr>
              <w:spacing w:after="0"/>
              <w:rPr>
                <w:sz w:val="20"/>
                <w:szCs w:val="20"/>
                <w:color w:val="auto"/>
              </w:rPr>
            </w:pPr>
          </w:p>
        </w:tc>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bl>
    <w:p>
      <w:pPr>
        <w:spacing w:after="0" w:line="121"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16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05" w:right="499" w:bottom="1440" w:gutter="0" w:footer="0" w:header="0"/>
        </w:sectPr>
      </w:pPr>
    </w:p>
    <w:bookmarkStart w:id="1" w:name="page2"/>
    <w:bookmarkEnd w:id="1"/>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November 7, 2024, Definitive Healthcare Corp. (the “Company”) issued a press release announcing its financial results for the third quarter ended September 30, 2024. A copy of the press release is furnished as Exhibit 99.1 to this Current Report on Form 8-K and is incorporated by reference herein.</w:t>
      </w:r>
    </w:p>
    <w:p>
      <w:pPr>
        <w:spacing w:after="0" w:line="68"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Item 2.02 on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regardless of any general incorporation language in such filing.</w:t>
      </w:r>
    </w:p>
    <w:p>
      <w:pPr>
        <w:spacing w:after="0" w:line="2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November 7, 2024, the Company announced that, following discussions regarding the scope of the role of Chief Financial Officer, Richard Booth, the Company’s Chief Financial Officer, and the Company agreed that Mr. Booth will be leaving the Company effective June 1, 2025. Mr. Booth will continue to serve as Chief Financial Officer until June 1, 2025, unless his successor is duly appointed prior to such date. The Company’s Board of Directors made this decision on November 1, 2024 and determined that Mr. Booth’s departure constitutes a termination of employment without “cause” for purposes of any employment, equity compensation, or benefit agreement, plan, or arrangement of the Company and its subsidiaries to which Mr. Booth is a party or otherwise participates.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interest of ensuring a smooth transition, the Board awarded Mr. Booth a short-term retention incentive in the form of 92,379 time-vesting restricted stock units (“RSUs”) under the Company’s 2021 Equity Incentive Plan, granted effective November 5, 2024. Such RSUs will vest on November 1, 2025 subject to Mr. Booth’s continued service.</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will be commencing a search, which will include both internal and external candidates, to identify Mr. Booth’s successor prior to his June 1, 2025 departure 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November 1, 2024, the Company’s Board of Directors authorized a stock repurchase program of up to $100.0 million of its Class A Common Stock, which expires on December 31, 2025 (the “Repurchase Program”), which will take effect upon the expiration or completion of the Company’s previously announced $20.0 million stock repurchase program. Repurchases may be effected, from time to time, either on the open market (including pre-set trading plans), in privately negotiated transactions, and other transactions in accordance with applicable securities laws.</w:t>
      </w:r>
    </w:p>
    <w:p>
      <w:pPr>
        <w:spacing w:after="0" w:line="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timing and the amount of any repurchased Class A Common Stock will be determined by the Company’s management based on its evaluation of market conditions and other factors. The Repurchase Program will be funded using the Company’s working capital. Any repurchased shares of Class A Common Stock will be retired. The Repurchase Program does not obligate the Company to acquire any particular amount of Class A Common Stock, and the Repurchase Program may be suspended or discontinued at any time at the Company’s discretion. As of November 7, 2024, no repurchases have been made pursuant to the Repurchase Program.</w:t>
      </w:r>
    </w:p>
    <w:p>
      <w:pPr>
        <w:spacing w:after="0" w:line="7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On November 7, 2024, the Company and Advent International entered into a voting agreement, pursuant to which Advent International and its affiliated funds (“Advent”) agreed, on each matter brought to a vote at any annual or special meeting of the Company’s stockholders and in connection with any action proposed to be taken by consent of the Company’s stockholders in lieu of a meeting, to vote all shares of voting stock of the Company, or other voting or equity securities of the Company which could be issued (collectively, “Voting Securities”) beneficially owned by Advent that exceed 40.3% of the outstanding Voting Securities of the Company as a result of the Repurchase Program (the “Excess Voting Securities”), in the same proportion as all votes cast by stockholders other than Advent. Any Voting Securities that are not Excess Voting Securities may be voted at the discretion of Advent.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0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020" w:type="dxa"/>
            <w:vAlign w:val="bottom"/>
          </w:tcPr>
          <w:p>
            <w:pPr>
              <w:spacing w:after="0"/>
              <w:rPr>
                <w:sz w:val="20"/>
                <w:szCs w:val="20"/>
                <w:color w:val="auto"/>
              </w:rPr>
            </w:pPr>
          </w:p>
        </w:tc>
      </w:tr>
      <w:tr>
        <w:trPr>
          <w:trHeight w:val="39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9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Voting Agreement date November 7, 2024.</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99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November 7, 2024 (furnished herewith pursuant to Item 2.02)</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940" w:type="dxa"/>
            <w:vAlign w:val="bottom"/>
            <w:gridSpan w:val="2"/>
            <w:shd w:val="clear" w:color="auto" w:fill="0000FF"/>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08"/>
        </w:trPr>
        <w:tc>
          <w:tcPr>
            <w:tcW w:w="128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Booth</w:t>
            </w:r>
          </w:p>
        </w:tc>
      </w:tr>
      <w:tr>
        <w:trPr>
          <w:trHeight w:val="21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Booth</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VOTING AGREEMENT</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his</w:t>
      </w:r>
      <w:r>
        <w:rPr>
          <w:rFonts w:ascii="Times New Roman" w:cs="Times New Roman" w:eastAsia="Times New Roman" w:hAnsi="Times New Roman"/>
          <w:sz w:val="20"/>
          <w:szCs w:val="20"/>
          <w:b w:val="1"/>
          <w:bCs w:val="1"/>
          <w:color w:val="auto"/>
        </w:rPr>
        <w:t xml:space="preserve"> V</w:t>
      </w:r>
      <w:r>
        <w:rPr>
          <w:rFonts w:ascii="Times New Roman" w:cs="Times New Roman" w:eastAsia="Times New Roman" w:hAnsi="Times New Roman"/>
          <w:sz w:val="13"/>
          <w:szCs w:val="13"/>
          <w:b w:val="1"/>
          <w:bCs w:val="1"/>
          <w:color w:val="auto"/>
        </w:rPr>
        <w:t>oting</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w:t>
      </w:r>
      <w:r>
        <w:rPr>
          <w:rFonts w:ascii="Times New Roman" w:cs="Times New Roman" w:eastAsia="Times New Roman" w:hAnsi="Times New Roman"/>
          <w:sz w:val="20"/>
          <w:szCs w:val="20"/>
          <w:color w:val="auto"/>
        </w:rPr>
        <w:t>, dated as of November 7, 2024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entered into by and among</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efinitive</w:t>
      </w:r>
      <w:r>
        <w:rPr>
          <w:rFonts w:ascii="Times New Roman" w:cs="Times New Roman" w:eastAsia="Times New Roman" w:hAnsi="Times New Roman"/>
          <w:sz w:val="20"/>
          <w:szCs w:val="20"/>
          <w:b w:val="1"/>
          <w:bCs w:val="1"/>
          <w:color w:val="auto"/>
        </w:rPr>
        <w:t xml:space="preserve"> H</w:t>
      </w:r>
      <w:r>
        <w:rPr>
          <w:rFonts w:ascii="Times New Roman" w:cs="Times New Roman" w:eastAsia="Times New Roman" w:hAnsi="Times New Roman"/>
          <w:sz w:val="13"/>
          <w:szCs w:val="13"/>
          <w:b w:val="1"/>
          <w:bCs w:val="1"/>
          <w:color w:val="auto"/>
        </w:rPr>
        <w:t>ealthcare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orp</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dvent</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nternational</w:t>
      </w:r>
      <w:r>
        <w:rPr>
          <w:rFonts w:ascii="Times New Roman" w:cs="Times New Roman" w:eastAsia="Times New Roman" w:hAnsi="Times New Roman"/>
          <w:sz w:val="20"/>
          <w:szCs w:val="20"/>
          <w:b w:val="1"/>
          <w:bCs w:val="1"/>
          <w:color w:val="auto"/>
        </w:rPr>
        <w:t>, L.P.</w:t>
      </w:r>
      <w:r>
        <w:rPr>
          <w:rFonts w:ascii="Times New Roman" w:cs="Times New Roman" w:eastAsia="Times New Roman" w:hAnsi="Times New Roman"/>
          <w:sz w:val="20"/>
          <w:szCs w:val="20"/>
          <w:color w:val="auto"/>
        </w:rPr>
        <w:t>, a Delaware limited partnership (“</w:t>
      </w:r>
      <w:r>
        <w:rPr>
          <w:rFonts w:ascii="Times New Roman" w:cs="Times New Roman" w:eastAsia="Times New Roman" w:hAnsi="Times New Roman"/>
          <w:sz w:val="20"/>
          <w:szCs w:val="20"/>
          <w:b w:val="1"/>
          <w:bCs w:val="1"/>
          <w:i w:val="1"/>
          <w:iCs w:val="1"/>
          <w:color w:val="auto"/>
        </w:rPr>
        <w:t>Advent</w:t>
      </w:r>
      <w:r>
        <w:rPr>
          <w:rFonts w:ascii="Times New Roman" w:cs="Times New Roman" w:eastAsia="Times New Roman" w:hAnsi="Times New Roman"/>
          <w:sz w:val="20"/>
          <w:szCs w:val="20"/>
          <w:color w:val="auto"/>
        </w:rPr>
        <w:t>”), and each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undersigned parties hereto (together with Advent, the “</w:t>
      </w:r>
      <w:r>
        <w:rPr>
          <w:rFonts w:ascii="Times New Roman" w:cs="Times New Roman" w:eastAsia="Times New Roman" w:hAnsi="Times New Roman"/>
          <w:sz w:val="20"/>
          <w:szCs w:val="20"/>
          <w:b w:val="1"/>
          <w:bCs w:val="1"/>
          <w:i w:val="1"/>
          <w:iCs w:val="1"/>
          <w:color w:val="auto"/>
        </w:rPr>
        <w:t>Advent Stockholders</w:t>
      </w:r>
      <w:r>
        <w:rPr>
          <w:rFonts w:ascii="Times New Roman" w:cs="Times New Roman" w:eastAsia="Times New Roman" w:hAnsi="Times New Roman"/>
          <w:sz w:val="20"/>
          <w:szCs w:val="20"/>
          <w:color w:val="auto"/>
        </w:rPr>
        <w:t>”). Each of the Company and the Advent Stockholders is referred to herein individually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hereas</w:t>
      </w:r>
      <w:r>
        <w:rPr>
          <w:rFonts w:ascii="Times New Roman" w:cs="Times New Roman" w:eastAsia="Times New Roman" w:hAnsi="Times New Roman"/>
          <w:sz w:val="20"/>
          <w:szCs w:val="20"/>
          <w:color w:val="auto"/>
        </w:rPr>
        <w:t>, the Advent Stockholders are the record holders of 62,493,676 shares (such shares, the “</w:t>
      </w:r>
      <w:r>
        <w:rPr>
          <w:rFonts w:ascii="Times New Roman" w:cs="Times New Roman" w:eastAsia="Times New Roman" w:hAnsi="Times New Roman"/>
          <w:sz w:val="20"/>
          <w:szCs w:val="20"/>
          <w:b w:val="1"/>
          <w:bCs w:val="1"/>
          <w:i w:val="1"/>
          <w:iCs w:val="1"/>
          <w:color w:val="auto"/>
        </w:rPr>
        <w:t>Advent Shares</w:t>
      </w:r>
      <w:r>
        <w:rPr>
          <w:rFonts w:ascii="Times New Roman" w:cs="Times New Roman" w:eastAsia="Times New Roman" w:hAnsi="Times New Roman"/>
          <w:sz w:val="20"/>
          <w:szCs w:val="20"/>
          <w:color w:val="auto"/>
        </w:rPr>
        <w: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Class A common stock, par value $0.001 per share (the “</w:t>
      </w:r>
      <w:r>
        <w:rPr>
          <w:rFonts w:ascii="Times New Roman" w:cs="Times New Roman" w:eastAsia="Times New Roman" w:hAnsi="Times New Roman"/>
          <w:sz w:val="20"/>
          <w:szCs w:val="20"/>
          <w:b w:val="1"/>
          <w:bCs w:val="1"/>
          <w:i w:val="1"/>
          <w:iCs w:val="1"/>
          <w:color w:val="auto"/>
        </w:rPr>
        <w:t>Class A Common Stock</w:t>
      </w:r>
      <w:r>
        <w:rPr>
          <w:rFonts w:ascii="Times New Roman" w:cs="Times New Roman" w:eastAsia="Times New Roman" w:hAnsi="Times New Roman"/>
          <w:sz w:val="20"/>
          <w:szCs w:val="20"/>
          <w:color w:val="auto"/>
        </w:rPr>
        <w:t>”) as of the date of this Agreement;</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hereas</w:t>
      </w:r>
      <w:r>
        <w:rPr>
          <w:rFonts w:ascii="Times New Roman" w:cs="Times New Roman" w:eastAsia="Times New Roman" w:hAnsi="Times New Roman"/>
          <w:sz w:val="20"/>
          <w:szCs w:val="20"/>
          <w:color w:val="auto"/>
        </w:rPr>
        <w:t>, on November 1, 2024, the Board authorized the repurchase of up to $100 million of shares of Class A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Repurchase Authorization</w:t>
      </w:r>
      <w:r>
        <w:rPr>
          <w:rFonts w:ascii="Times New Roman" w:cs="Times New Roman" w:eastAsia="Times New Roman" w:hAnsi="Times New Roman"/>
          <w:sz w:val="20"/>
          <w:szCs w:val="20"/>
          <w:color w:val="auto"/>
        </w:rPr>
        <w:t>”); and</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hereas</w:t>
      </w:r>
      <w:r>
        <w:rPr>
          <w:rFonts w:ascii="Times New Roman" w:cs="Times New Roman" w:eastAsia="Times New Roman" w:hAnsi="Times New Roman"/>
          <w:sz w:val="20"/>
          <w:szCs w:val="20"/>
          <w:color w:val="auto"/>
        </w:rPr>
        <w:t>, the Parties desire to set forth certain agreements herein.</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ow</w:t>
      </w:r>
      <w:r>
        <w:rPr>
          <w:rFonts w:ascii="Times New Roman" w:cs="Times New Roman" w:eastAsia="Times New Roman" w:hAnsi="Times New Roman"/>
          <w:sz w:val="20"/>
          <w:szCs w:val="20"/>
          <w:b w:val="1"/>
          <w:bCs w:val="1"/>
          <w:color w:val="auto"/>
        </w:rPr>
        <w:t>, T</w:t>
      </w:r>
      <w:r>
        <w:rPr>
          <w:rFonts w:ascii="Times New Roman" w:cs="Times New Roman" w:eastAsia="Times New Roman" w:hAnsi="Times New Roman"/>
          <w:sz w:val="13"/>
          <w:szCs w:val="13"/>
          <w:b w:val="1"/>
          <w:bCs w:val="1"/>
          <w:color w:val="auto"/>
        </w:rPr>
        <w:t>herefore</w:t>
      </w:r>
      <w:r>
        <w:rPr>
          <w:rFonts w:ascii="Times New Roman" w:cs="Times New Roman" w:eastAsia="Times New Roman" w:hAnsi="Times New Roman"/>
          <w:sz w:val="20"/>
          <w:szCs w:val="20"/>
          <w:color w:val="auto"/>
        </w:rPr>
        <w:t>, in consideration of the mutual covenants and agreements contained herein, and intending to be legally bound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the Parties hereby agree as follows: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VOTING OF VOTING SECURITIES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1.01Voting Agreement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54" w:lineRule="auto"/>
        <w:tabs>
          <w:tab w:leader="none" w:pos="2036" w:val="left"/>
        </w:tabs>
        <w:numPr>
          <w:ilvl w:val="0"/>
          <w:numId w:val="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On each matter brought to a vote at any annual or special meeting of the Company’s stockholders, however called, including any adjournment or postponement thereof, and in connection with any action proposed to be taken by written consent of the Company’s stockholders in lieu of a meeting of stockholders, the Advent Stockholders shall, and Advent shall cause each of the other Advent Parties to, take all actions necessary to vote or duly execute and deliver written consents with respect to, as applicable, the aggregate number of Advent Covered Interests that represent incremental voting power held by the Advent Parties as of the applicable record date in excess of the Current Voting Level resulting from any reduction to the number of shares of Common Stock outstanding due to the Authorized Share Repurchases (such Advent Covered Interests representing such incremental voting power in excess of the Current Voting Level, the “</w:t>
      </w:r>
      <w:r>
        <w:rPr>
          <w:rFonts w:ascii="Times New Roman" w:cs="Times New Roman" w:eastAsia="Times New Roman" w:hAnsi="Times New Roman"/>
          <w:sz w:val="19"/>
          <w:szCs w:val="19"/>
          <w:b w:val="1"/>
          <w:bCs w:val="1"/>
          <w:i w:val="1"/>
          <w:iCs w:val="1"/>
          <w:color w:val="auto"/>
        </w:rPr>
        <w:t>Excess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Voting Securities</w:t>
      </w:r>
      <w:r>
        <w:rPr>
          <w:rFonts w:ascii="Times New Roman" w:cs="Times New Roman" w:eastAsia="Times New Roman" w:hAnsi="Times New Roman"/>
          <w:sz w:val="19"/>
          <w:szCs w:val="19"/>
          <w:color w:val="auto"/>
        </w:rPr>
        <w:t>”) in the same proportion (which proportion shall be determined by the good faith estimate of the Board as near as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practicable (and prior) to such annual or special meeting or the effectiveness of such stockholder action by written consent, as applicable) as all other votes cast or effective written consents duly executed and delivered with respect to the applicable matter (such proportion to be determined without inclusion of the votes cast or written consents delivered in respect of any Advent Covered Interests). As used in this Agreement, the term “</w:t>
      </w:r>
      <w:r>
        <w:rPr>
          <w:rFonts w:ascii="Times New Roman" w:cs="Times New Roman" w:eastAsia="Times New Roman" w:hAnsi="Times New Roman"/>
          <w:sz w:val="19"/>
          <w:szCs w:val="19"/>
          <w:b w:val="1"/>
          <w:bCs w:val="1"/>
          <w:i w:val="1"/>
          <w:iCs w:val="1"/>
          <w:color w:val="auto"/>
        </w:rPr>
        <w:t>Advent Covered Interests</w:t>
      </w:r>
      <w:r>
        <w:rPr>
          <w:rFonts w:ascii="Times New Roman" w:cs="Times New Roman" w:eastAsia="Times New Roman" w:hAnsi="Times New Roman"/>
          <w:sz w:val="19"/>
          <w:szCs w:val="19"/>
          <w:color w:val="auto"/>
        </w:rPr>
        <w:t>” shall mean (i) the Advent Shares and (ii) any other Voting Securities acquired by any Advent Party after the date of this Agreement up to (but not in excess of) the number, if any, of any Advent Shares that any Advent Party transfers, sells or otherwise disposes of after the date of this Agreement. For the avoidance of doubt, nothing in this Agreement shall restrict in any way (i) the voting of or the exercise of the right to act by written consent in lieu of a meeting of stockholders with respect to any Voting Securities that are not Excess Voting Securities (which Voting Securities the Advent Parties may vote or exercise the right to act by written consent in lieu of a meeting of stockholders in their discretion); or (ii) the acquisition of Voting Securities and the voting of or exercise of any right with respect to any such acquired Voting Securities that are not Excess Voting Securities.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 w:name="page5"/>
    <w:bookmarkEnd w:id="4"/>
    <w:p>
      <w:pPr>
        <w:jc w:val="both"/>
        <w:ind w:firstLine="1505"/>
        <w:spacing w:after="0" w:line="242" w:lineRule="auto"/>
        <w:tabs>
          <w:tab w:leader="none" w:pos="2036"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Notwithstanding Section 1.01(a), Advent may request, by delivery of written notice to Secretary of the Company, on a confidential basis, that the Company waive in advance the requirements of Section 1.01(a) with respect to any specific vote of the Company’s stockholders or action to be taken by written consent in lieu of a meeting of stockholders such that the Advent Parties may vote, or take action by written consent in lieu of a meeting of stockholders with respect to, the Excess Voting Securities in their discretion with respect to such specific vote or action. Any such waiver, to the extent granted, shall only serve as a waiver with respect to the specific vote at the specific annual or special meeting or the specific stockholder action by written consent, as applicable, for which the waiver is sought and shall not otherwise relieve the Advent Stockholders of any of their obligations under Section 1.01(a) for any other vote or stockholder action by written consent, including any other such other vote at a different annual or special meeting or any such other stockholder action by written consent. The approval of any such waiver may be provided on behalf of the Company by, and only by, the affirmative vote of a majority of the members of the Board then in office who are independent and disinterested with respect to the Advent Parties under Delaware law as determined by the Board (the “</w:t>
      </w:r>
      <w:r>
        <w:rPr>
          <w:rFonts w:ascii="Times New Roman" w:cs="Times New Roman" w:eastAsia="Times New Roman" w:hAnsi="Times New Roman"/>
          <w:sz w:val="20"/>
          <w:szCs w:val="20"/>
          <w:b w:val="1"/>
          <w:bCs w:val="1"/>
          <w:i w:val="1"/>
          <w:iCs w:val="1"/>
          <w:color w:val="auto"/>
        </w:rPr>
        <w:t>Disinterested Directors</w:t>
      </w:r>
      <w:r>
        <w:rPr>
          <w:rFonts w:ascii="Times New Roman" w:cs="Times New Roman" w:eastAsia="Times New Roman" w:hAnsi="Times New Roman"/>
          <w:sz w:val="20"/>
          <w:szCs w:val="20"/>
          <w:color w:val="auto"/>
        </w:rPr>
        <w:t>”) or by the affirmative vote of a majority of the members of any Company Independent Committee (such vote, in either case, an “</w:t>
      </w:r>
      <w:r>
        <w:rPr>
          <w:rFonts w:ascii="Times New Roman" w:cs="Times New Roman" w:eastAsia="Times New Roman" w:hAnsi="Times New Roman"/>
          <w:sz w:val="20"/>
          <w:szCs w:val="20"/>
          <w:b w:val="1"/>
          <w:bCs w:val="1"/>
          <w:i w:val="1"/>
          <w:iCs w:val="1"/>
          <w:color w:val="auto"/>
        </w:rPr>
        <w:t>Independent Approval</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1.02Cooperation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54" w:lineRule="auto"/>
        <w:tabs>
          <w:tab w:leader="none" w:pos="2036"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the extent such information is not publicly disclosed, the Company shall promptly inform Advent not less frequently than monthly or promptly following the request by Advent, on a confidential basis, regarding any acquisitions of Voting Securities by the Company or any of its Subsidiaries.</w:t>
      </w:r>
    </w:p>
    <w:p>
      <w:pPr>
        <w:spacing w:after="0" w:line="174" w:lineRule="exact"/>
        <w:rPr>
          <w:rFonts w:ascii="Times New Roman" w:cs="Times New Roman" w:eastAsia="Times New Roman" w:hAnsi="Times New Roman"/>
          <w:sz w:val="20"/>
          <w:szCs w:val="20"/>
          <w:b w:val="1"/>
          <w:bCs w:val="1"/>
          <w:color w:val="auto"/>
        </w:rPr>
      </w:pPr>
    </w:p>
    <w:p>
      <w:pPr>
        <w:ind w:firstLine="1505"/>
        <w:spacing w:after="0" w:line="269" w:lineRule="auto"/>
        <w:tabs>
          <w:tab w:leader="none" w:pos="2036"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the extent such information is not publicly disclosed, Advent shall promptly inform the Company following the request by the Company, on a confidential basis, regarding any acquisitions or dispositions of Voting Securities by any Advent Party.</w:t>
      </w:r>
    </w:p>
    <w:p>
      <w:pPr>
        <w:spacing w:after="0" w:line="159" w:lineRule="exact"/>
        <w:rPr>
          <w:rFonts w:ascii="Times New Roman" w:cs="Times New Roman" w:eastAsia="Times New Roman" w:hAnsi="Times New Roman"/>
          <w:sz w:val="20"/>
          <w:szCs w:val="20"/>
          <w:b w:val="1"/>
          <w:bCs w:val="1"/>
          <w:color w:val="auto"/>
        </w:rPr>
      </w:pPr>
    </w:p>
    <w:p>
      <w:pPr>
        <w:jc w:val="both"/>
        <w:ind w:firstLine="1505"/>
        <w:spacing w:after="0" w:line="263" w:lineRule="auto"/>
        <w:tabs>
          <w:tab w:leader="none" w:pos="2036" w:val="left"/>
        </w:tabs>
        <w:numPr>
          <w:ilvl w:val="0"/>
          <w:numId w:val="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In connection with fixing or causing to be fixed the record date for each meeting of stockholders of the Company or for determining the stockholders of the Company entitled to act by written consent in lieu of a meeting of stockholders, as applicable, during the period that this Agreement is in effect, Advent shall promptly (and in any event no later than the fifth business day following the applicable record date) notify the Company in writing of the number of Advent Shares and other Voting Securities with respect to which each Advent Party and the Advent Parties in the aggregate hold of record or otherwise have Voting Control (as applicable) as of such record date.</w:t>
      </w:r>
    </w:p>
    <w:p>
      <w:pPr>
        <w:spacing w:after="0" w:line="166" w:lineRule="exact"/>
        <w:rPr>
          <w:rFonts w:ascii="Times New Roman" w:cs="Times New Roman" w:eastAsia="Times New Roman" w:hAnsi="Times New Roman"/>
          <w:sz w:val="19"/>
          <w:szCs w:val="19"/>
          <w:b w:val="1"/>
          <w:bCs w:val="1"/>
          <w:color w:val="auto"/>
        </w:rPr>
      </w:pPr>
    </w:p>
    <w:p>
      <w:pPr>
        <w:jc w:val="both"/>
        <w:ind w:firstLine="1505"/>
        <w:spacing w:after="0" w:line="245" w:lineRule="auto"/>
        <w:tabs>
          <w:tab w:leader="none" w:pos="2036"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Each Advent Stockholder covenants and agrees that, except for this Agreement, such Advent Stockholder (x) has not entered into, and shall not enter into at any time while this Agreement remains in effect, any voting agreement or voting trust with respect to its Advent Covered Interests; (y) has not granted, and shall not grant at any time while this Agreement remains in effect, a proxy, consent or power of attorney with respect to its Advent Covered Interests; and (z) has not taken and shall not take any action that would prevent or disable such Advent Stockholder from performing in any material respect any of its obligations under this Agreement or circumvent the purpose of this Agreement.</w:t>
      </w:r>
    </w:p>
    <w:p>
      <w:pPr>
        <w:spacing w:after="0" w:line="184" w:lineRule="exact"/>
        <w:rPr>
          <w:rFonts w:ascii="Times New Roman" w:cs="Times New Roman" w:eastAsia="Times New Roman" w:hAnsi="Times New Roman"/>
          <w:sz w:val="20"/>
          <w:szCs w:val="20"/>
          <w:b w:val="1"/>
          <w:bCs w:val="1"/>
          <w:color w:val="auto"/>
        </w:rPr>
      </w:pPr>
    </w:p>
    <w:p>
      <w:pPr>
        <w:ind w:firstLine="1505"/>
        <w:spacing w:after="0" w:line="269" w:lineRule="auto"/>
        <w:tabs>
          <w:tab w:leader="none" w:pos="2036"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and Advent agree to keep confidential any information reported to the other pursuant to this Section 1.02, except as required by Law.</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2.01Representations and Warranties of the Company</w:t>
      </w:r>
      <w:r>
        <w:rPr>
          <w:rFonts w:ascii="Times New Roman" w:cs="Times New Roman" w:eastAsia="Times New Roman" w:hAnsi="Times New Roman"/>
          <w:sz w:val="20"/>
          <w:szCs w:val="20"/>
          <w:color w:val="auto"/>
        </w:rPr>
        <w:t>. The Company represents and warrants to the Advent Stockholders that:</w:t>
      </w:r>
    </w:p>
    <w:p>
      <w:pPr>
        <w:spacing w:after="0" w:line="26" w:lineRule="exact"/>
        <w:rPr>
          <w:sz w:val="20"/>
          <w:szCs w:val="20"/>
          <w:color w:val="auto"/>
        </w:rPr>
      </w:pPr>
    </w:p>
    <w:p>
      <w:pPr>
        <w:jc w:val="both"/>
        <w:ind w:firstLine="8"/>
        <w:spacing w:after="0" w:line="252" w:lineRule="auto"/>
        <w:tabs>
          <w:tab w:leader="none" w:pos="28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is a corporation duly incorporated, validly existing and in good standing under the Laws of the State of Delaware and has the corporate power and authority to enter into this Agreement and to carry out its obligations hereunder; (b) the execution and delivery of this Agreement by the Company and the performance by the Company of its obligations hereunder have been duly authorized by all necessary corporate action on the part of the Company and no other corporate proceedings on the part of the Company are necessary to authorize this Agreement or the performance by the Company of its obligations hereunder; (c) this Agreement has been duly executed and delivered by the Company and constitutes a valid and binding obligation of the Company, and, assuming this Agreement constitutes a valid and binding obligation of the Advent Stockholders, is enforceable against the Company in accordance with its terms (subject to the limitation of such enforcement by (i) the effect of bankruptcy, insolvency, reorganization, receivership, conservatorship, arrangement, moratorium or other laws affecting or relating to creditors’ rights generally or (ii) the rules governing the availability of specific performance, injunctive relief or other equitable remedies and general principles of equity, regardless of whether considered in a proceeding in equity or at Law); and</w:t>
      </w:r>
    </w:p>
    <w:p>
      <w:pPr>
        <w:spacing w:after="0" w:line="1" w:lineRule="exact"/>
        <w:rPr>
          <w:rFonts w:ascii="Times New Roman" w:cs="Times New Roman" w:eastAsia="Times New Roman" w:hAnsi="Times New Roman"/>
          <w:sz w:val="19"/>
          <w:szCs w:val="19"/>
          <w:color w:val="auto"/>
        </w:rPr>
      </w:pPr>
    </w:p>
    <w:p>
      <w:pPr>
        <w:ind w:firstLine="8"/>
        <w:spacing w:after="0" w:line="246" w:lineRule="auto"/>
        <w:tabs>
          <w:tab w:leader="none" w:pos="28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execution, delivery and performance of this Agreement by the Company constitutes a breach or violation of or conflicts with the Company’s certificate of incorporation or bylaws or any material agreement to which the Company is a party.</w:t>
      </w:r>
    </w:p>
    <w:p>
      <w:pPr>
        <w:spacing w:after="0" w:line="178"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2.02Representations and Warranties of the Advent Stockholders</w:t>
      </w:r>
      <w:r>
        <w:rPr>
          <w:rFonts w:ascii="Times New Roman" w:cs="Times New Roman" w:eastAsia="Times New Roman" w:hAnsi="Times New Roman"/>
          <w:sz w:val="20"/>
          <w:szCs w:val="20"/>
          <w:color w:val="auto"/>
        </w:rPr>
        <w:t>. Each of the Advent Stockholders represents and warrants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that: (a) it is an entity duly organized, validly existing and in good standing under the Laws of the jurisdiction in which it is organized and has the power and authority to enter into this Agreement and to carry out its obligations hereunder; (b) the execution and delivery of this Agreement by such Advent Stockholder and the performance by such Advent Stockholder of its obligations hereunder have been duly authorized by all necessary action on the part of such Advent Stockholder and no other proceedings on the part of such Advent Stockholder are necessary to authorize this Agreement or the performance by such Advent Stockholder of its obligations hereunder; (c) this Agreement has been duly executed and delivered by such Advent Stockholder and constitutes a valid and binding obligation of such Advent Stockholder, and, assuming this Agreement constitutes a valid and binding obligation of the Company, is enforceable against such Advent Stockholder in accordance with its terms (subject to the limitation of such enforcement by (i) the effect of bankruptcy, insolvency, reorganization, receivership, conservatorship, arrangement, moratorium or other laws affecting or relating to creditors’ rights generally or (ii) the rules governing the availability of specific performance, injunctive relief or other equitable remedies and general principles of equity, regardless of whether considered in a proceeding in equity or at Law); and (d) none of the execution, delivery and performance of this Agreement by such Advent Stockholder constitutes a breach or violation of or conflicts with the organizational documents of such Advent Stockholder or any material agreement to which such Advent Stockholder is a party.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3.01Defined Terms</w:t>
      </w:r>
      <w:r>
        <w:rPr>
          <w:rFonts w:ascii="Times New Roman" w:cs="Times New Roman" w:eastAsia="Times New Roman" w:hAnsi="Times New Roman"/>
          <w:sz w:val="20"/>
          <w:szCs w:val="20"/>
          <w:color w:val="auto"/>
        </w:rPr>
        <w:t>. For purposes of this Agreement, the following terms shall have the following meanings: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Advent</w:t>
      </w:r>
      <w:r>
        <w:rPr>
          <w:rFonts w:ascii="Times New Roman" w:cs="Times New Roman" w:eastAsia="Times New Roman" w:hAnsi="Times New Roman"/>
          <w:sz w:val="20"/>
          <w:szCs w:val="20"/>
          <w:color w:val="auto"/>
        </w:rPr>
        <w:t>” shall have the meaning set forth in the preamble to this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Advent Covered Interests</w:t>
      </w:r>
      <w:r>
        <w:rPr>
          <w:rFonts w:ascii="Times New Roman" w:cs="Times New Roman" w:eastAsia="Times New Roman" w:hAnsi="Times New Roman"/>
          <w:sz w:val="20"/>
          <w:szCs w:val="20"/>
          <w:color w:val="auto"/>
        </w:rPr>
        <w:t>” shall have the meaning set forth in Section 1.01(a).</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Advent Parties</w:t>
      </w:r>
      <w:r>
        <w:rPr>
          <w:rFonts w:ascii="Times New Roman" w:cs="Times New Roman" w:eastAsia="Times New Roman" w:hAnsi="Times New Roman"/>
          <w:sz w:val="20"/>
          <w:szCs w:val="20"/>
          <w:color w:val="auto"/>
        </w:rPr>
        <w:t>” shall mean (i) the Advent Stockholders and (ii) any other Person controlled by Advent that has Voting Control with respect to any Voting Securities. For purposes of this definition, “</w:t>
      </w:r>
      <w:r>
        <w:rPr>
          <w:rFonts w:ascii="Times New Roman" w:cs="Times New Roman" w:eastAsia="Times New Roman" w:hAnsi="Times New Roman"/>
          <w:sz w:val="20"/>
          <w:szCs w:val="20"/>
          <w:b w:val="1"/>
          <w:bCs w:val="1"/>
          <w:i w:val="1"/>
          <w:iCs w:val="1"/>
          <w:color w:val="auto"/>
        </w:rPr>
        <w:t>control</w:t>
      </w:r>
      <w:r>
        <w:rPr>
          <w:rFonts w:ascii="Times New Roman" w:cs="Times New Roman" w:eastAsia="Times New Roman" w:hAnsi="Times New Roman"/>
          <w:sz w:val="20"/>
          <w:szCs w:val="20"/>
          <w:color w:val="auto"/>
        </w:rPr>
        <w:t>” shall mean the possession, directly or indirectly, of the power to direct or cause the direction of management or policies of an entity, whether through the ownership of securities or partnership or other ownership interests, by contract or otherwise.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Advent Stockholders</w:t>
      </w:r>
      <w:r>
        <w:rPr>
          <w:rFonts w:ascii="Times New Roman" w:cs="Times New Roman" w:eastAsia="Times New Roman" w:hAnsi="Times New Roman"/>
          <w:sz w:val="20"/>
          <w:szCs w:val="20"/>
          <w:color w:val="auto"/>
        </w:rPr>
        <w:t>” shall have the meaning set forth in the preamble to this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shall have the meaning set forth in the preamble to this Agreement.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Authorized Share Repurchases</w:t>
      </w:r>
      <w:r>
        <w:rPr>
          <w:rFonts w:ascii="Times New Roman" w:cs="Times New Roman" w:eastAsia="Times New Roman" w:hAnsi="Times New Roman"/>
          <w:sz w:val="20"/>
          <w:szCs w:val="20"/>
          <w:color w:val="auto"/>
        </w:rPr>
        <w:t>” shall mean the shares of Class A Common Stock repurchased by the Company pursuant to the Repurchase Authorization.</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shall mean the Board of Directors of the Company.</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business day</w:t>
      </w:r>
      <w:r>
        <w:rPr>
          <w:rFonts w:ascii="Times New Roman" w:cs="Times New Roman" w:eastAsia="Times New Roman" w:hAnsi="Times New Roman"/>
          <w:sz w:val="20"/>
          <w:szCs w:val="20"/>
          <w:color w:val="auto"/>
        </w:rPr>
        <w:t>” shall mean any day other than a Saturday, a Sunday or any other day on which banks in New York, New York may, or are required to, remain closed.</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Chosen Courts</w:t>
      </w:r>
      <w:r>
        <w:rPr>
          <w:rFonts w:ascii="Times New Roman" w:cs="Times New Roman" w:eastAsia="Times New Roman" w:hAnsi="Times New Roman"/>
          <w:sz w:val="20"/>
          <w:szCs w:val="20"/>
          <w:color w:val="auto"/>
        </w:rPr>
        <w:t>” shall have the meaning set forth in Section 4.04.</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Class A Common Stock</w:t>
      </w:r>
      <w:r>
        <w:rPr>
          <w:rFonts w:ascii="Times New Roman" w:cs="Times New Roman" w:eastAsia="Times New Roman" w:hAnsi="Times New Roman"/>
          <w:sz w:val="20"/>
          <w:szCs w:val="20"/>
          <w:color w:val="auto"/>
        </w:rPr>
        <w:t>” shall have the meaning set forth in the recitals to this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Class B Common Stock</w:t>
      </w:r>
      <w:r>
        <w:rPr>
          <w:rFonts w:ascii="Times New Roman" w:cs="Times New Roman" w:eastAsia="Times New Roman" w:hAnsi="Times New Roman"/>
          <w:sz w:val="20"/>
          <w:szCs w:val="20"/>
          <w:color w:val="auto"/>
        </w:rPr>
        <w:t>” shall mean shares of the Company’s Class B common stock, par value $0.00001 per share.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Commission</w:t>
      </w:r>
      <w:r>
        <w:rPr>
          <w:rFonts w:ascii="Times New Roman" w:cs="Times New Roman" w:eastAsia="Times New Roman" w:hAnsi="Times New Roman"/>
          <w:sz w:val="20"/>
          <w:szCs w:val="20"/>
          <w:color w:val="auto"/>
        </w:rPr>
        <w:t>” shall mean the Securities and Exchange Commission.</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shall mean the Class A Common Stock and the Class B Common Stock.</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have the meaning set forth in the preamble to this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 Independent Committee</w:t>
      </w:r>
      <w:r>
        <w:rPr>
          <w:rFonts w:ascii="Times New Roman" w:cs="Times New Roman" w:eastAsia="Times New Roman" w:hAnsi="Times New Roman"/>
          <w:sz w:val="19"/>
          <w:szCs w:val="19"/>
          <w:color w:val="auto"/>
        </w:rPr>
        <w:t>” shall mean a committee of the Board composed solely of one or more Disinterested Directors.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Current Voting Level</w:t>
      </w:r>
      <w:r>
        <w:rPr>
          <w:rFonts w:ascii="Times New Roman" w:cs="Times New Roman" w:eastAsia="Times New Roman" w:hAnsi="Times New Roman"/>
          <w:sz w:val="20"/>
          <w:szCs w:val="20"/>
          <w:color w:val="auto"/>
        </w:rPr>
        <w:t>” shall mean 40.3% of the total voting power of all of the outstanding Voting Securities of the Company.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Excess Voting Securities</w:t>
      </w:r>
      <w:r>
        <w:rPr>
          <w:rFonts w:ascii="Times New Roman" w:cs="Times New Roman" w:eastAsia="Times New Roman" w:hAnsi="Times New Roman"/>
          <w:sz w:val="20"/>
          <w:szCs w:val="20"/>
          <w:color w:val="auto"/>
        </w:rPr>
        <w:t>” shall have the meaning set forth in Section 1.01(a).</w:t>
      </w:r>
    </w:p>
    <w:p>
      <w:pPr>
        <w:spacing w:after="0" w:line="216"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shall mean the Securities Exchange Act of 1934, as amended, and the rules and regulations of the Commission promulgated thereunder.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 w:name="page8"/>
    <w:bookmarkEnd w:id="7"/>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Governmental Authority</w:t>
      </w:r>
      <w:r>
        <w:rPr>
          <w:rFonts w:ascii="Times New Roman" w:cs="Times New Roman" w:eastAsia="Times New Roman" w:hAnsi="Times New Roman"/>
          <w:sz w:val="20"/>
          <w:szCs w:val="20"/>
          <w:color w:val="auto"/>
        </w:rPr>
        <w:t>” shall mean any supranational, national, federal, state, provincial county, local or municipal government, or other political subdivision thereof, or any court, tribunal or arbitral body and any entity exercising executive, legislative, judicial, regulatory, taxing, administrative, prosecutorial or arbitral functions of or pertaining to government, domestic or foreign, including, for the avoidance of doubt, the Commission and any stock exchange.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Independent Approval</w:t>
      </w:r>
      <w:r>
        <w:rPr>
          <w:rFonts w:ascii="Times New Roman" w:cs="Times New Roman" w:eastAsia="Times New Roman" w:hAnsi="Times New Roman"/>
          <w:sz w:val="20"/>
          <w:szCs w:val="20"/>
          <w:color w:val="auto"/>
        </w:rPr>
        <w:t>” shall have the meaning set forth in Section 1.01(b).</w:t>
      </w:r>
    </w:p>
    <w:p>
      <w:pPr>
        <w:spacing w:after="0" w:line="216" w:lineRule="exact"/>
        <w:rPr>
          <w:sz w:val="20"/>
          <w:szCs w:val="20"/>
          <w:color w:val="auto"/>
        </w:rPr>
      </w:pPr>
    </w:p>
    <w:p>
      <w:pPr>
        <w:jc w:val="both"/>
        <w:ind w:firstLine="749"/>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Law</w:t>
      </w:r>
      <w:r>
        <w:rPr>
          <w:rFonts w:ascii="Times New Roman" w:cs="Times New Roman" w:eastAsia="Times New Roman" w:hAnsi="Times New Roman"/>
          <w:sz w:val="19"/>
          <w:szCs w:val="19"/>
          <w:color w:val="auto"/>
        </w:rPr>
        <w:t>” shall mean all applicable supranational, national, federal, state, provincial, county, local, municipal or other laws, statutes, ordinances, regulations and rules of any Governmental Authority (including the rules and regulations of the Commission and applicable stock exchange rules), and all judgments, orders, writs, awards, preliminary or permanent injunctions or decrees of any Governmental Authority.</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Litigation</w:t>
      </w:r>
      <w:r>
        <w:rPr>
          <w:rFonts w:ascii="Times New Roman" w:cs="Times New Roman" w:eastAsia="Times New Roman" w:hAnsi="Times New Roman"/>
          <w:sz w:val="20"/>
          <w:szCs w:val="20"/>
          <w:color w:val="auto"/>
        </w:rPr>
        <w:t>” shall have the meaning set forth in Section 4.04.</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 shall have the meaning set forth in the preamble to this Agreement.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shall mean any individual, partnership, joint venture, corporation, limited liability company, trust, trustee, unincorporated organization, other entity, government or department or agency of a government.</w:t>
      </w:r>
    </w:p>
    <w:p>
      <w:pPr>
        <w:spacing w:after="0" w:line="15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shall mean, as to any Person, any corporation or other Person at least a majority of the shares of stock or other ownership interests of which having general voting power under ordinary circumstances to elect a majority of the board of directors, managers or similar governing body of such corporation or other entity (irrespective of whether or not at the time stock or ownership interests of any other class or classes shall have or might have voting power by reason of the happening of any contingency) is, at the time as of which the determination is being made, owned by such Person, or one or more of its Subsidiaries or by such Person and one or more of its Subsidiaries.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Voting Control</w:t>
      </w:r>
      <w:r>
        <w:rPr>
          <w:rFonts w:ascii="Times New Roman" w:cs="Times New Roman" w:eastAsia="Times New Roman" w:hAnsi="Times New Roman"/>
          <w:sz w:val="20"/>
          <w:szCs w:val="20"/>
          <w:color w:val="auto"/>
        </w:rPr>
        <w:t>” shall mean, with respect to any Voting Security, the power to vote, or direct the voting of, such Voting Security.</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Voting Securities</w:t>
      </w:r>
      <w:r>
        <w:rPr>
          <w:rFonts w:ascii="Times New Roman" w:cs="Times New Roman" w:eastAsia="Times New Roman" w:hAnsi="Times New Roman"/>
          <w:sz w:val="20"/>
          <w:szCs w:val="20"/>
          <w:color w:val="auto"/>
        </w:rPr>
        <w:t>” shall mean, with respect to any matter to be voted on or stockholder action proposed to be taken by written consent, (i) the Common Stock and (ii) any bonds, debentures, notes or other indebtedness or instruments or any other shares of capital stock or other voting or equity securities of or ownership interests in the Company that have the right to vote on such matter or act by written consent with respect to such action,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4.01Notices</w:t>
      </w:r>
      <w:r>
        <w:rPr>
          <w:rFonts w:ascii="Times New Roman" w:cs="Times New Roman" w:eastAsia="Times New Roman" w:hAnsi="Times New Roman"/>
          <w:sz w:val="20"/>
          <w:szCs w:val="20"/>
          <w:color w:val="auto"/>
        </w:rPr>
        <w:t>. Any notices or other communications required or permitted under, or otherwise in connection with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in writing and shall be deemed to have been duly delivered and received hereunder (i) one (1) business day after being sent for next business day delivery, fees prepaid, via a reputable nationwide overnight courier service; or (ii) immediately upon delivery by hand or by email transmission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in the case of email transmission that no automated message of non-delivery is received from the required recipient thereof), in each case to the intended recipient as set forth below:</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to the Company, to:</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Definitive Healthcare Corp.</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492 Old Connecticut Path, Suite 401</w:t>
      </w:r>
    </w:p>
    <w:p>
      <w:pPr>
        <w:ind w:left="1500"/>
        <w:spacing w:after="0"/>
        <w:rPr>
          <w:sz w:val="20"/>
          <w:szCs w:val="20"/>
          <w:color w:val="auto"/>
        </w:rPr>
      </w:pPr>
      <w:r>
        <w:rPr>
          <w:rFonts w:ascii="Times New Roman" w:cs="Times New Roman" w:eastAsia="Times New Roman" w:hAnsi="Times New Roman"/>
          <w:sz w:val="20"/>
          <w:szCs w:val="20"/>
          <w:color w:val="auto"/>
        </w:rPr>
        <w:t>Framingham, Massachusetts 01701</w:t>
      </w:r>
    </w:p>
    <w:p>
      <w:pPr>
        <w:ind w:left="1500"/>
        <w:spacing w:after="0"/>
        <w:rPr>
          <w:sz w:val="20"/>
          <w:szCs w:val="20"/>
          <w:color w:val="auto"/>
        </w:rPr>
      </w:pPr>
      <w:r>
        <w:rPr>
          <w:rFonts w:ascii="Times New Roman" w:cs="Times New Roman" w:eastAsia="Times New Roman" w:hAnsi="Times New Roman"/>
          <w:sz w:val="20"/>
          <w:szCs w:val="20"/>
          <w:color w:val="auto"/>
        </w:rPr>
        <w:t>Attention: General Counsel</w:t>
      </w:r>
    </w:p>
    <w:p>
      <w:pPr>
        <w:ind w:left="1500"/>
        <w:spacing w:after="0"/>
        <w:rPr>
          <w:sz w:val="20"/>
          <w:szCs w:val="20"/>
          <w:color w:val="auto"/>
        </w:rPr>
      </w:pPr>
      <w:r>
        <w:rPr>
          <w:rFonts w:ascii="Times New Roman" w:cs="Times New Roman" w:eastAsia="Times New Roman" w:hAnsi="Times New Roman"/>
          <w:sz w:val="20"/>
          <w:szCs w:val="20"/>
          <w:color w:val="auto"/>
        </w:rPr>
        <w:t>Email: [***]@definitivehc.com</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with a copy to:</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Cooley LLP</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p>
    <w:p>
      <w:pPr>
        <w:ind w:left="1500"/>
        <w:spacing w:after="0"/>
        <w:rPr>
          <w:sz w:val="20"/>
          <w:szCs w:val="20"/>
          <w:color w:val="auto"/>
        </w:rPr>
      </w:pPr>
      <w:r>
        <w:rPr>
          <w:rFonts w:ascii="Times New Roman" w:cs="Times New Roman" w:eastAsia="Times New Roman" w:hAnsi="Times New Roman"/>
          <w:sz w:val="20"/>
          <w:szCs w:val="20"/>
          <w:color w:val="auto"/>
        </w:rPr>
        <w:t>[***]</w:t>
      </w:r>
    </w:p>
    <w:p>
      <w:pPr>
        <w:ind w:left="1500"/>
        <w:spacing w:after="0"/>
        <w:rPr>
          <w:sz w:val="20"/>
          <w:szCs w:val="20"/>
          <w:color w:val="auto"/>
        </w:rPr>
      </w:pPr>
      <w:r>
        <w:rPr>
          <w:rFonts w:ascii="Times New Roman" w:cs="Times New Roman" w:eastAsia="Times New Roman" w:hAnsi="Times New Roman"/>
          <w:sz w:val="20"/>
          <w:szCs w:val="20"/>
          <w:color w:val="auto"/>
        </w:rPr>
        <w:t>Attention: Alfred Browne; Kevin Cooper</w:t>
      </w:r>
    </w:p>
    <w:p>
      <w:pPr>
        <w:ind w:left="1500"/>
        <w:spacing w:after="0"/>
        <w:rPr>
          <w:sz w:val="20"/>
          <w:szCs w:val="20"/>
          <w:color w:val="auto"/>
        </w:rPr>
      </w:pPr>
      <w:r>
        <w:rPr>
          <w:rFonts w:ascii="Times New Roman" w:cs="Times New Roman" w:eastAsia="Times New Roman" w:hAnsi="Times New Roman"/>
          <w:sz w:val="20"/>
          <w:szCs w:val="20"/>
          <w:color w:val="auto"/>
        </w:rPr>
        <w:t>Email: [***]@cooley.com; [***]@cooley.com</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to Advent, to:</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c/o Advent International, L.P.</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p>
    <w:p>
      <w:pPr>
        <w:ind w:left="1500"/>
        <w:spacing w:after="0"/>
        <w:rPr>
          <w:sz w:val="20"/>
          <w:szCs w:val="20"/>
          <w:color w:val="auto"/>
        </w:rPr>
      </w:pPr>
      <w:r>
        <w:rPr>
          <w:rFonts w:ascii="Times New Roman" w:cs="Times New Roman" w:eastAsia="Times New Roman" w:hAnsi="Times New Roman"/>
          <w:sz w:val="20"/>
          <w:szCs w:val="20"/>
          <w:color w:val="auto"/>
        </w:rPr>
        <w:t>[***]</w:t>
      </w:r>
    </w:p>
    <w:p>
      <w:pPr>
        <w:ind w:left="1500"/>
        <w:spacing w:after="0"/>
        <w:rPr>
          <w:sz w:val="20"/>
          <w:szCs w:val="20"/>
          <w:color w:val="auto"/>
        </w:rPr>
      </w:pPr>
      <w:r>
        <w:rPr>
          <w:rFonts w:ascii="Times New Roman" w:cs="Times New Roman" w:eastAsia="Times New Roman" w:hAnsi="Times New Roman"/>
          <w:sz w:val="20"/>
          <w:szCs w:val="20"/>
          <w:color w:val="auto"/>
        </w:rPr>
        <w:t>Attention: Lauren Young; Advent Legal Department</w:t>
      </w:r>
    </w:p>
    <w:p>
      <w:pPr>
        <w:ind w:left="1500"/>
        <w:spacing w:after="0"/>
        <w:rPr>
          <w:sz w:val="20"/>
          <w:szCs w:val="20"/>
          <w:color w:val="auto"/>
        </w:rPr>
      </w:pPr>
      <w:r>
        <w:rPr>
          <w:rFonts w:ascii="Times New Roman" w:cs="Times New Roman" w:eastAsia="Times New Roman" w:hAnsi="Times New Roman"/>
          <w:sz w:val="20"/>
          <w:szCs w:val="20"/>
          <w:color w:val="auto"/>
        </w:rPr>
        <w:t>Email: [***]@adventinternational.com</w:t>
      </w:r>
    </w:p>
    <w:p>
      <w:pPr>
        <w:spacing w:after="0" w:line="200" w:lineRule="exact"/>
        <w:rPr>
          <w:sz w:val="20"/>
          <w:szCs w:val="20"/>
          <w:color w:val="auto"/>
        </w:rPr>
      </w:pP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with a copy to:</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Ropes &amp; Gray LLP</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p>
    <w:p>
      <w:pPr>
        <w:ind w:left="1500"/>
        <w:spacing w:after="0"/>
        <w:rPr>
          <w:sz w:val="20"/>
          <w:szCs w:val="20"/>
          <w:color w:val="auto"/>
        </w:rPr>
      </w:pPr>
      <w:r>
        <w:rPr>
          <w:rFonts w:ascii="Times New Roman" w:cs="Times New Roman" w:eastAsia="Times New Roman" w:hAnsi="Times New Roman"/>
          <w:sz w:val="20"/>
          <w:szCs w:val="20"/>
          <w:color w:val="auto"/>
        </w:rPr>
        <w:t>[***]</w:t>
      </w:r>
    </w:p>
    <w:p>
      <w:pPr>
        <w:ind w:left="1500"/>
        <w:spacing w:after="0"/>
        <w:rPr>
          <w:sz w:val="20"/>
          <w:szCs w:val="20"/>
          <w:color w:val="auto"/>
        </w:rPr>
      </w:pPr>
      <w:r>
        <w:rPr>
          <w:rFonts w:ascii="Times New Roman" w:cs="Times New Roman" w:eastAsia="Times New Roman" w:hAnsi="Times New Roman"/>
          <w:sz w:val="20"/>
          <w:szCs w:val="20"/>
          <w:color w:val="auto"/>
        </w:rPr>
        <w:t>Attention: Thomas Fraser; Neill Jakobe; Christian Westra</w:t>
      </w:r>
    </w:p>
    <w:p>
      <w:pPr>
        <w:ind w:left="1500"/>
        <w:spacing w:after="0"/>
        <w:rPr>
          <w:sz w:val="20"/>
          <w:szCs w:val="20"/>
          <w:color w:val="auto"/>
        </w:rPr>
      </w:pPr>
      <w:r>
        <w:rPr>
          <w:rFonts w:ascii="Times New Roman" w:cs="Times New Roman" w:eastAsia="Times New Roman" w:hAnsi="Times New Roman"/>
          <w:sz w:val="20"/>
          <w:szCs w:val="20"/>
          <w:color w:val="auto"/>
        </w:rPr>
        <w:t>Email: [***]@ropesgray.com; [***]@ropesgray.com; [***]@ropesgray.com</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such other address, email address or facsimile number as such Party may hereafter specify by like notice to the other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 w:name="page10"/>
    <w:bookmarkEnd w:id="9"/>
    <w:p>
      <w:pPr>
        <w:ind w:left="760"/>
        <w:spacing w:after="0"/>
        <w:rPr>
          <w:sz w:val="20"/>
          <w:szCs w:val="20"/>
          <w:color w:val="auto"/>
        </w:rPr>
      </w:pPr>
      <w:r>
        <w:rPr>
          <w:rFonts w:ascii="Times New Roman" w:cs="Times New Roman" w:eastAsia="Times New Roman" w:hAnsi="Times New Roman"/>
          <w:sz w:val="20"/>
          <w:szCs w:val="20"/>
          <w:b w:val="1"/>
          <w:bCs w:val="1"/>
          <w:color w:val="auto"/>
        </w:rPr>
        <w:t>4.02Amendments; No Waivers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9" w:lineRule="auto"/>
        <w:tabs>
          <w:tab w:leader="none" w:pos="2036"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provision of this Agreement may be amended or waived if, and only if, such amendment or waiver is in writing and signed, in the case of an amendment, by each of the Parties, or in the case of a waiver, by Advent, if the waiver is to be effective against any of the Advent Parties, or by the Company, if the waiver is to be effective against the Company. Any amendment or waiver by the Company must be authorized by Independent Approval.</w:t>
      </w:r>
    </w:p>
    <w:p>
      <w:pPr>
        <w:spacing w:after="0" w:line="179" w:lineRule="exact"/>
        <w:rPr>
          <w:rFonts w:ascii="Times New Roman" w:cs="Times New Roman" w:eastAsia="Times New Roman" w:hAnsi="Times New Roman"/>
          <w:sz w:val="20"/>
          <w:szCs w:val="20"/>
          <w:b w:val="1"/>
          <w:bCs w:val="1"/>
          <w:color w:val="auto"/>
        </w:rPr>
      </w:pPr>
    </w:p>
    <w:p>
      <w:pPr>
        <w:jc w:val="both"/>
        <w:ind w:firstLine="1505"/>
        <w:spacing w:after="0" w:line="254" w:lineRule="auto"/>
        <w:tabs>
          <w:tab w:leader="none" w:pos="2036"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7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4.03Successors and Assigns; Parties in Interest</w:t>
      </w:r>
      <w:r>
        <w:rPr>
          <w:rFonts w:ascii="Times New Roman" w:cs="Times New Roman" w:eastAsia="Times New Roman" w:hAnsi="Times New Roman"/>
          <w:sz w:val="20"/>
          <w:szCs w:val="20"/>
          <w:color w:val="auto"/>
        </w:rPr>
        <w:t>. Neither this Agreement nor any of the rights or obligations under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assigned, in whole or in part, by any Party without the prior written consent of the other Party (in the case of the Company, with such assignment or such consent to assignment being authorized by Independent Approval). Subject to the foregoing, the provisions of this Agreement shall be binding upon and inure to the benefit of the Parties and their respective successors and permitted assigns. Nothing in this Agreement, express or implied, is intended to confer any rights, remedies or causes of action under or by reason of this Agreement upon any Person other than the Parties and their respective successors and permitted assigns.</w:t>
      </w:r>
    </w:p>
    <w:p>
      <w:pPr>
        <w:spacing w:after="0" w:line="17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4.04Governing Law; Consent to Jurisdiction</w:t>
      </w:r>
      <w:r>
        <w:rPr>
          <w:rFonts w:ascii="Times New Roman" w:cs="Times New Roman" w:eastAsia="Times New Roman" w:hAnsi="Times New Roman"/>
          <w:sz w:val="20"/>
          <w:szCs w:val="20"/>
          <w:color w:val="auto"/>
        </w:rPr>
        <w:t>. This Agreement shall be construed in accordance with and governed by the internal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Laws of the State of Delaware, without giving effect to the principles of conflicts of laws. Each of the Parties hereby irrevocably and unconditionally consents to submit to the exclusive jurisdiction of the Delaware Court of Chancery and any state appellate court therefrom within the State of Delaware (or, solely if the Delaware Court of Chancery declines to accept jurisdiction over a particular matter, any state or federal court within the State of Delaware) (the “</w:t>
      </w:r>
      <w:r>
        <w:rPr>
          <w:rFonts w:ascii="Times New Roman" w:cs="Times New Roman" w:eastAsia="Times New Roman" w:hAnsi="Times New Roman"/>
          <w:sz w:val="20"/>
          <w:szCs w:val="20"/>
          <w:b w:val="1"/>
          <w:bCs w:val="1"/>
          <w:i w:val="1"/>
          <w:iCs w:val="1"/>
          <w:color w:val="auto"/>
        </w:rPr>
        <w:t>Chosen Courts</w:t>
      </w:r>
      <w:r>
        <w:rPr>
          <w:rFonts w:ascii="Times New Roman" w:cs="Times New Roman" w:eastAsia="Times New Roman" w:hAnsi="Times New Roman"/>
          <w:sz w:val="20"/>
          <w:szCs w:val="20"/>
          <w:color w:val="auto"/>
        </w:rPr>
        <w:t>”), for any action, proceeding or investigation in any court or before any Governmental Authority (“</w:t>
      </w:r>
      <w:r>
        <w:rPr>
          <w:rFonts w:ascii="Times New Roman" w:cs="Times New Roman" w:eastAsia="Times New Roman" w:hAnsi="Times New Roman"/>
          <w:sz w:val="20"/>
          <w:szCs w:val="20"/>
          <w:b w:val="1"/>
          <w:bCs w:val="1"/>
          <w:i w:val="1"/>
          <w:iCs w:val="1"/>
          <w:color w:val="auto"/>
        </w:rPr>
        <w:t>Litigation</w:t>
      </w:r>
      <w:r>
        <w:rPr>
          <w:rFonts w:ascii="Times New Roman" w:cs="Times New Roman" w:eastAsia="Times New Roman" w:hAnsi="Times New Roman"/>
          <w:sz w:val="20"/>
          <w:szCs w:val="20"/>
          <w:color w:val="auto"/>
        </w:rPr>
        <w:t>”) arising out of or relating to this Agreement and the matters contemplated hereby and further agrees that service of any process, summons, notice or document by U.S. mail to its address set forth in this Agreement shall be effective service of process for any Litigation brought against it in any such court. Each of the Parties hereby irrevocably and unconditionally waives any objection to the laying of venue of any Litigation arising out of this Agreement or the matters contemplated hereby in the Chosen Courts, and hereby further irrevocably and unconditionally waives and agrees not to plead or claim in any such court that any such Litigation brought in any such court has been brought in an inconvenient forum. Each of the Parties irrevocably and unconditionally waives, to the fullest extent permitted by Law, any and all rights to trial by jury in connection with any Litigation arising out of or relating to this Agreement or the matters contemplated hereby.</w:t>
      </w:r>
    </w:p>
    <w:p>
      <w:pPr>
        <w:spacing w:after="0" w:line="18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4.05Counterparts</w:t>
      </w:r>
      <w:r>
        <w:rPr>
          <w:rFonts w:ascii="Times New Roman" w:cs="Times New Roman" w:eastAsia="Times New Roman" w:hAnsi="Times New Roman"/>
          <w:sz w:val="20"/>
          <w:szCs w:val="20"/>
          <w:color w:val="auto"/>
        </w:rPr>
        <w:t>. This Agreement may be signed in any number of counterparts, each of which shall be an original, with the same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 as if the signatures thereto and hereto were upon the same instrument.</w:t>
      </w:r>
    </w:p>
    <w:p>
      <w:pPr>
        <w:spacing w:after="0" w:line="15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4.06Specific Performance</w:t>
      </w:r>
      <w:r>
        <w:rPr>
          <w:rFonts w:ascii="Times New Roman" w:cs="Times New Roman" w:eastAsia="Times New Roman" w:hAnsi="Times New Roman"/>
          <w:sz w:val="20"/>
          <w:szCs w:val="20"/>
          <w:color w:val="auto"/>
        </w:rPr>
        <w:t>. Each of the Parties acknowledges and agrees that the Parties’ respective remedies at law for a breach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threatened breach of any of the provisions of this Agreement would be inadequate and, in recognition of that fact, agree that, in the event of a breach or threatened breach by any Advent Party, on the one hand, or the Company, on the other hand, of the provisions of this Agreement, in addition to any remedies at law, the Company and Advent, respectively, without posting any bond, shall be entitled to obtain equitable relief in the form of specific performance, a temporary restraining order, a temporary or permanent injunction or any other equitable remedy that may then be available.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 w:name="page11"/>
    <w:bookmarkEnd w:id="10"/>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4.07Termination</w:t>
      </w:r>
      <w:r>
        <w:rPr>
          <w:rFonts w:ascii="Times New Roman" w:cs="Times New Roman" w:eastAsia="Times New Roman" w:hAnsi="Times New Roman"/>
          <w:sz w:val="20"/>
          <w:szCs w:val="20"/>
          <w:color w:val="auto"/>
        </w:rPr>
        <w:t>. This Agreement shall terminate and thereafter be of no further force and effect for all Parties at the earlier of (i)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time as the Advent Parties cease to hold of record 30% or more of the Voting Securities then outstanding and (ii) such time as the shares of Class A Common stock are no longer listed on a national securities exchange.</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4.08Severability</w:t>
      </w:r>
      <w:r>
        <w:rPr>
          <w:rFonts w:ascii="Times New Roman" w:cs="Times New Roman" w:eastAsia="Times New Roman" w:hAnsi="Times New Roman"/>
          <w:sz w:val="20"/>
          <w:szCs w:val="20"/>
          <w:color w:val="auto"/>
        </w:rPr>
        <w:t>. If any term, provision, covenant or restriction of this Agreement is held by a court of competent jurisdiction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invalid, void or unenforceable, the remainder of the terms, provisions, covenants and restrictions of this Agreement shall remain in full force and effect and shall in no way be affected, impaired or invalidated; provided that the Parties shall negotiate in good faith to attempt to place the Parties in the same position as they would have been in had such provision not been held to be invalid, void or unenforceable.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4.09Effective Time</w:t>
      </w:r>
      <w:r>
        <w:rPr>
          <w:rFonts w:ascii="Times New Roman" w:cs="Times New Roman" w:eastAsia="Times New Roman" w:hAnsi="Times New Roman"/>
          <w:sz w:val="20"/>
          <w:szCs w:val="20"/>
          <w:color w:val="auto"/>
        </w:rPr>
        <w:t>. This Agreement shall be effective as of the date first written above.</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4.10Entire Agreement</w:t>
      </w:r>
      <w:r>
        <w:rPr>
          <w:rFonts w:ascii="Times New Roman" w:cs="Times New Roman" w:eastAsia="Times New Roman" w:hAnsi="Times New Roman"/>
          <w:sz w:val="20"/>
          <w:szCs w:val="20"/>
          <w:color w:val="auto"/>
        </w:rPr>
        <w:t>. This Agreement embodies the complete agreement and understanding between the Parties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subject matter hereof and supersedes and preempts any prior understandings, agreements or representations by or between the Parties, written or oral, that may have related to the subject matter hereof in any way.</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4.11No Third Party Beneficiaries. </w:t>
      </w:r>
      <w:r>
        <w:rPr>
          <w:rFonts w:ascii="Times New Roman" w:cs="Times New Roman" w:eastAsia="Times New Roman" w:hAnsi="Times New Roman"/>
          <w:sz w:val="20"/>
          <w:szCs w:val="20"/>
          <w:color w:val="auto"/>
        </w:rPr>
        <w:t>Nothing in this Agreement shall be construed as giving any Person, other than the Parties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their respective successors, legal representatives and permitted assigns, any right, remedy or claim under or in respect of this Agreement or any provision hereof.</w:t>
      </w:r>
    </w:p>
    <w:p>
      <w:pPr>
        <w:spacing w:after="0" w:line="16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4.12Interpretation. </w:t>
      </w:r>
      <w:r>
        <w:rPr>
          <w:rFonts w:ascii="Times New Roman" w:cs="Times New Roman" w:eastAsia="Times New Roman" w:hAnsi="Times New Roman"/>
          <w:sz w:val="20"/>
          <w:szCs w:val="20"/>
          <w:color w:val="auto"/>
        </w:rPr>
        <w:t>References in this Agreement to Articles and Sections shall be deemed to be references to Articles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Sections of this Agreement, unless the context shall otherwise require. The words “</w:t>
      </w:r>
      <w:r>
        <w:rPr>
          <w:rFonts w:ascii="Times New Roman" w:cs="Times New Roman" w:eastAsia="Times New Roman" w:hAnsi="Times New Roman"/>
          <w:sz w:val="20"/>
          <w:szCs w:val="20"/>
          <w:b w:val="1"/>
          <w:bCs w:val="1"/>
          <w:i w:val="1"/>
          <w:iCs w:val="1"/>
          <w:color w:val="auto"/>
        </w:rPr>
        <w:t>include,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includes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including</w:t>
      </w:r>
      <w:r>
        <w:rPr>
          <w:rFonts w:ascii="Times New Roman" w:cs="Times New Roman" w:eastAsia="Times New Roman" w:hAnsi="Times New Roman"/>
          <w:sz w:val="20"/>
          <w:szCs w:val="20"/>
          <w:color w:val="auto"/>
        </w:rPr>
        <w:t>” shall be deemed to be followed by the phrase “</w:t>
      </w:r>
      <w:r>
        <w:rPr>
          <w:rFonts w:ascii="Times New Roman" w:cs="Times New Roman" w:eastAsia="Times New Roman" w:hAnsi="Times New Roman"/>
          <w:sz w:val="20"/>
          <w:szCs w:val="20"/>
          <w:b w:val="1"/>
          <w:bCs w:val="1"/>
          <w:i w:val="1"/>
          <w:iCs w:val="1"/>
          <w:color w:val="auto"/>
        </w:rPr>
        <w:t>without limitation.</w:t>
      </w:r>
      <w:r>
        <w:rPr>
          <w:rFonts w:ascii="Times New Roman" w:cs="Times New Roman" w:eastAsia="Times New Roman" w:hAnsi="Times New Roman"/>
          <w:sz w:val="20"/>
          <w:szCs w:val="20"/>
          <w:color w:val="auto"/>
        </w:rPr>
        <w:t>” The words “</w:t>
      </w:r>
      <w:r>
        <w:rPr>
          <w:rFonts w:ascii="Times New Roman" w:cs="Times New Roman" w:eastAsia="Times New Roman" w:hAnsi="Times New Roman"/>
          <w:sz w:val="20"/>
          <w:szCs w:val="20"/>
          <w:b w:val="1"/>
          <w:bCs w:val="1"/>
          <w:i w:val="1"/>
          <w:iCs w:val="1"/>
          <w:color w:val="auto"/>
        </w:rPr>
        <w:t>hereof,</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herein</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hereunder</w:t>
      </w:r>
      <w:r>
        <w:rPr>
          <w:rFonts w:ascii="Times New Roman" w:cs="Times New Roman" w:eastAsia="Times New Roman" w:hAnsi="Times New Roman"/>
          <w:sz w:val="20"/>
          <w:szCs w:val="20"/>
          <w:color w:val="auto"/>
        </w:rPr>
        <w:t>” and words of similar import when used in this Agreement shall refer to this Agreement as a whole and not to any particular provision of such agreement or instrument. Words in the singular shall be held to include the plural and vice versa. References to “</w:t>
      </w:r>
      <w:r>
        <w:rPr>
          <w:rFonts w:ascii="Times New Roman" w:cs="Times New Roman" w:eastAsia="Times New Roman" w:hAnsi="Times New Roman"/>
          <w:sz w:val="20"/>
          <w:szCs w:val="20"/>
          <w:b w:val="1"/>
          <w:bCs w:val="1"/>
          <w:i w:val="1"/>
          <w:iCs w:val="1"/>
          <w:color w:val="auto"/>
        </w:rPr>
        <w:t>written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in writing</w:t>
      </w:r>
      <w:r>
        <w:rPr>
          <w:rFonts w:ascii="Times New Roman" w:cs="Times New Roman" w:eastAsia="Times New Roman" w:hAnsi="Times New Roman"/>
          <w:sz w:val="20"/>
          <w:szCs w:val="20"/>
          <w:color w:val="auto"/>
        </w:rPr>
        <w:t>” include in electronic form. The word “</w:t>
      </w:r>
      <w:r>
        <w:rPr>
          <w:rFonts w:ascii="Times New Roman" w:cs="Times New Roman" w:eastAsia="Times New Roman" w:hAnsi="Times New Roman"/>
          <w:sz w:val="20"/>
          <w:szCs w:val="20"/>
          <w:b w:val="1"/>
          <w:bCs w:val="1"/>
          <w:i w:val="1"/>
          <w:iCs w:val="1"/>
          <w:color w:val="auto"/>
        </w:rPr>
        <w:t>or</w:t>
      </w:r>
      <w:r>
        <w:rPr>
          <w:rFonts w:ascii="Times New Roman" w:cs="Times New Roman" w:eastAsia="Times New Roman" w:hAnsi="Times New Roman"/>
          <w:sz w:val="20"/>
          <w:szCs w:val="20"/>
          <w:color w:val="auto"/>
        </w:rPr>
        <w:t>” shall not be exclusive. The phrase “</w:t>
      </w:r>
      <w:r>
        <w:rPr>
          <w:rFonts w:ascii="Times New Roman" w:cs="Times New Roman" w:eastAsia="Times New Roman" w:hAnsi="Times New Roman"/>
          <w:sz w:val="20"/>
          <w:szCs w:val="20"/>
          <w:b w:val="1"/>
          <w:bCs w:val="1"/>
          <w:i w:val="1"/>
          <w:iCs w:val="1"/>
          <w:color w:val="auto"/>
        </w:rPr>
        <w:t>to the extent</w:t>
      </w:r>
      <w:r>
        <w:rPr>
          <w:rFonts w:ascii="Times New Roman" w:cs="Times New Roman" w:eastAsia="Times New Roman" w:hAnsi="Times New Roman"/>
          <w:sz w:val="20"/>
          <w:szCs w:val="20"/>
          <w:color w:val="auto"/>
        </w:rPr>
        <w:t>” shall mean the degree to which a subject or other thing extends, and not merely “</w:t>
      </w:r>
      <w:r>
        <w:rPr>
          <w:rFonts w:ascii="Times New Roman" w:cs="Times New Roman" w:eastAsia="Times New Roman" w:hAnsi="Times New Roman"/>
          <w:sz w:val="20"/>
          <w:szCs w:val="20"/>
          <w:b w:val="1"/>
          <w:bCs w:val="1"/>
          <w:i w:val="1"/>
          <w:iCs w:val="1"/>
          <w:color w:val="auto"/>
        </w:rPr>
        <w:t>if.</w:t>
      </w:r>
      <w:r>
        <w:rPr>
          <w:rFonts w:ascii="Times New Roman" w:cs="Times New Roman" w:eastAsia="Times New Roman" w:hAnsi="Times New Roman"/>
          <w:sz w:val="20"/>
          <w:szCs w:val="20"/>
          <w:color w:val="auto"/>
        </w:rPr>
        <w:t>” Each of the Parties has participated in the negotiation and drafting of this Agreement and if an ambiguity or question of interpretation should arise, this Agreement shall be construed as if drafted jointly by the Parties, and no presumption or burden of proof shall arise favoring or burdening any party by virtue of the authorship of any of the provisions in this Agreement. A reference to any Person includes such Person’s successors and permitted assigns.</w:t>
      </w:r>
    </w:p>
    <w:p>
      <w:pPr>
        <w:spacing w:after="0" w:line="18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4.13Headings</w:t>
      </w:r>
      <w:r>
        <w:rPr>
          <w:rFonts w:ascii="Times New Roman" w:cs="Times New Roman" w:eastAsia="Times New Roman" w:hAnsi="Times New Roman"/>
          <w:sz w:val="20"/>
          <w:szCs w:val="20"/>
          <w:color w:val="auto"/>
        </w:rPr>
        <w:t>. The titles of Articles and Sections of this Agreement are for convenience only and shall not be interpreted to limit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affect the provisions of this Agreement.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ignature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age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w:t>
      </w:r>
      <w:r>
        <w:rPr>
          <w:rFonts w:ascii="Times New Roman" w:cs="Times New Roman" w:eastAsia="Times New Roman" w:hAnsi="Times New Roman"/>
          <w:sz w:val="13"/>
          <w:szCs w:val="13"/>
          <w:b w:val="1"/>
          <w:bCs w:val="1"/>
          <w:color w:val="auto"/>
        </w:rPr>
        <w:t>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 w:name="page12"/>
    <w:bookmarkEnd w:id="11"/>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WITNESS WHEREOF, the Parties have caused this Voting Agreement to be duly executed as of the day and year first above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19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b w:val="1"/>
          <w:bCs w:val="1"/>
          <w:color w:val="auto"/>
        </w:rPr>
        <w:t>DEFINITIVE HEALTHCARE CORP.</w:t>
      </w:r>
    </w:p>
    <w:p>
      <w:pPr>
        <w:spacing w:after="0" w:line="260" w:lineRule="exact"/>
        <w:rPr>
          <w:sz w:val="20"/>
          <w:szCs w:val="20"/>
          <w:color w:val="auto"/>
        </w:rPr>
      </w:pPr>
    </w:p>
    <w:tbl>
      <w:tblPr>
        <w:tblLayout w:type="fixed"/>
        <w:tblInd w:w="5420" w:type="dxa"/>
        <w:tblCellMar>
          <w:top w:w="0" w:type="dxa"/>
          <w:left w:w="0" w:type="dxa"/>
          <w:bottom w:w="0" w:type="dxa"/>
          <w:right w:w="0" w:type="dxa"/>
        </w:tblCellMar>
      </w:tblPr>
      <w:tr>
        <w:trPr>
          <w:trHeight w:val="25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Matt Ruderman</w:t>
            </w:r>
          </w:p>
        </w:tc>
      </w:tr>
      <w:tr>
        <w:trPr>
          <w:trHeight w:val="220"/>
        </w:trPr>
        <w:tc>
          <w:tcPr>
            <w:tcW w:w="8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Name:</w:t>
            </w:r>
          </w:p>
        </w:tc>
        <w:tc>
          <w:tcPr>
            <w:tcW w:w="4940" w:type="dxa"/>
            <w:vAlign w:val="bottom"/>
          </w:tcPr>
          <w:p>
            <w:pPr>
              <w:ind w:left="20"/>
              <w:spacing w:after="0" w:line="220" w:lineRule="exact"/>
              <w:rPr>
                <w:sz w:val="20"/>
                <w:szCs w:val="20"/>
                <w:color w:val="auto"/>
              </w:rPr>
            </w:pPr>
            <w:r>
              <w:rPr>
                <w:rFonts w:ascii="Times New Roman" w:cs="Times New Roman" w:eastAsia="Times New Roman" w:hAnsi="Times New Roman"/>
                <w:sz w:val="20"/>
                <w:szCs w:val="20"/>
                <w:color w:val="auto"/>
              </w:rPr>
              <w:t>Matt Ruderman</w:t>
            </w:r>
          </w:p>
        </w:tc>
      </w:tr>
      <w:tr>
        <w:trPr>
          <w:trHeight w:val="25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ind w:left="760"/>
        <w:spacing w:after="0"/>
        <w:rPr>
          <w:sz w:val="20"/>
          <w:szCs w:val="20"/>
          <w:color w:val="auto"/>
        </w:rPr>
      </w:pPr>
      <w:r>
        <w:rPr>
          <w:rFonts w:ascii="Times New Roman" w:cs="Times New Roman" w:eastAsia="Times New Roman" w:hAnsi="Times New Roman"/>
          <w:sz w:val="20"/>
          <w:szCs w:val="20"/>
          <w:color w:val="auto"/>
        </w:rPr>
        <w:t>IN WITNESS WHEREOF, the Parties have caused this Voting Agreement to be duly executed as of the day and year first above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200" w:lineRule="exact"/>
        <w:rPr>
          <w:sz w:val="20"/>
          <w:szCs w:val="20"/>
          <w:color w:val="auto"/>
        </w:rPr>
      </w:pPr>
    </w:p>
    <w:p>
      <w:pPr>
        <w:spacing w:after="0" w:line="21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b w:val="1"/>
          <w:bCs w:val="1"/>
          <w:color w:val="auto"/>
        </w:rPr>
        <w:t>ADVENT INTERNATIONAL, L.P.</w:t>
      </w:r>
    </w:p>
    <w:p>
      <w:pPr>
        <w:spacing w:after="0" w:line="32" w:lineRule="exact"/>
        <w:rPr>
          <w:sz w:val="20"/>
          <w:szCs w:val="20"/>
          <w:color w:val="auto"/>
        </w:rPr>
      </w:pPr>
    </w:p>
    <w:p>
      <w:pPr>
        <w:ind w:left="5420"/>
        <w:spacing w:after="0"/>
        <w:tabs>
          <w:tab w:leader="none" w:pos="63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ADVENT INTERNATIONAL GP, LLC, GENERAL</w:t>
      </w:r>
    </w:p>
    <w:p>
      <w:pPr>
        <w:spacing w:after="0" w:line="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0"/>
          <w:szCs w:val="20"/>
          <w:color w:val="auto"/>
        </w:rPr>
        <w:t>PARTNER</w:t>
      </w:r>
    </w:p>
    <w:p>
      <w:pPr>
        <w:spacing w:after="0" w:line="234" w:lineRule="exact"/>
        <w:rPr>
          <w:sz w:val="20"/>
          <w:szCs w:val="20"/>
          <w:color w:val="auto"/>
        </w:rPr>
      </w:pPr>
    </w:p>
    <w:tbl>
      <w:tblPr>
        <w:tblLayout w:type="fixed"/>
        <w:tblInd w:w="5420" w:type="dxa"/>
        <w:tblCellMar>
          <w:top w:w="0" w:type="dxa"/>
          <w:left w:w="0" w:type="dxa"/>
          <w:bottom w:w="0" w:type="dxa"/>
          <w:right w:w="0" w:type="dxa"/>
        </w:tblCellMar>
      </w:tblPr>
      <w:tr>
        <w:trPr>
          <w:trHeight w:val="25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Neil Crawford</w:t>
            </w:r>
          </w:p>
        </w:tc>
      </w:tr>
      <w:tr>
        <w:trPr>
          <w:trHeight w:val="220"/>
        </w:trPr>
        <w:tc>
          <w:tcPr>
            <w:tcW w:w="8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Name:</w:t>
            </w:r>
          </w:p>
        </w:tc>
        <w:tc>
          <w:tcPr>
            <w:tcW w:w="4940" w:type="dxa"/>
            <w:vAlign w:val="bottom"/>
          </w:tcPr>
          <w:p>
            <w:pPr>
              <w:ind w:left="20"/>
              <w:spacing w:after="0" w:line="220" w:lineRule="exact"/>
              <w:rPr>
                <w:sz w:val="20"/>
                <w:szCs w:val="20"/>
                <w:color w:val="auto"/>
              </w:rPr>
            </w:pPr>
            <w:r>
              <w:rPr>
                <w:rFonts w:ascii="Times New Roman" w:cs="Times New Roman" w:eastAsia="Times New Roman" w:hAnsi="Times New Roman"/>
                <w:sz w:val="20"/>
                <w:szCs w:val="20"/>
                <w:color w:val="auto"/>
              </w:rPr>
              <w:t>Neil Crawford</w:t>
            </w:r>
          </w:p>
        </w:tc>
      </w:tr>
      <w:tr>
        <w:trPr>
          <w:trHeight w:val="25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Vice President of Finance – Fund Administration</w:t>
            </w: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ignature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age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V</w:t>
      </w:r>
      <w:r>
        <w:rPr>
          <w:rFonts w:ascii="Times New Roman" w:cs="Times New Roman" w:eastAsia="Times New Roman" w:hAnsi="Times New Roman"/>
          <w:sz w:val="13"/>
          <w:szCs w:val="13"/>
          <w:b w:val="1"/>
          <w:bCs w:val="1"/>
          <w:color w:val="auto"/>
        </w:rPr>
        <w:t>oting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greement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Advent International GPE IX-A SCSp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Advent International GPE IX-D SCSp</w:t>
      </w:r>
    </w:p>
    <w:p>
      <w:pPr>
        <w:spacing w:after="0"/>
        <w:rPr>
          <w:sz w:val="20"/>
          <w:szCs w:val="20"/>
          <w:color w:val="auto"/>
        </w:rPr>
      </w:pPr>
      <w:r>
        <w:rPr>
          <w:rFonts w:ascii="Times New Roman" w:cs="Times New Roman" w:eastAsia="Times New Roman" w:hAnsi="Times New Roman"/>
          <w:sz w:val="20"/>
          <w:szCs w:val="20"/>
          <w:b w:val="1"/>
          <w:bCs w:val="1"/>
          <w:color w:val="auto"/>
        </w:rPr>
        <w:t>Advent International GPE IX-E SCSp</w:t>
      </w:r>
    </w:p>
    <w:p>
      <w:pPr>
        <w:spacing w:after="0"/>
        <w:rPr>
          <w:sz w:val="20"/>
          <w:szCs w:val="20"/>
          <w:color w:val="auto"/>
        </w:rPr>
      </w:pPr>
      <w:r>
        <w:rPr>
          <w:rFonts w:ascii="Times New Roman" w:cs="Times New Roman" w:eastAsia="Times New Roman" w:hAnsi="Times New Roman"/>
          <w:sz w:val="20"/>
          <w:szCs w:val="20"/>
          <w:b w:val="1"/>
          <w:bCs w:val="1"/>
          <w:color w:val="auto"/>
        </w:rPr>
        <w:t>Advent Partners GPE IX Strategic Investors SCSp</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GPE IX GP S.à r.l., General Partner</w:t>
            </w:r>
          </w:p>
        </w:tc>
        <w:tc>
          <w:tcPr>
            <w:tcW w:w="1240" w:type="dxa"/>
            <w:vAlign w:val="bottom"/>
          </w:tcPr>
          <w:p>
            <w:pPr>
              <w:spacing w:after="0"/>
              <w:rPr>
                <w:sz w:val="21"/>
                <w:szCs w:val="21"/>
                <w:color w:val="auto"/>
              </w:rPr>
            </w:pPr>
          </w:p>
        </w:tc>
        <w:tc>
          <w:tcPr>
            <w:tcW w:w="4140" w:type="dxa"/>
            <w:vAlign w:val="bottom"/>
          </w:tcPr>
          <w:p>
            <w:pPr>
              <w:spacing w:after="0"/>
              <w:rPr>
                <w:sz w:val="21"/>
                <w:szCs w:val="21"/>
                <w:color w:val="auto"/>
              </w:rPr>
            </w:pPr>
          </w:p>
        </w:tc>
      </w:tr>
      <w:tr>
        <w:trPr>
          <w:trHeight w:val="262"/>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Advent International GPE IX, LLC, Manager</w:t>
            </w:r>
          </w:p>
        </w:tc>
        <w:tc>
          <w:tcPr>
            <w:tcW w:w="12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By:</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Justin Nuccio</w:t>
            </w:r>
          </w:p>
        </w:tc>
      </w:tr>
      <w:tr>
        <w:trPr>
          <w:trHeight w:val="256"/>
        </w:trPr>
        <w:tc>
          <w:tcPr>
            <w:tcW w:w="90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20"/>
                <w:szCs w:val="20"/>
                <w:color w:val="auto"/>
              </w:rPr>
              <w:t>Justin Nuccio, Manager</w:t>
            </w:r>
          </w:p>
        </w:tc>
      </w:tr>
      <w:tr>
        <w:trPr>
          <w:trHeight w:val="44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Advent International, L.P., Manager</w:t>
            </w:r>
          </w:p>
        </w:tc>
        <w:tc>
          <w:tcPr>
            <w:tcW w:w="12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Advent International GP, LLC, General Partner</w:t>
            </w:r>
          </w:p>
        </w:tc>
        <w:tc>
          <w:tcPr>
            <w:tcW w:w="1240" w:type="dxa"/>
            <w:vAlign w:val="bottom"/>
          </w:tcPr>
          <w:p>
            <w:pPr>
              <w:spacing w:after="0"/>
              <w:rPr>
                <w:sz w:val="22"/>
                <w:szCs w:val="22"/>
                <w:color w:val="auto"/>
              </w:rPr>
            </w:pPr>
          </w:p>
        </w:tc>
        <w:tc>
          <w:tcPr>
            <w:tcW w:w="4140" w:type="dxa"/>
            <w:vAlign w:val="bottom"/>
          </w:tcPr>
          <w:p>
            <w:pPr>
              <w:spacing w:after="0"/>
              <w:rPr>
                <w:sz w:val="22"/>
                <w:szCs w:val="22"/>
                <w:color w:val="auto"/>
              </w:rPr>
            </w:pPr>
          </w:p>
        </w:tc>
      </w:tr>
      <w:tr>
        <w:trPr>
          <w:trHeight w:val="48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Neil Crawford</w:t>
            </w:r>
          </w:p>
        </w:tc>
        <w:tc>
          <w:tcPr>
            <w:tcW w:w="12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20"/>
        </w:trPr>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Name:</w:t>
            </w:r>
          </w:p>
        </w:tc>
        <w:tc>
          <w:tcPr>
            <w:tcW w:w="49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Neil Crawford</w:t>
            </w:r>
          </w:p>
        </w:tc>
        <w:tc>
          <w:tcPr>
            <w:tcW w:w="124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Vice President of Finance – Fund Administration</w:t>
            </w:r>
          </w:p>
        </w:tc>
        <w:tc>
          <w:tcPr>
            <w:tcW w:w="1240" w:type="dxa"/>
            <w:vAlign w:val="bottom"/>
          </w:tcPr>
          <w:p>
            <w:pPr>
              <w:spacing w:after="0"/>
              <w:rPr>
                <w:sz w:val="22"/>
                <w:szCs w:val="22"/>
                <w:color w:val="auto"/>
              </w:rPr>
            </w:pPr>
          </w:p>
        </w:tc>
        <w:tc>
          <w:tcPr>
            <w:tcW w:w="4140" w:type="dxa"/>
            <w:vAlign w:val="bottom"/>
          </w:tcPr>
          <w:p>
            <w:pPr>
              <w:spacing w:after="0"/>
              <w:rPr>
                <w:sz w:val="22"/>
                <w:szCs w:val="22"/>
                <w:color w:val="auto"/>
              </w:rPr>
            </w:pPr>
          </w:p>
        </w:tc>
      </w:tr>
      <w:tr>
        <w:trPr>
          <w:trHeight w:val="716"/>
        </w:trPr>
        <w:tc>
          <w:tcPr>
            <w:tcW w:w="58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ADVENT GLOBAL TECHNOLOGY-A SCSP</w:t>
            </w:r>
          </w:p>
        </w:tc>
        <w:tc>
          <w:tcPr>
            <w:tcW w:w="12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51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Advent Global Technology GP S.à r.l., General Partner</w:t>
            </w:r>
          </w:p>
        </w:tc>
        <w:tc>
          <w:tcPr>
            <w:tcW w:w="12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62"/>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Advent Global Technology LLC, Manager</w:t>
            </w:r>
          </w:p>
        </w:tc>
        <w:tc>
          <w:tcPr>
            <w:tcW w:w="12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By:</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Justin Nuccio</w:t>
            </w:r>
          </w:p>
        </w:tc>
      </w:tr>
      <w:tr>
        <w:trPr>
          <w:trHeight w:val="256"/>
        </w:trPr>
        <w:tc>
          <w:tcPr>
            <w:tcW w:w="90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20"/>
                <w:szCs w:val="20"/>
                <w:color w:val="auto"/>
              </w:rPr>
              <w:t>Justin Nuccio, Manager</w:t>
            </w:r>
          </w:p>
        </w:tc>
      </w:tr>
      <w:tr>
        <w:trPr>
          <w:trHeight w:val="502"/>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Advent International, L.P., Manager</w:t>
            </w:r>
          </w:p>
        </w:tc>
        <w:tc>
          <w:tcPr>
            <w:tcW w:w="12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Advent International GP, LLC, General Partner</w:t>
            </w:r>
          </w:p>
        </w:tc>
        <w:tc>
          <w:tcPr>
            <w:tcW w:w="1240" w:type="dxa"/>
            <w:vAlign w:val="bottom"/>
          </w:tcPr>
          <w:p>
            <w:pPr>
              <w:spacing w:after="0"/>
              <w:rPr>
                <w:sz w:val="22"/>
                <w:szCs w:val="22"/>
                <w:color w:val="auto"/>
              </w:rPr>
            </w:pPr>
          </w:p>
        </w:tc>
        <w:tc>
          <w:tcPr>
            <w:tcW w:w="4140" w:type="dxa"/>
            <w:vAlign w:val="bottom"/>
          </w:tcPr>
          <w:p>
            <w:pPr>
              <w:spacing w:after="0"/>
              <w:rPr>
                <w:sz w:val="22"/>
                <w:szCs w:val="22"/>
                <w:color w:val="auto"/>
              </w:rPr>
            </w:pPr>
          </w:p>
        </w:tc>
      </w:tr>
      <w:tr>
        <w:trPr>
          <w:trHeight w:val="514"/>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Neil Crawford</w:t>
            </w:r>
          </w:p>
        </w:tc>
        <w:tc>
          <w:tcPr>
            <w:tcW w:w="12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4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Neil Crawford</w:t>
            </w:r>
          </w:p>
        </w:tc>
        <w:tc>
          <w:tcPr>
            <w:tcW w:w="1240" w:type="dxa"/>
            <w:vAlign w:val="bottom"/>
          </w:tcPr>
          <w:p>
            <w:pPr>
              <w:spacing w:after="0"/>
              <w:rPr>
                <w:sz w:val="21"/>
                <w:szCs w:val="21"/>
                <w:color w:val="auto"/>
              </w:rPr>
            </w:pPr>
          </w:p>
        </w:tc>
        <w:tc>
          <w:tcPr>
            <w:tcW w:w="4140" w:type="dxa"/>
            <w:vAlign w:val="bottom"/>
          </w:tcPr>
          <w:p>
            <w:pPr>
              <w:spacing w:after="0"/>
              <w:rPr>
                <w:sz w:val="21"/>
                <w:szCs w:val="2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Vice President of Finance – Fund Administration</w:t>
            </w:r>
          </w:p>
        </w:tc>
        <w:tc>
          <w:tcPr>
            <w:tcW w:w="1240" w:type="dxa"/>
            <w:vAlign w:val="bottom"/>
          </w:tcPr>
          <w:p>
            <w:pPr>
              <w:spacing w:after="0"/>
              <w:rPr>
                <w:sz w:val="22"/>
                <w:szCs w:val="22"/>
                <w:color w:val="auto"/>
              </w:rPr>
            </w:pPr>
          </w:p>
        </w:tc>
        <w:tc>
          <w:tcPr>
            <w:tcW w:w="4140" w:type="dxa"/>
            <w:vAlign w:val="bottom"/>
          </w:tcPr>
          <w:p>
            <w:pPr>
              <w:spacing w:after="0"/>
              <w:rPr>
                <w:sz w:val="22"/>
                <w:szCs w:val="22"/>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ignature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age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V</w:t>
      </w:r>
      <w:r>
        <w:rPr>
          <w:rFonts w:ascii="Times New Roman" w:cs="Times New Roman" w:eastAsia="Times New Roman" w:hAnsi="Times New Roman"/>
          <w:sz w:val="13"/>
          <w:szCs w:val="13"/>
          <w:b w:val="1"/>
          <w:bCs w:val="1"/>
          <w:color w:val="auto"/>
        </w:rPr>
        <w:t>oting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greement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612775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9" w:right="33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20"/>
          <w:szCs w:val="20"/>
          <w:b w:val="1"/>
          <w:bCs w:val="1"/>
          <w:color w:val="auto"/>
        </w:rPr>
        <w:t>Advent International GPE IX-B Limited Partnership</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Advent International GPE IX-C Limited Partnership</w:t>
      </w:r>
    </w:p>
    <w:p>
      <w:pPr>
        <w:ind w:left="20"/>
        <w:spacing w:after="0"/>
        <w:rPr>
          <w:sz w:val="20"/>
          <w:szCs w:val="20"/>
          <w:color w:val="auto"/>
        </w:rPr>
      </w:pPr>
      <w:r>
        <w:rPr>
          <w:rFonts w:ascii="Times New Roman" w:cs="Times New Roman" w:eastAsia="Times New Roman" w:hAnsi="Times New Roman"/>
          <w:sz w:val="20"/>
          <w:szCs w:val="20"/>
          <w:b w:val="1"/>
          <w:bCs w:val="1"/>
          <w:color w:val="auto"/>
        </w:rPr>
        <w:t>Advent International GPE IX-F Limited Partnership</w:t>
      </w:r>
    </w:p>
    <w:p>
      <w:pPr>
        <w:ind w:left="20"/>
        <w:spacing w:after="0"/>
        <w:rPr>
          <w:sz w:val="20"/>
          <w:szCs w:val="20"/>
          <w:color w:val="auto"/>
        </w:rPr>
      </w:pPr>
      <w:r>
        <w:rPr>
          <w:rFonts w:ascii="Times New Roman" w:cs="Times New Roman" w:eastAsia="Times New Roman" w:hAnsi="Times New Roman"/>
          <w:sz w:val="20"/>
          <w:szCs w:val="20"/>
          <w:b w:val="1"/>
          <w:bCs w:val="1"/>
          <w:color w:val="auto"/>
        </w:rPr>
        <w:t>Advent International GPE IX-G Limited Partnership</w:t>
      </w:r>
    </w:p>
    <w:p>
      <w:pPr>
        <w:ind w:left="20"/>
        <w:spacing w:after="0"/>
        <w:rPr>
          <w:sz w:val="20"/>
          <w:szCs w:val="20"/>
          <w:color w:val="auto"/>
        </w:rPr>
      </w:pPr>
      <w:r>
        <w:rPr>
          <w:rFonts w:ascii="Times New Roman" w:cs="Times New Roman" w:eastAsia="Times New Roman" w:hAnsi="Times New Roman"/>
          <w:sz w:val="20"/>
          <w:szCs w:val="20"/>
          <w:b w:val="1"/>
          <w:bCs w:val="1"/>
          <w:color w:val="auto"/>
        </w:rPr>
        <w:t>Advent International GPE IX-H Limited Partnership</w:t>
      </w:r>
    </w:p>
    <w:p>
      <w:pPr>
        <w:ind w:left="20"/>
        <w:spacing w:after="0"/>
        <w:rPr>
          <w:sz w:val="20"/>
          <w:szCs w:val="20"/>
          <w:color w:val="auto"/>
        </w:rPr>
      </w:pPr>
      <w:r>
        <w:rPr>
          <w:rFonts w:ascii="Times New Roman" w:cs="Times New Roman" w:eastAsia="Times New Roman" w:hAnsi="Times New Roman"/>
          <w:sz w:val="20"/>
          <w:szCs w:val="20"/>
          <w:b w:val="1"/>
          <w:bCs w:val="1"/>
          <w:color w:val="auto"/>
        </w:rPr>
        <w:t>Advent International GPE IX-I Limited Partnership</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GPE IX GP Limited Partnership, General Partner</w:t>
            </w:r>
          </w:p>
        </w:tc>
      </w:tr>
      <w:tr>
        <w:trPr>
          <w:trHeight w:val="256"/>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Advent International GPE IX, LLC, General Partner</w:t>
            </w:r>
          </w:p>
        </w:tc>
      </w:tr>
      <w:tr>
        <w:trPr>
          <w:trHeight w:val="25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Advent International, L.P., Manager</w:t>
            </w: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Advent International GP, LLC, General Partner</w:t>
            </w:r>
          </w:p>
        </w:tc>
      </w:tr>
      <w:tr>
        <w:trPr>
          <w:trHeight w:val="514"/>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Neil Crawford</w:t>
            </w:r>
          </w:p>
        </w:tc>
      </w:tr>
      <w:tr>
        <w:trPr>
          <w:trHeight w:val="24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Neil Crawford</w:t>
            </w: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Vice President of Finance – Fund Administration</w:t>
            </w:r>
          </w:p>
        </w:tc>
      </w:tr>
    </w:tbl>
    <w:p>
      <w:pPr>
        <w:spacing w:after="0" w:line="200" w:lineRule="exact"/>
        <w:rPr>
          <w:sz w:val="20"/>
          <w:szCs w:val="20"/>
          <w:color w:val="auto"/>
        </w:rPr>
      </w:pPr>
    </w:p>
    <w:p>
      <w:pPr>
        <w:spacing w:after="0" w:line="253" w:lineRule="exact"/>
        <w:rPr>
          <w:sz w:val="20"/>
          <w:szCs w:val="20"/>
          <w:color w:val="auto"/>
        </w:rPr>
      </w:pPr>
    </w:p>
    <w:p>
      <w:pPr>
        <w:ind w:left="20" w:right="4260"/>
        <w:spacing w:after="0" w:line="250" w:lineRule="auto"/>
        <w:rPr>
          <w:sz w:val="20"/>
          <w:szCs w:val="20"/>
          <w:color w:val="auto"/>
        </w:rPr>
      </w:pPr>
      <w:r>
        <w:rPr>
          <w:rFonts w:ascii="Times New Roman" w:cs="Times New Roman" w:eastAsia="Times New Roman" w:hAnsi="Times New Roman"/>
          <w:sz w:val="20"/>
          <w:szCs w:val="20"/>
          <w:b w:val="1"/>
          <w:bCs w:val="1"/>
          <w:color w:val="auto"/>
        </w:rPr>
        <w:t>Advent Partners GPE IX Cayman Limited Partnership Advent Partners GPE IX-A Cayman Limited Partnership Advent Partners GPE IX-B Cayman Limited Partnership Advent Partners GPE IX Limited Partnership Advent Partners GPE IX-A Limited Partnership</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10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AP GPE IX GP Limited Partnership, General Partner</w:t>
            </w:r>
          </w:p>
        </w:tc>
      </w:tr>
      <w:tr>
        <w:trPr>
          <w:trHeight w:val="257"/>
        </w:trPr>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10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Advent International GPE IX, LLC, General Partner</w:t>
            </w:r>
          </w:p>
        </w:tc>
      </w:tr>
      <w:tr>
        <w:trPr>
          <w:trHeight w:val="256"/>
        </w:trPr>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10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Advent International, L.P., Manager</w:t>
            </w:r>
          </w:p>
        </w:tc>
      </w:tr>
      <w:tr>
        <w:trPr>
          <w:trHeight w:val="258"/>
        </w:trPr>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10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Advent International GP, LLC, General Partner</w:t>
            </w:r>
          </w:p>
        </w:tc>
      </w:tr>
      <w:tr>
        <w:trPr>
          <w:trHeight w:val="514"/>
        </w:trPr>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10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Neil Crawford</w:t>
            </w:r>
          </w:p>
        </w:tc>
      </w:tr>
      <w:tr>
        <w:trPr>
          <w:trHeight w:val="247"/>
        </w:trPr>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Neil Crawford</w:t>
            </w:r>
          </w:p>
        </w:tc>
        <w:tc>
          <w:tcPr>
            <w:tcW w:w="5380" w:type="dxa"/>
            <w:vAlign w:val="bottom"/>
          </w:tcPr>
          <w:p>
            <w:pPr>
              <w:spacing w:after="0"/>
              <w:rPr>
                <w:sz w:val="21"/>
                <w:szCs w:val="21"/>
                <w:color w:val="auto"/>
              </w:rPr>
            </w:pPr>
          </w:p>
        </w:tc>
      </w:tr>
      <w:tr>
        <w:trPr>
          <w:trHeight w:val="258"/>
        </w:trPr>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10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Vice President of Finance – Fund Administration</w:t>
            </w:r>
          </w:p>
        </w:tc>
      </w:tr>
      <w:tr>
        <w:trPr>
          <w:trHeight w:val="675"/>
        </w:trPr>
        <w:tc>
          <w:tcPr>
            <w:tcW w:w="920" w:type="dxa"/>
            <w:vAlign w:val="bottom"/>
          </w:tcPr>
          <w:p>
            <w:pPr>
              <w:spacing w:after="0"/>
              <w:rPr>
                <w:sz w:val="24"/>
                <w:szCs w:val="24"/>
                <w:color w:val="auto"/>
              </w:rPr>
            </w:pPr>
          </w:p>
        </w:tc>
        <w:tc>
          <w:tcPr>
            <w:tcW w:w="10320" w:type="dxa"/>
            <w:vAlign w:val="bottom"/>
            <w:gridSpan w:val="2"/>
          </w:tcPr>
          <w:p>
            <w:pPr>
              <w:ind w:left="30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ignature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age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V</w:t>
            </w:r>
            <w:r>
              <w:rPr>
                <w:rFonts w:ascii="Times New Roman" w:cs="Times New Roman" w:eastAsia="Times New Roman" w:hAnsi="Times New Roman"/>
                <w:sz w:val="13"/>
                <w:szCs w:val="13"/>
                <w:b w:val="1"/>
                <w:bCs w:val="1"/>
                <w:color w:val="auto"/>
              </w:rPr>
              <w:t>oting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greement</w:t>
            </w:r>
            <w:r>
              <w:rPr>
                <w:rFonts w:ascii="Times New Roman" w:cs="Times New Roman" w:eastAsia="Times New Roman" w:hAnsi="Times New Roman"/>
                <w:sz w:val="20"/>
                <w:szCs w:val="20"/>
                <w:color w:val="auto"/>
              </w:rPr>
              <w:t>]</w:t>
            </w:r>
          </w:p>
        </w:tc>
      </w:tr>
      <w:tr>
        <w:trPr>
          <w:trHeight w:val="960"/>
        </w:trPr>
        <w:tc>
          <w:tcPr>
            <w:tcW w:w="9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20"/>
          <w:szCs w:val="20"/>
          <w:b w:val="1"/>
          <w:bCs w:val="1"/>
          <w:color w:val="auto"/>
        </w:rPr>
        <w:t>Advent Global Technology Limited Partnership</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Advent Global Technology-B Limited Partnership</w:t>
      </w:r>
    </w:p>
    <w:p>
      <w:pPr>
        <w:ind w:left="20"/>
        <w:spacing w:after="0"/>
        <w:rPr>
          <w:sz w:val="20"/>
          <w:szCs w:val="20"/>
          <w:color w:val="auto"/>
        </w:rPr>
      </w:pPr>
      <w:r>
        <w:rPr>
          <w:rFonts w:ascii="Times New Roman" w:cs="Times New Roman" w:eastAsia="Times New Roman" w:hAnsi="Times New Roman"/>
          <w:sz w:val="20"/>
          <w:szCs w:val="20"/>
          <w:b w:val="1"/>
          <w:bCs w:val="1"/>
          <w:color w:val="auto"/>
        </w:rPr>
        <w:t>Advent Global Technology-C Limited Partnership</w:t>
      </w:r>
    </w:p>
    <w:p>
      <w:pPr>
        <w:ind w:left="20"/>
        <w:spacing w:after="0"/>
        <w:rPr>
          <w:sz w:val="20"/>
          <w:szCs w:val="20"/>
          <w:color w:val="auto"/>
        </w:rPr>
      </w:pPr>
      <w:r>
        <w:rPr>
          <w:rFonts w:ascii="Times New Roman" w:cs="Times New Roman" w:eastAsia="Times New Roman" w:hAnsi="Times New Roman"/>
          <w:sz w:val="20"/>
          <w:szCs w:val="20"/>
          <w:b w:val="1"/>
          <w:bCs w:val="1"/>
          <w:color w:val="auto"/>
        </w:rPr>
        <w:t>Advent Global Technology-D Limited Partnership</w:t>
      </w:r>
    </w:p>
    <w:p>
      <w:pPr>
        <w:ind w:left="20"/>
        <w:spacing w:after="0"/>
        <w:rPr>
          <w:sz w:val="20"/>
          <w:szCs w:val="20"/>
          <w:color w:val="auto"/>
        </w:rPr>
      </w:pPr>
      <w:r>
        <w:rPr>
          <w:rFonts w:ascii="Times New Roman" w:cs="Times New Roman" w:eastAsia="Times New Roman" w:hAnsi="Times New Roman"/>
          <w:sz w:val="20"/>
          <w:szCs w:val="20"/>
          <w:b w:val="1"/>
          <w:bCs w:val="1"/>
          <w:color w:val="auto"/>
        </w:rPr>
        <w:t>Advent Global Technology Strategic Investors Limited Partnership</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Advent Global Technology GP Limited Partnership, General Partner</w:t>
            </w:r>
          </w:p>
        </w:tc>
      </w:tr>
      <w:tr>
        <w:trPr>
          <w:trHeight w:val="25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Advent Global Technology LLC,  General Partner</w:t>
            </w:r>
          </w:p>
        </w:tc>
      </w:t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Advent International, L.P.,</w:t>
            </w:r>
          </w:p>
        </w:tc>
      </w:tr>
      <w:tr>
        <w:trPr>
          <w:trHeight w:val="257"/>
        </w:trPr>
        <w:tc>
          <w:tcPr>
            <w:tcW w:w="90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Manager</w:t>
            </w: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Advent International GP, LLC,</w:t>
            </w:r>
          </w:p>
        </w:tc>
      </w:tr>
      <w:tr>
        <w:trPr>
          <w:trHeight w:val="258"/>
        </w:trPr>
        <w:tc>
          <w:tcPr>
            <w:tcW w:w="900" w:type="dxa"/>
            <w:vAlign w:val="bottom"/>
          </w:tcPr>
          <w:p>
            <w:pPr>
              <w:spacing w:after="0"/>
              <w:rPr>
                <w:sz w:val="22"/>
                <w:szCs w:val="22"/>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General Partner</w:t>
            </w:r>
          </w:p>
        </w:tc>
      </w:tr>
      <w:tr>
        <w:trPr>
          <w:trHeight w:val="514"/>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Neil Crawford</w:t>
            </w:r>
          </w:p>
        </w:tc>
      </w:tr>
      <w:tr>
        <w:trPr>
          <w:trHeight w:val="24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Neil Crawford</w:t>
            </w:r>
          </w:p>
        </w:tc>
        <w:tc>
          <w:tcPr>
            <w:tcW w:w="500" w:type="dxa"/>
            <w:vAlign w:val="bottom"/>
          </w:tcPr>
          <w:p>
            <w:pPr>
              <w:spacing w:after="0"/>
              <w:rPr>
                <w:sz w:val="21"/>
                <w:szCs w:val="2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Vice President of Finance – Fund Administration</w:t>
            </w:r>
          </w:p>
        </w:tc>
      </w:tr>
    </w:tbl>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Advent Partners AGT Limited Partnership</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Advent Partners AGT-A Limited Partnership</w:t>
      </w:r>
    </w:p>
    <w:p>
      <w:pPr>
        <w:ind w:left="20"/>
        <w:spacing w:after="0"/>
        <w:rPr>
          <w:sz w:val="20"/>
          <w:szCs w:val="20"/>
          <w:color w:val="auto"/>
        </w:rPr>
      </w:pPr>
      <w:r>
        <w:rPr>
          <w:rFonts w:ascii="Times New Roman" w:cs="Times New Roman" w:eastAsia="Times New Roman" w:hAnsi="Times New Roman"/>
          <w:sz w:val="20"/>
          <w:szCs w:val="20"/>
          <w:b w:val="1"/>
          <w:bCs w:val="1"/>
          <w:color w:val="auto"/>
        </w:rPr>
        <w:t>Advent Partners AGT Cayman Limited Partnership</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10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AP AGT GP Limited Partnership, General Partner</w:t>
            </w:r>
          </w:p>
        </w:tc>
      </w:tr>
      <w:tr>
        <w:trPr>
          <w:trHeight w:val="257"/>
        </w:trPr>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10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Advent Global Technology LLC,  General Partner</w:t>
            </w: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10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Advent International, L.P.,</w:t>
            </w:r>
          </w:p>
        </w:tc>
      </w:tr>
      <w:tr>
        <w:trPr>
          <w:trHeight w:val="256"/>
        </w:trPr>
        <w:tc>
          <w:tcPr>
            <w:tcW w:w="920" w:type="dxa"/>
            <w:vAlign w:val="bottom"/>
          </w:tcPr>
          <w:p>
            <w:pPr>
              <w:spacing w:after="0"/>
              <w:rPr>
                <w:sz w:val="22"/>
                <w:szCs w:val="22"/>
                <w:color w:val="auto"/>
              </w:rPr>
            </w:pPr>
          </w:p>
        </w:tc>
        <w:tc>
          <w:tcPr>
            <w:tcW w:w="10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Manager</w:t>
            </w: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10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Advent International GP, LLC,</w:t>
            </w:r>
          </w:p>
        </w:tc>
      </w:tr>
      <w:tr>
        <w:trPr>
          <w:trHeight w:val="258"/>
        </w:trPr>
        <w:tc>
          <w:tcPr>
            <w:tcW w:w="920" w:type="dxa"/>
            <w:vAlign w:val="bottom"/>
          </w:tcPr>
          <w:p>
            <w:pPr>
              <w:spacing w:after="0"/>
              <w:rPr>
                <w:sz w:val="22"/>
                <w:szCs w:val="22"/>
                <w:color w:val="auto"/>
              </w:rPr>
            </w:pPr>
          </w:p>
        </w:tc>
        <w:tc>
          <w:tcPr>
            <w:tcW w:w="10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General Partner</w:t>
            </w:r>
          </w:p>
        </w:tc>
      </w:tr>
      <w:tr>
        <w:trPr>
          <w:trHeight w:val="514"/>
        </w:trPr>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10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Neil Crawford</w:t>
            </w:r>
          </w:p>
        </w:tc>
      </w:tr>
      <w:tr>
        <w:trPr>
          <w:trHeight w:val="247"/>
        </w:trPr>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Neil Crawford</w:t>
            </w:r>
          </w:p>
        </w:tc>
        <w:tc>
          <w:tcPr>
            <w:tcW w:w="5380" w:type="dxa"/>
            <w:vAlign w:val="bottom"/>
          </w:tcPr>
          <w:p>
            <w:pPr>
              <w:spacing w:after="0"/>
              <w:rPr>
                <w:sz w:val="21"/>
                <w:szCs w:val="21"/>
                <w:color w:val="auto"/>
              </w:rPr>
            </w:pPr>
          </w:p>
        </w:tc>
      </w:tr>
      <w:tr>
        <w:trPr>
          <w:trHeight w:val="258"/>
        </w:trPr>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10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Vice President of Finance – Fund Administration</w:t>
            </w:r>
          </w:p>
        </w:tc>
      </w:tr>
      <w:tr>
        <w:trPr>
          <w:trHeight w:val="905"/>
        </w:trPr>
        <w:tc>
          <w:tcPr>
            <w:tcW w:w="920" w:type="dxa"/>
            <w:vAlign w:val="bottom"/>
          </w:tcPr>
          <w:p>
            <w:pPr>
              <w:spacing w:after="0"/>
              <w:rPr>
                <w:sz w:val="24"/>
                <w:szCs w:val="24"/>
                <w:color w:val="auto"/>
              </w:rPr>
            </w:pPr>
          </w:p>
        </w:tc>
        <w:tc>
          <w:tcPr>
            <w:tcW w:w="10320" w:type="dxa"/>
            <w:vAlign w:val="bottom"/>
            <w:gridSpan w:val="2"/>
          </w:tcPr>
          <w:p>
            <w:pPr>
              <w:ind w:left="30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ignature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age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V</w:t>
            </w:r>
            <w:r>
              <w:rPr>
                <w:rFonts w:ascii="Times New Roman" w:cs="Times New Roman" w:eastAsia="Times New Roman" w:hAnsi="Times New Roman"/>
                <w:sz w:val="13"/>
                <w:szCs w:val="13"/>
                <w:b w:val="1"/>
                <w:bCs w:val="1"/>
                <w:color w:val="auto"/>
              </w:rPr>
              <w:t>oting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greement</w:t>
            </w:r>
            <w:r>
              <w:rPr>
                <w:rFonts w:ascii="Times New Roman" w:cs="Times New Roman" w:eastAsia="Times New Roman" w:hAnsi="Times New Roman"/>
                <w:sz w:val="20"/>
                <w:szCs w:val="20"/>
                <w:color w:val="auto"/>
              </w:rPr>
              <w:t>]</w:t>
            </w:r>
          </w:p>
        </w:tc>
      </w:tr>
      <w:tr>
        <w:trPr>
          <w:trHeight w:val="960"/>
        </w:trPr>
        <w:tc>
          <w:tcPr>
            <w:tcW w:w="9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9"/>
          <w:szCs w:val="19"/>
          <w:b w:val="1"/>
          <w:bCs w:val="1"/>
          <w:color w:val="auto"/>
        </w:rPr>
        <w:t>Advent Global Opportunities Master Limited Partnership (formerly Sunley House Capital Master Limited Partnership)</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Advent Global Opportunities GP LP (formerly Sunley House Capital GP LP), its General Partner</w:t>
            </w: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Advent Global Opportunities GP LLC (formerly Sunley House Capital GP LLC), its General Partner</w:t>
            </w:r>
          </w:p>
        </w:tc>
      </w:tr>
      <w:tr>
        <w:trPr>
          <w:trHeight w:val="514"/>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Mohammed Anjarwala</w:t>
            </w:r>
          </w:p>
        </w:tc>
      </w:tr>
      <w:tr>
        <w:trPr>
          <w:trHeight w:val="24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Mohammed Anjarwala</w:t>
            </w:r>
          </w:p>
        </w:tc>
        <w:tc>
          <w:tcPr>
            <w:tcW w:w="3060" w:type="dxa"/>
            <w:vAlign w:val="bottom"/>
          </w:tcPr>
          <w:p>
            <w:pPr>
              <w:spacing w:after="0"/>
              <w:rPr>
                <w:sz w:val="21"/>
                <w:szCs w:val="2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ignature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age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V</w:t>
      </w:r>
      <w:r>
        <w:rPr>
          <w:rFonts w:ascii="Times New Roman" w:cs="Times New Roman" w:eastAsia="Times New Roman" w:hAnsi="Times New Roman"/>
          <w:sz w:val="13"/>
          <w:szCs w:val="13"/>
          <w:b w:val="1"/>
          <w:bCs w:val="1"/>
          <w:color w:val="auto"/>
        </w:rPr>
        <w:t>oting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greement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612775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40" w:top="1422" w:right="1419" w:bottom="1440" w:gutter="0" w:footer="0" w:header="0"/>
        </w:sectPr>
      </w:pPr>
    </w:p>
    <w:bookmarkStart w:id="17" w:name="page18"/>
    <w:bookmarkEnd w:id="17"/>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Definitive Healthcare Reports Financial Results for Third Quarter Fiscal Year 2024</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Third quarter revenue exceeded guidance, and the Company announced a $100 million repurchase authorization</w:t>
      </w:r>
    </w:p>
    <w:p>
      <w:pPr>
        <w:spacing w:after="0" w:line="92" w:lineRule="exact"/>
        <w:rPr>
          <w:sz w:val="20"/>
          <w:szCs w:val="20"/>
          <w:color w:val="auto"/>
        </w:rPr>
      </w:pPr>
    </w:p>
    <w:p>
      <w:pPr>
        <w:jc w:val="both"/>
        <w:ind w:right="60"/>
        <w:spacing w:after="0" w:line="242" w:lineRule="auto"/>
        <w:rPr>
          <w:sz w:val="20"/>
          <w:szCs w:val="20"/>
          <w:color w:val="auto"/>
        </w:rPr>
      </w:pPr>
      <w:r>
        <w:rPr>
          <w:rFonts w:ascii="Arial" w:cs="Arial" w:eastAsia="Arial" w:hAnsi="Arial"/>
          <w:sz w:val="20"/>
          <w:szCs w:val="20"/>
          <w:b w:val="1"/>
          <w:bCs w:val="1"/>
          <w:color w:val="auto"/>
        </w:rPr>
        <w:t xml:space="preserve">Framingham, MA (November 7, 2024) </w:t>
      </w:r>
      <w:r>
        <w:rPr>
          <w:rFonts w:ascii="Arial" w:cs="Arial" w:eastAsia="Arial" w:hAnsi="Arial"/>
          <w:sz w:val="20"/>
          <w:szCs w:val="20"/>
          <w:color w:val="auto"/>
        </w:rPr>
        <w:t>– Definitive Healthcare Corp. (“Definitive Healthcare” or the “Company”) (Nasdaq: DH),</w:t>
      </w:r>
      <w:r>
        <w:rPr>
          <w:rFonts w:ascii="Arial" w:cs="Arial" w:eastAsia="Arial" w:hAnsi="Arial"/>
          <w:sz w:val="20"/>
          <w:szCs w:val="20"/>
          <w:b w:val="1"/>
          <w:bCs w:val="1"/>
          <w:color w:val="auto"/>
        </w:rPr>
        <w:t xml:space="preserve"> </w:t>
      </w:r>
      <w:r>
        <w:rPr>
          <w:rFonts w:ascii="Arial" w:cs="Arial" w:eastAsia="Arial" w:hAnsi="Arial"/>
          <w:sz w:val="20"/>
          <w:szCs w:val="20"/>
          <w:color w:val="auto"/>
        </w:rPr>
        <w:t>an industry leader in healthcare commercial intelligence, today announced financial results for the quarter ended September 30, 2024.</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2024 Financial Highlights:</w:t>
      </w:r>
    </w:p>
    <w:p>
      <w:pPr>
        <w:spacing w:after="0" w:line="202"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was $62.7 million, a decrease of 4% from $65.3 million in Q3 2023.</w:t>
      </w:r>
    </w:p>
    <w:p>
      <w:pPr>
        <w:spacing w:after="0" w:line="214" w:lineRule="exact"/>
        <w:rPr>
          <w:rFonts w:ascii="Times New Roman" w:cs="Times New Roman" w:eastAsia="Times New Roman" w:hAnsi="Times New Roman"/>
          <w:sz w:val="20"/>
          <w:szCs w:val="20"/>
          <w:color w:val="auto"/>
        </w:rPr>
      </w:pPr>
    </w:p>
    <w:p>
      <w:pPr>
        <w:jc w:val="both"/>
        <w:ind w:left="1020" w:hanging="503"/>
        <w:spacing w:after="0" w:line="242" w:lineRule="auto"/>
        <w:tabs>
          <w:tab w:leader="none" w:pos="10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Net Loss</w:t>
      </w:r>
      <w:r>
        <w:rPr>
          <w:rFonts w:ascii="Arial" w:cs="Arial" w:eastAsia="Arial" w:hAnsi="Arial"/>
          <w:sz w:val="20"/>
          <w:szCs w:val="20"/>
          <w:color w:val="auto"/>
        </w:rPr>
        <w:t>, inclusive of goodwill impairment charges of $228.2 million, was $(187.8) million, or (300%) of revenue,</w:t>
      </w:r>
      <w:r>
        <w:rPr>
          <w:rFonts w:ascii="Arial" w:cs="Arial" w:eastAsia="Arial" w:hAnsi="Arial"/>
          <w:sz w:val="20"/>
          <w:szCs w:val="20"/>
          <w:b w:val="1"/>
          <w:bCs w:val="1"/>
          <w:color w:val="auto"/>
        </w:rPr>
        <w:t xml:space="preserve"> </w:t>
      </w:r>
      <w:r>
        <w:rPr>
          <w:rFonts w:ascii="Arial" w:cs="Arial" w:eastAsia="Arial" w:hAnsi="Arial"/>
          <w:sz w:val="20"/>
          <w:szCs w:val="20"/>
          <w:color w:val="auto"/>
        </w:rPr>
        <w:t>down 24% compared to $(248.7) million, inclusive of goodwill impairment charges of $287.4 million, or (381%) of revenue in Q3 2023.</w:t>
      </w:r>
    </w:p>
    <w:p>
      <w:pPr>
        <w:spacing w:after="0" w:line="16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was $15.4 million, compared to $14.6 million in Q3 2023.</w:t>
      </w:r>
    </w:p>
    <w:p>
      <w:pPr>
        <w:spacing w:after="0" w:line="214" w:lineRule="exact"/>
        <w:rPr>
          <w:rFonts w:ascii="Times New Roman" w:cs="Times New Roman" w:eastAsia="Times New Roman" w:hAnsi="Times New Roman"/>
          <w:sz w:val="20"/>
          <w:szCs w:val="20"/>
          <w:color w:val="auto"/>
        </w:rPr>
      </w:pPr>
    </w:p>
    <w:p>
      <w:pPr>
        <w:ind w:left="1020" w:hanging="503"/>
        <w:spacing w:after="0" w:line="259" w:lineRule="auto"/>
        <w:tabs>
          <w:tab w:leader="none" w:pos="10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was $20.6 million, down 5% from Q3 2023, and 33% of revenue, compared to $21.7 million, or</w:t>
      </w:r>
      <w:r>
        <w:rPr>
          <w:rFonts w:ascii="Arial" w:cs="Arial" w:eastAsia="Arial" w:hAnsi="Arial"/>
          <w:sz w:val="20"/>
          <w:szCs w:val="20"/>
          <w:b w:val="1"/>
          <w:bCs w:val="1"/>
          <w:color w:val="auto"/>
        </w:rPr>
        <w:t xml:space="preserve"> </w:t>
      </w:r>
      <w:r>
        <w:rPr>
          <w:rFonts w:ascii="Arial" w:cs="Arial" w:eastAsia="Arial" w:hAnsi="Arial"/>
          <w:sz w:val="20"/>
          <w:szCs w:val="20"/>
          <w:color w:val="auto"/>
        </w:rPr>
        <w:t>33% of revenue in Q3 2023.</w:t>
      </w:r>
    </w:p>
    <w:p>
      <w:pPr>
        <w:spacing w:after="0" w:line="150"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Cash Flow from Operations </w:t>
      </w:r>
      <w:r>
        <w:rPr>
          <w:rFonts w:ascii="Arial" w:cs="Arial" w:eastAsia="Arial" w:hAnsi="Arial"/>
          <w:sz w:val="20"/>
          <w:szCs w:val="20"/>
          <w:color w:val="auto"/>
        </w:rPr>
        <w:t>was $19.4 million in the quarter.</w:t>
      </w:r>
    </w:p>
    <w:p>
      <w:pPr>
        <w:spacing w:after="0" w:line="214"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Unlevered Free Cash Flow </w:t>
      </w:r>
      <w:r>
        <w:rPr>
          <w:rFonts w:ascii="Arial" w:cs="Arial" w:eastAsia="Arial" w:hAnsi="Arial"/>
          <w:sz w:val="20"/>
          <w:szCs w:val="20"/>
          <w:color w:val="auto"/>
        </w:rPr>
        <w:t>was $24.3 million in the quarter.</w:t>
      </w:r>
    </w:p>
    <w:p>
      <w:pPr>
        <w:spacing w:after="0" w:line="200" w:lineRule="exact"/>
        <w:rPr>
          <w:sz w:val="20"/>
          <w:szCs w:val="20"/>
          <w:color w:val="auto"/>
        </w:rPr>
      </w:pPr>
    </w:p>
    <w:p>
      <w:pPr>
        <w:spacing w:after="0" w:line="233" w:lineRule="exact"/>
        <w:rPr>
          <w:sz w:val="20"/>
          <w:szCs w:val="20"/>
          <w:color w:val="auto"/>
        </w:rPr>
      </w:pPr>
    </w:p>
    <w:p>
      <w:pPr>
        <w:ind w:right="200"/>
        <w:spacing w:after="0" w:line="234" w:lineRule="auto"/>
        <w:rPr>
          <w:sz w:val="20"/>
          <w:szCs w:val="20"/>
          <w:color w:val="auto"/>
        </w:rPr>
      </w:pPr>
      <w:r>
        <w:rPr>
          <w:rFonts w:ascii="Arial" w:cs="Arial" w:eastAsia="Arial" w:hAnsi="Arial"/>
          <w:sz w:val="20"/>
          <w:szCs w:val="20"/>
          <w:color w:val="auto"/>
        </w:rPr>
        <w:t>“Our financial performance this quarter exceeded the high end of our guidance on revenue, adjusted net income, and adjusted EBITDA,” said Kevin Coop, CEO of Definitive Healthcare. “We experienced an improvement in expansion sales compared to Q2, and were pleased to welcome back several former customers, who either saw improvements in their financial situations or recognized the strategic value they were missing by not having access to our data and solutions. While it’s still early, we view these dynamics as promising indicators of momentum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Recent Business and Operating Highlights: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 Wins</w:t>
      </w:r>
    </w:p>
    <w:p>
      <w:pPr>
        <w:spacing w:after="0" w:line="204" w:lineRule="exact"/>
        <w:rPr>
          <w:sz w:val="20"/>
          <w:szCs w:val="20"/>
          <w:color w:val="auto"/>
        </w:rPr>
      </w:pPr>
    </w:p>
    <w:p>
      <w:pPr>
        <w:ind w:right="280"/>
        <w:spacing w:after="0" w:line="241" w:lineRule="auto"/>
        <w:rPr>
          <w:sz w:val="20"/>
          <w:szCs w:val="20"/>
          <w:color w:val="auto"/>
        </w:rPr>
      </w:pPr>
      <w:r>
        <w:rPr>
          <w:rFonts w:ascii="Arial" w:cs="Arial" w:eastAsia="Arial" w:hAnsi="Arial"/>
          <w:sz w:val="20"/>
          <w:szCs w:val="20"/>
          <w:color w:val="auto"/>
        </w:rPr>
        <w:t>In the third quarter, Definitive Healthcare grew its enterprise customer base by 1 year-over-year, ending the quarter with 530 enterprise customers, defined as those customers with more than $100,000 in annual recurring revenue. Customer wins included:</w:t>
      </w:r>
    </w:p>
    <w:p>
      <w:pPr>
        <w:spacing w:after="0" w:line="63" w:lineRule="exact"/>
        <w:rPr>
          <w:sz w:val="20"/>
          <w:szCs w:val="20"/>
          <w:color w:val="auto"/>
        </w:rPr>
      </w:pPr>
    </w:p>
    <w:p>
      <w:pPr>
        <w:ind w:left="1020" w:right="80" w:hanging="503"/>
        <w:spacing w:after="0" w:line="241" w:lineRule="auto"/>
        <w:tabs>
          <w:tab w:leader="none" w:pos="102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A leading health organization dedicated to Alzheimer’s care, support and research recently returned to Definitive Healthcare in Q3 2024, after switching to a lower-cost alternative in 2023. They cited our comprehensive data, and strong commitment to partnering with them for success.</w:t>
      </w:r>
    </w:p>
    <w:p>
      <w:pPr>
        <w:spacing w:after="0" w:line="62" w:lineRule="exact"/>
        <w:rPr>
          <w:rFonts w:ascii="Times New Roman" w:cs="Times New Roman" w:eastAsia="Times New Roman" w:hAnsi="Times New Roman"/>
          <w:sz w:val="20"/>
          <w:szCs w:val="20"/>
          <w:color w:val="auto"/>
        </w:rPr>
      </w:pPr>
    </w:p>
    <w:p>
      <w:pPr>
        <w:ind w:left="1020" w:right="400" w:hanging="503"/>
        <w:spacing w:after="0" w:line="236" w:lineRule="auto"/>
        <w:tabs>
          <w:tab w:leader="none" w:pos="102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A California-based pharmaceutical company, dedicated to developing life-changing treatments for ophthalmic diseases, has chosen Definitive Healthcare to assess the market potential for a groundbreaking long-term drug delivery platform. Our data and insights are empowering them to better understand the landscape of surgeons performing minimally invasive glaucoma surgeries, enabling more informed strategic decisions.</w:t>
      </w:r>
    </w:p>
    <w:p>
      <w:pPr>
        <w:spacing w:after="0" w:line="66" w:lineRule="exact"/>
        <w:rPr>
          <w:rFonts w:ascii="Times New Roman" w:cs="Times New Roman" w:eastAsia="Times New Roman" w:hAnsi="Times New Roman"/>
          <w:sz w:val="20"/>
          <w:szCs w:val="20"/>
          <w:color w:val="auto"/>
        </w:rPr>
      </w:pPr>
    </w:p>
    <w:p>
      <w:pPr>
        <w:ind w:left="1020" w:right="80" w:hanging="503"/>
        <w:spacing w:after="0" w:line="234" w:lineRule="auto"/>
        <w:tabs>
          <w:tab w:leader="none" w:pos="102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A specialty food and beverage company catering to individuals with swallowing difficulties has chosen Definitive Healthcare to support their sales and marketing efforts. Their sales team is leveraging View to engage physicians and skilled nursing facilities, who play a critical role as key influencers and referrers for these specialized products. Their marketing team will be using Definitive Healthcare’s Populi platform to drive targeted digital marketing campaigns aimed at consumers with specific dietary needs.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w:t>
      </w:r>
    </w:p>
    <w:p>
      <w:pPr>
        <w:spacing w:after="0" w:line="204"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On November 1, 2024, the Company’s Board of Directors authorized a stock repurchase program of up to an aggregate of $100.0 million of its Class A Common Stock, which expires on December 31, 2025, and which will take effect upon the expiration or completion of the Company’s previously announced $20.0 million stock repurchase program. The repurchases will be made from time to time on the open market at prevailing market prices or in negotiated transactions off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4" w:right="45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Executive Transition</w:t>
      </w:r>
    </w:p>
    <w:p>
      <w:pPr>
        <w:spacing w:after="0" w:line="204"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On November 7, 2024, the Company announced that, following discussions regarding the scope of the role of Chief Financial Officer, Richard Booth, the Company’s Chief Financial Officer, and the Company agreed that Mr. Booth will be leaving the Company effective June 1, 2025. The Company will be commencing a search, which will include both internal and external candidates, to identify Mr. Booth’s successor prior to his departure date. “I want to thank Rick for his many contributions over the last four years, including establishing a strong finance team, taking the company public, and acting as a strategic sounding board to both management and the board,” said Kevin Coop, CEO of Definitive Healthcare. “We have every confidence in a smooth CFO transition.”</w:t>
      </w:r>
    </w:p>
    <w:p>
      <w:pPr>
        <w:spacing w:after="0" w:line="172" w:lineRule="exact"/>
        <w:rPr>
          <w:sz w:val="20"/>
          <w:szCs w:val="20"/>
          <w:color w:val="auto"/>
        </w:rPr>
      </w:pPr>
    </w:p>
    <w:p>
      <w:pPr>
        <w:ind w:right="360"/>
        <w:spacing w:after="0" w:line="241" w:lineRule="auto"/>
        <w:rPr>
          <w:sz w:val="20"/>
          <w:szCs w:val="20"/>
          <w:color w:val="auto"/>
        </w:rPr>
      </w:pPr>
      <w:r>
        <w:rPr>
          <w:rFonts w:ascii="Arial" w:cs="Arial" w:eastAsia="Arial" w:hAnsi="Arial"/>
          <w:sz w:val="20"/>
          <w:szCs w:val="20"/>
          <w:color w:val="auto"/>
        </w:rPr>
        <w:t>“The past four years at Definitive Healthcare have been an incredible experience, including multiple financings and the opportunity to work with an amazing team of people,” said Richard Booth, CFO of Definitive Healthcare. “I am proud of the team’s accomplishments and believe DH is well positioned to deliver long-term growth and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04" w:right="5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Business Outlook</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Based on information as of November 7, 2024, the Company is issuing the following financial guidance.</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2024:</w:t>
      </w:r>
    </w:p>
    <w:p>
      <w:pPr>
        <w:spacing w:after="0" w:line="94"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is expected to be in the range of $60.0 – $61.0 million.</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Operating Income </w:t>
      </w:r>
      <w:r>
        <w:rPr>
          <w:rFonts w:ascii="Arial" w:cs="Arial" w:eastAsia="Arial" w:hAnsi="Arial"/>
          <w:sz w:val="20"/>
          <w:szCs w:val="20"/>
          <w:color w:val="auto"/>
        </w:rPr>
        <w:t>is expected to be in the range of $14.0 – $15.0 million.</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Adjusted EBITDA </w:t>
      </w:r>
      <w:r>
        <w:rPr>
          <w:rFonts w:ascii="Arial" w:cs="Arial" w:eastAsia="Arial" w:hAnsi="Arial"/>
          <w:sz w:val="19"/>
          <w:szCs w:val="19"/>
          <w:color w:val="auto"/>
        </w:rPr>
        <w:t>is expected to be in the range of $16.0 – $17.0 million, and 26 – 28 % adjusted EBITDA margin.</w:t>
      </w:r>
    </w:p>
    <w:p>
      <w:pPr>
        <w:spacing w:after="0" w:line="118"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is expected to be $10.5 – $11.5 million.</w:t>
      </w:r>
    </w:p>
    <w:p>
      <w:pPr>
        <w:spacing w:after="0" w:line="106" w:lineRule="exact"/>
        <w:rPr>
          <w:rFonts w:ascii="Times New Roman" w:cs="Times New Roman" w:eastAsia="Times New Roman" w:hAnsi="Times New Roman"/>
          <w:sz w:val="20"/>
          <w:szCs w:val="20"/>
          <w:color w:val="auto"/>
        </w:rPr>
      </w:pPr>
    </w:p>
    <w:p>
      <w:pPr>
        <w:ind w:left="1020" w:right="60" w:hanging="503"/>
        <w:spacing w:after="0" w:line="259" w:lineRule="auto"/>
        <w:tabs>
          <w:tab w:leader="none" w:pos="102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Per Diluted Share </w:t>
      </w:r>
      <w:r>
        <w:rPr>
          <w:rFonts w:ascii="Arial" w:cs="Arial" w:eastAsia="Arial" w:hAnsi="Arial"/>
          <w:sz w:val="20"/>
          <w:szCs w:val="20"/>
          <w:color w:val="auto"/>
        </w:rPr>
        <w:t>is expected to be approximately $0.07 per share on approximately 154.4</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weighted-average shares outstanding.</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2024:</w:t>
      </w:r>
    </w:p>
    <w:p>
      <w:pPr>
        <w:spacing w:after="0" w:line="94"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is expected to be in the range of $250.0 – $251.0 million.</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Operating Income </w:t>
      </w:r>
      <w:r>
        <w:rPr>
          <w:rFonts w:ascii="Arial" w:cs="Arial" w:eastAsia="Arial" w:hAnsi="Arial"/>
          <w:sz w:val="20"/>
          <w:szCs w:val="20"/>
          <w:color w:val="auto"/>
        </w:rPr>
        <w:t>is expected to be in the range of $71.0 – $72.0 million.</w:t>
      </w:r>
    </w:p>
    <w:p>
      <w:pPr>
        <w:spacing w:after="0" w:line="106" w:lineRule="exact"/>
        <w:rPr>
          <w:rFonts w:ascii="Times New Roman" w:cs="Times New Roman" w:eastAsia="Times New Roman" w:hAnsi="Times New Roman"/>
          <w:sz w:val="20"/>
          <w:szCs w:val="20"/>
          <w:color w:val="auto"/>
        </w:rPr>
      </w:pPr>
    </w:p>
    <w:p>
      <w:pPr>
        <w:ind w:left="1020" w:hanging="503"/>
        <w:spacing w:after="0" w:line="259"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is expected to be in the range of $77.5 – $78.5 million, for a full-year adjusted EBITDA margin of</w:t>
      </w:r>
      <w:r>
        <w:rPr>
          <w:rFonts w:ascii="Arial" w:cs="Arial" w:eastAsia="Arial" w:hAnsi="Arial"/>
          <w:sz w:val="20"/>
          <w:szCs w:val="20"/>
          <w:b w:val="1"/>
          <w:bCs w:val="1"/>
          <w:color w:val="auto"/>
        </w:rPr>
        <w:t xml:space="preserve"> </w:t>
      </w:r>
      <w:r>
        <w:rPr>
          <w:rFonts w:ascii="Arial" w:cs="Arial" w:eastAsia="Arial" w:hAnsi="Arial"/>
          <w:sz w:val="20"/>
          <w:szCs w:val="20"/>
          <w:color w:val="auto"/>
        </w:rPr>
        <w:t>~31%.</w:t>
      </w:r>
    </w:p>
    <w:p>
      <w:pPr>
        <w:spacing w:after="0" w:line="42"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is expected to be $53.0 – $54.0 million.</w:t>
      </w:r>
    </w:p>
    <w:p>
      <w:pPr>
        <w:spacing w:after="0" w:line="106" w:lineRule="exact"/>
        <w:rPr>
          <w:rFonts w:ascii="Times New Roman" w:cs="Times New Roman" w:eastAsia="Times New Roman" w:hAnsi="Times New Roman"/>
          <w:sz w:val="20"/>
          <w:szCs w:val="20"/>
          <w:color w:val="auto"/>
        </w:rPr>
      </w:pPr>
    </w:p>
    <w:p>
      <w:pPr>
        <w:ind w:left="1020" w:hanging="503"/>
        <w:spacing w:after="0" w:line="259"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Per Diluted Share </w:t>
      </w:r>
      <w:r>
        <w:rPr>
          <w:rFonts w:ascii="Arial" w:cs="Arial" w:eastAsia="Arial" w:hAnsi="Arial"/>
          <w:sz w:val="20"/>
          <w:szCs w:val="20"/>
          <w:color w:val="auto"/>
        </w:rPr>
        <w:t>is expected to be $0.34 – $0.35 per share on approximately 155.9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weighted-average shares outstanding.</w:t>
      </w:r>
    </w:p>
    <w:p>
      <w:pPr>
        <w:spacing w:after="0" w:line="153"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i w:val="1"/>
          <w:iCs w:val="1"/>
          <w:color w:val="auto"/>
        </w:rPr>
        <w:t>We do not provide a quantitative reconciliation of the forward-looking non-GAAP financial measures included in this press release to the most directly comparable GAAP measures due to the high variability and difficulty to predict certain items excluded from these non-GAAP financial measures; in particular, the effects of equity-based compensation expense, taxes and amounts under the tax receivable agreement, deferred tax assets and deferred tax liabilities, and transaction, integration, and restructuring expenses. We expect the variability of these excluded items may have a significant, and potentially unpredictable, impact on our future GAAP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4" w:right="439" w:bottom="144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Conference Call Information</w:t>
      </w:r>
    </w:p>
    <w:p>
      <w:pPr>
        <w:spacing w:after="0" w:line="204"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Definitive Healthcare will host a conference call today November 7, 2024, at 5:00 p.m. (Eastern Time) to discuss the Company's full financial results and current business outlook. Participants may access the call at 1-877-358-7298 or 1-848-488-9244. Shortly after the conclusion of the call, a replay of this conference call will be available through December 7, 2024, at 1-800-645-7964 or 1-757-849-6722. The replay passcode is 1765#. A live audio webcast of the event will be available on Definitive Healthcare’s Investor Relations website at https://ir.definitivehc.com/.</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Definitive Healthcare</w:t>
      </w:r>
    </w:p>
    <w:p>
      <w:pPr>
        <w:spacing w:after="0" w:line="204"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At Definitive Healthcare, our passion is to transform data, analytics and expertise into healthcare commercial intelligence. We help clients uncover the right markets, opportunities and people, so they can shape tomorrow’s healthcare industry. Learn more at definitivehc.com.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Forward-Looking Statements</w:t>
      </w:r>
    </w:p>
    <w:p>
      <w:pPr>
        <w:spacing w:after="0" w:line="204" w:lineRule="exact"/>
        <w:rPr>
          <w:sz w:val="20"/>
          <w:szCs w:val="20"/>
          <w:color w:val="auto"/>
        </w:rPr>
      </w:pPr>
    </w:p>
    <w:p>
      <w:pPr>
        <w:spacing w:after="0" w:line="228" w:lineRule="auto"/>
        <w:rPr>
          <w:sz w:val="20"/>
          <w:szCs w:val="20"/>
          <w:color w:val="auto"/>
        </w:rPr>
      </w:pPr>
      <w:r>
        <w:rPr>
          <w:rFonts w:ascii="Arial" w:cs="Arial" w:eastAsia="Arial" w:hAnsi="Arial"/>
          <w:sz w:val="20"/>
          <w:szCs w:val="20"/>
          <w:i w:val="1"/>
          <w:iCs w:val="1"/>
          <w:color w:val="auto"/>
        </w:rPr>
        <w:t>This press release includes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“will,” “should,” “may,” “anticipates,” “intends,” “plans,” “seeks,” “believes,” “estimates,” “expects,” “continues,” “assumes,” “would,” “potentially”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financial guidance, the benefits of our healthcare commercial intelligence solutions, our overall future prospects, our competitive position, customer behaviors and use of our solutions, the market, industry and macroeconomic environment, our plans to improve our operational and financial performance, including the expected benefits of these plans, our business, growth strategies, go-to-market and product development efforts and future expenses, our market opportunity, our ability to successfully transition executive leadership, customer growth and statements reflecting our expectations about our ability to execute on our strategic plans, achieve future growth and profitability and achieve our financial goals.</w:t>
      </w:r>
    </w:p>
    <w:p>
      <w:pPr>
        <w:spacing w:after="0" w:line="181" w:lineRule="exact"/>
        <w:rPr>
          <w:sz w:val="20"/>
          <w:szCs w:val="20"/>
          <w:color w:val="auto"/>
        </w:rPr>
      </w:pPr>
    </w:p>
    <w:p>
      <w:pPr>
        <w:ind w:right="40"/>
        <w:spacing w:after="0" w:line="228" w:lineRule="auto"/>
        <w:rPr>
          <w:sz w:val="20"/>
          <w:szCs w:val="20"/>
          <w:color w:val="auto"/>
        </w:rPr>
      </w:pPr>
      <w:r>
        <w:rPr>
          <w:rFonts w:ascii="Arial" w:cs="Arial" w:eastAsia="Arial" w:hAnsi="Arial"/>
          <w:sz w:val="20"/>
          <w:szCs w:val="20"/>
          <w:i w:val="1"/>
          <w:iCs w:val="1"/>
          <w:color w:val="auto"/>
        </w:rPr>
        <w:t>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our inability to realize expected business or financial benefits from acquisitions and the risk that our acquisitions or investments could prove difficult to integrate, disrupt our business, dilute stockholder value and adversely affect our business, financial condition and results of operations; our inability to achieve the anticipated cost savings, operating efficiencies or other benefits of our internal restructuring activities; global geopolitical tension and difficult macroeconomic conditions; actual or potential changes in international, national, regional and local economic, business and financial conditions, including recessions, inflation, high interest rates, volatility in the capital markets and related market uncertainty; the impact of challenging macroeconomic conditions on our new and existing customers; our inability to acquire new customers and generate additional revenue from existing customers; our inability to generate sales of subscriptions to our platform or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4" w:right="399" w:bottom="1440" w:gutter="0" w:footer="0" w:header="0"/>
        </w:sectPr>
      </w:pPr>
    </w:p>
    <w:bookmarkStart w:id="23" w:name="page24"/>
    <w:bookmarkEnd w:id="23"/>
    <w:p>
      <w:pPr>
        <w:ind w:right="20"/>
        <w:spacing w:after="0" w:line="231" w:lineRule="auto"/>
        <w:rPr>
          <w:sz w:val="20"/>
          <w:szCs w:val="20"/>
          <w:color w:val="auto"/>
        </w:rPr>
      </w:pPr>
      <w:r>
        <w:rPr>
          <w:rFonts w:ascii="Arial" w:cs="Arial" w:eastAsia="Arial" w:hAnsi="Arial"/>
          <w:sz w:val="20"/>
          <w:szCs w:val="20"/>
          <w:i w:val="1"/>
          <w:iCs w:val="1"/>
          <w:color w:val="auto"/>
        </w:rPr>
        <w:t>demand for our platform; the risk that our recent growth rates may not be indicative of our future growth; the inability to achieve or sustain GAAP or non-GAAP profitability in the future as we increase investments in our business; the loss of our access to our data providers; the failure to respond to advances in healthcare commercial intelligence; an inability to attract new customers and expand subscriptions of current customers; our ability to successfully transition executive leadership; the risk of cyber-attacks and security vulnerabilities; litigation, investigations or other legal, governmental or regulatory actions; the possibility that our security measures are breached or unauthorized access to data is otherwise obtained; the risk that additional material weaknesses or significant deficiencies that will occur in the future; and the risks of being required to collect sales or other related taxes for subscriptions to our platform in jurisdictions where we have not historically done so.</w:t>
      </w:r>
    </w:p>
    <w:p>
      <w:pPr>
        <w:spacing w:after="0" w:line="173" w:lineRule="exact"/>
        <w:rPr>
          <w:sz w:val="20"/>
          <w:szCs w:val="20"/>
          <w:color w:val="auto"/>
        </w:rPr>
      </w:pPr>
    </w:p>
    <w:p>
      <w:pPr>
        <w:ind w:right="180"/>
        <w:spacing w:after="0" w:line="252" w:lineRule="auto"/>
        <w:rPr>
          <w:sz w:val="20"/>
          <w:szCs w:val="20"/>
          <w:color w:val="auto"/>
        </w:rPr>
      </w:pPr>
      <w:r>
        <w:rPr>
          <w:rFonts w:ascii="Arial" w:cs="Arial" w:eastAsia="Arial" w:hAnsi="Arial"/>
          <w:sz w:val="19"/>
          <w:szCs w:val="19"/>
          <w:i w:val="1"/>
          <w:iCs w:val="1"/>
          <w:color w:val="auto"/>
        </w:rPr>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p>
    <w:p>
      <w:pPr>
        <w:spacing w:after="0" w:line="162"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i w:val="1"/>
          <w:iCs w:val="1"/>
          <w:color w:val="auto"/>
        </w:rPr>
        <w:t>For additional discussion of factors that could impact our operational and financial results, refer to our Quarterly Report on Form 10-Q for the three months ended September 30, 2024 that will be filed following this earnings release, as well as our Current Reports on Form 8-K and other subsequent SEC filings, which are or will be available on the Investor Relations page of our website at ir.definitivehc.com and on the SEC website at www.sec.gov.</w:t>
      </w:r>
    </w:p>
    <w:p>
      <w:pPr>
        <w:spacing w:after="0" w:line="172" w:lineRule="exact"/>
        <w:rPr>
          <w:sz w:val="20"/>
          <w:szCs w:val="20"/>
          <w:color w:val="auto"/>
        </w:rPr>
      </w:pPr>
    </w:p>
    <w:p>
      <w:pPr>
        <w:spacing w:after="0" w:line="241" w:lineRule="auto"/>
        <w:rPr>
          <w:sz w:val="20"/>
          <w:szCs w:val="20"/>
          <w:color w:val="auto"/>
        </w:rPr>
      </w:pPr>
      <w:r>
        <w:rPr>
          <w:rFonts w:ascii="Arial" w:cs="Arial" w:eastAsia="Arial" w:hAnsi="Arial"/>
          <w:sz w:val="20"/>
          <w:szCs w:val="20"/>
          <w:i w:val="1"/>
          <w:iCs w:val="1"/>
          <w:color w:val="auto"/>
        </w:rPr>
        <w:t>All information in this press release speaks only as of the date on which it is made. We undertake no obligation to publicly update this information, whether as a result of new information, future developments or otherwise,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8" w:right="37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Website</w:t>
      </w:r>
    </w:p>
    <w:p>
      <w:pPr>
        <w:spacing w:after="0" w:line="204" w:lineRule="exact"/>
        <w:rPr>
          <w:sz w:val="20"/>
          <w:szCs w:val="20"/>
          <w:color w:val="auto"/>
        </w:rPr>
      </w:pPr>
    </w:p>
    <w:p>
      <w:pPr>
        <w:spacing w:after="0" w:line="233" w:lineRule="auto"/>
        <w:rPr>
          <w:sz w:val="20"/>
          <w:szCs w:val="20"/>
          <w:color w:val="auto"/>
        </w:rPr>
      </w:pPr>
      <w:r>
        <w:rPr>
          <w:rFonts w:ascii="Arial" w:cs="Arial" w:eastAsia="Arial" w:hAnsi="Arial"/>
          <w:sz w:val="20"/>
          <w:szCs w:val="20"/>
          <w:i w:val="1"/>
          <w:iCs w:val="1"/>
          <w:color w:val="auto"/>
        </w:rPr>
        <w:t>Definitive Healthcare intends to use its website as a distribution channel of material company information. Financial and other important information regarding the Company is routinely posted on and accessible through the Company’s website at https://www.definitivehc.com/. Accordingly, you should monitor the investor relations portion of our website at https://ir.definitivehc.com/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page at https://ir.definitivehc.com/.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04" w:right="53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Non-GAAP Financial Measures</w:t>
      </w:r>
    </w:p>
    <w:p>
      <w:pPr>
        <w:spacing w:after="0" w:line="204" w:lineRule="exact"/>
        <w:rPr>
          <w:sz w:val="20"/>
          <w:szCs w:val="20"/>
          <w:color w:val="auto"/>
        </w:rPr>
      </w:pPr>
    </w:p>
    <w:p>
      <w:pPr>
        <w:spacing w:after="0" w:line="229" w:lineRule="auto"/>
        <w:rPr>
          <w:sz w:val="20"/>
          <w:szCs w:val="20"/>
          <w:color w:val="auto"/>
        </w:rPr>
      </w:pPr>
      <w:r>
        <w:rPr>
          <w:rFonts w:ascii="Arial" w:cs="Arial" w:eastAsia="Arial" w:hAnsi="Arial"/>
          <w:sz w:val="20"/>
          <w:szCs w:val="20"/>
          <w:i w:val="1"/>
          <w:iCs w:val="1"/>
          <w:color w:val="auto"/>
        </w:rPr>
        <w:t>We have presented supplemental non-GAAP financial measures as part of this earnings release. We believe that these supplemental non-GAAP financial measures are useful to investors because they allow for an evaluation of the Company with a focus on the performance of its core operations, including providing meaningful comparisons of financial results to historical periods and to the financial results of peer and competitor companies. Our use of these non-GAAP terms may vary from the use of similar terms by other companies in our industry and accordingly may not be comparable to similarly titled measures used by other companies and are not measures of performance calculated in accordance with GAAP. Our presentation of these non-GAAP financial measures are intended as supplemental measures of our performance that are not required by, or presented in accordance with, GAAP. These non-GAAP financial measures should not be considered as alternatives to loss from operations, net loss, earnings per share, or any other performance measures derived in accordance with GAAP or as measures of operating cash flows or liquidity. A reconciliation of GAAP to non-GAAP results has been provided in the financial statement tables included at the end of this press release. In evaluating our non-GAAP financial measures, you should be aware that in the future, we may incur expenses similar to those eliminated in these presentations.</w:t>
      </w:r>
    </w:p>
    <w:p>
      <w:pPr>
        <w:spacing w:after="0" w:line="175" w:lineRule="exact"/>
        <w:rPr>
          <w:sz w:val="20"/>
          <w:szCs w:val="20"/>
          <w:color w:val="auto"/>
        </w:rPr>
      </w:pPr>
    </w:p>
    <w:p>
      <w:pPr>
        <w:ind w:right="220"/>
        <w:spacing w:after="0" w:line="233" w:lineRule="auto"/>
        <w:rPr>
          <w:sz w:val="20"/>
          <w:szCs w:val="20"/>
          <w:color w:val="auto"/>
        </w:rPr>
      </w:pPr>
      <w:r>
        <w:rPr>
          <w:rFonts w:ascii="Arial" w:cs="Arial" w:eastAsia="Arial" w:hAnsi="Arial"/>
          <w:sz w:val="20"/>
          <w:szCs w:val="20"/>
          <w:i w:val="1"/>
          <w:iCs w:val="1"/>
          <w:color w:val="auto"/>
        </w:rPr>
        <w:t>We refer to Unlevered Free Cash Flow, Adjusted EBITDA, Adjusted EBITDA Margin, Adjusted Gross Profit, Adjusted Gross Margin, Adjusted Operating Income, Adjusted Net Income and Adjusted Net Income Per Diluted Share as non-GAAP financial measures. These non-GAAP financial measures are not required by or prepared in accordance with generally accepted accounting principles in the U.S. (“GAAP”). These are supplemental financial measures of our performance and should not be considered substitutes for cash provided by (used in) operating activities, loss from operations, net (loss) income, net (loss) income margin, gross profit, gross margin, or any other measure derived in accordance with GAAP.</w:t>
      </w:r>
    </w:p>
    <w:p>
      <w:pPr>
        <w:spacing w:after="0" w:line="172" w:lineRule="exact"/>
        <w:rPr>
          <w:sz w:val="20"/>
          <w:szCs w:val="20"/>
          <w:color w:val="auto"/>
        </w:rPr>
      </w:pPr>
    </w:p>
    <w:p>
      <w:pPr>
        <w:ind w:right="260"/>
        <w:spacing w:after="0" w:line="237" w:lineRule="auto"/>
        <w:rPr>
          <w:sz w:val="20"/>
          <w:szCs w:val="20"/>
          <w:color w:val="auto"/>
        </w:rPr>
      </w:pPr>
      <w:r>
        <w:rPr>
          <w:rFonts w:ascii="Arial" w:cs="Arial" w:eastAsia="Arial" w:hAnsi="Arial"/>
          <w:sz w:val="20"/>
          <w:szCs w:val="20"/>
          <w:i w:val="1"/>
          <w:iCs w:val="1"/>
          <w:color w:val="auto"/>
        </w:rPr>
        <w:t>We define Unlevered Free Cash Flow as net cash provided by operating activities less purchases of property, equipment and other assets, plus cash interest expense, and cash payments related to transaction, integration, and restructuring related expenses, earnouts, and other non-core items. Unlevered Free Cash Flow does not represent residual cash flow available for discretionary expenditures since, among other things, we have mandatory debt service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26" w:name="page27"/>
    <w:bookmarkEnd w:id="26"/>
    <w:p>
      <w:pPr>
        <w:ind w:right="80"/>
        <w:spacing w:after="0" w:line="230" w:lineRule="auto"/>
        <w:rPr>
          <w:sz w:val="20"/>
          <w:szCs w:val="20"/>
          <w:color w:val="auto"/>
        </w:rPr>
      </w:pPr>
      <w:r>
        <w:rPr>
          <w:rFonts w:ascii="Arial" w:cs="Arial" w:eastAsia="Arial" w:hAnsi="Arial"/>
          <w:sz w:val="20"/>
          <w:szCs w:val="20"/>
          <w:i w:val="1"/>
          <w:iCs w:val="1"/>
          <w:color w:val="auto"/>
        </w:rPr>
        <w:t>We define EBITDA as earnings before debt-related costs, including interest expense (income), income taxes and depreciation and amortization. Adjusted EBITDA is defined as EBITDA adjusted to exclude certain items of a significant or unusual nature, including other income, equity-based compensation, transaction, integration, and restructuring expenses, goodwill impairments and other non-core expenses. Adjusted EBITDA Margin is defined as Adjusted EBITDA as a percentage of revenue. Adjusted EBITDA and Adjusted EBITDA Margin are key metrics used by management and our board of directors to assess the profitability of our operations. We believe that Adjusted EBITDA and Adjusted EBITDA Margin provide useful information to help investors to assess our operating performance because these metrics eliminate non-core and unusual items and non-cash expenses, which we do not consider indicative of ongoing operational performance. We believe that these metrics are helpful to investors in measuring the profitability of our operations on a consolidated level.</w:t>
      </w:r>
    </w:p>
    <w:p>
      <w:pPr>
        <w:spacing w:after="0" w:line="176"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i w:val="1"/>
          <w:iCs w:val="1"/>
          <w:color w:val="auto"/>
        </w:rPr>
        <w:t>We define Adjusted Gross Profit as gross profit excluding acquisition-related amortization and equity-based compensation costs and Adjusted Gross Margin is defined as Adjusted Gross Profit as a percentage of revenue. Adjusted Gross Profit and Adjusted Gross Margin are key metrics used by management and our board of directors to assess our operations. We exclude acquisition-related depreciation and amortization expenses as they have no direct correlation to the cost of operating our business on an ongoing basis. A small portion of equity-based compensation is included in cost of revenue in accordance with GAAP but is excluded from our Adjusted Gross Profit calculations due to its non-cash nature.</w:t>
      </w:r>
    </w:p>
    <w:p>
      <w:pPr>
        <w:spacing w:after="0" w:line="172" w:lineRule="exact"/>
        <w:rPr>
          <w:sz w:val="20"/>
          <w:szCs w:val="20"/>
          <w:color w:val="auto"/>
        </w:rPr>
      </w:pPr>
    </w:p>
    <w:p>
      <w:pPr>
        <w:spacing w:after="0" w:line="257" w:lineRule="auto"/>
        <w:rPr>
          <w:sz w:val="20"/>
          <w:szCs w:val="20"/>
          <w:color w:val="auto"/>
        </w:rPr>
      </w:pPr>
      <w:r>
        <w:rPr>
          <w:rFonts w:ascii="Arial" w:cs="Arial" w:eastAsia="Arial" w:hAnsi="Arial"/>
          <w:sz w:val="20"/>
          <w:szCs w:val="20"/>
          <w:i w:val="1"/>
          <w:iCs w:val="1"/>
          <w:color w:val="auto"/>
        </w:rPr>
        <w:t>We define Adjusted Operating Income as loss from operations plus acquisition related amortization, equity-based compensation, transaction, integration, and restructuring expenses, goodwill impairments and other non-core expenses.</w:t>
      </w:r>
    </w:p>
    <w:p>
      <w:pPr>
        <w:spacing w:after="0" w:line="155" w:lineRule="exact"/>
        <w:rPr>
          <w:sz w:val="20"/>
          <w:szCs w:val="20"/>
          <w:color w:val="auto"/>
        </w:rPr>
      </w:pPr>
    </w:p>
    <w:p>
      <w:pPr>
        <w:ind w:right="400"/>
        <w:spacing w:after="0" w:line="241" w:lineRule="auto"/>
        <w:rPr>
          <w:sz w:val="20"/>
          <w:szCs w:val="20"/>
          <w:color w:val="auto"/>
        </w:rPr>
      </w:pPr>
      <w:r>
        <w:rPr>
          <w:rFonts w:ascii="Arial" w:cs="Arial" w:eastAsia="Arial" w:hAnsi="Arial"/>
          <w:sz w:val="20"/>
          <w:szCs w:val="20"/>
          <w:i w:val="1"/>
          <w:iCs w:val="1"/>
          <w:color w:val="auto"/>
        </w:rPr>
        <w:t>We define Adjusted Net Income as Adjusted Operating Income less interest (expense), income net, recurring income tax (provision) benefit, foreign currency (loss) gain, and tax impacts of adjustments. We define Adjusted Net Income Per Diluted Share as Adjusted Net Income divided by diluted outstanding shares.</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i w:val="1"/>
          <w:iCs w:val="1"/>
          <w:color w:val="auto"/>
        </w:rPr>
        <w:t>In evaluating our non-GAAP financial measures, you should be aware that in the future we may incur expenses similar to those eliminated in these 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color w:val="auto"/>
        </w:rPr>
        <w:t>Investor Contact:</w:t>
      </w:r>
    </w:p>
    <w:p>
      <w:pPr>
        <w:spacing w:after="0" w:line="231" w:lineRule="auto"/>
        <w:rPr>
          <w:sz w:val="20"/>
          <w:szCs w:val="20"/>
          <w:color w:val="auto"/>
        </w:rPr>
      </w:pPr>
      <w:r>
        <w:rPr>
          <w:rFonts w:ascii="Arial" w:cs="Arial" w:eastAsia="Arial" w:hAnsi="Arial"/>
          <w:sz w:val="20"/>
          <w:szCs w:val="20"/>
          <w:color w:val="auto"/>
        </w:rPr>
        <w:t>Brian Denyeau</w:t>
      </w:r>
    </w:p>
    <w:p>
      <w:pPr>
        <w:spacing w:after="0" w:line="226" w:lineRule="auto"/>
        <w:rPr>
          <w:sz w:val="20"/>
          <w:szCs w:val="20"/>
          <w:color w:val="auto"/>
        </w:rPr>
      </w:pPr>
      <w:r>
        <w:rPr>
          <w:rFonts w:ascii="Arial" w:cs="Arial" w:eastAsia="Arial" w:hAnsi="Arial"/>
          <w:sz w:val="20"/>
          <w:szCs w:val="20"/>
          <w:color w:val="auto"/>
        </w:rPr>
        <w:t>ICR for Definitive Healthcare</w:t>
      </w:r>
    </w:p>
    <w:p>
      <w:pPr>
        <w:spacing w:after="0" w:line="225" w:lineRule="auto"/>
        <w:rPr>
          <w:sz w:val="20"/>
          <w:szCs w:val="20"/>
          <w:color w:val="auto"/>
        </w:rPr>
      </w:pPr>
      <w:r>
        <w:rPr>
          <w:rFonts w:ascii="Arial" w:cs="Arial" w:eastAsia="Arial" w:hAnsi="Arial"/>
          <w:sz w:val="20"/>
          <w:szCs w:val="20"/>
          <w:u w:val="single" w:color="auto"/>
          <w:color w:val="0000FF"/>
        </w:rPr>
        <w:t>brian.denyeau@icrinc.com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646-277-1251</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31" w:lineRule="auto"/>
        <w:rPr>
          <w:sz w:val="20"/>
          <w:szCs w:val="20"/>
          <w:color w:val="auto"/>
        </w:rPr>
      </w:pPr>
      <w:r>
        <w:rPr>
          <w:rFonts w:ascii="Arial" w:cs="Arial" w:eastAsia="Arial" w:hAnsi="Arial"/>
          <w:sz w:val="20"/>
          <w:szCs w:val="20"/>
          <w:color w:val="auto"/>
        </w:rPr>
        <w:t>Bethany Swackhamer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bswackhamer@definitivehc.com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742315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4" w:right="1440" w:bottom="1440" w:gutter="0" w:footer="0" w:header="0"/>
        </w:sectPr>
      </w:pPr>
    </w:p>
    <w:bookmarkStart w:id="28" w:name="page29"/>
    <w:bookmarkEnd w:id="28"/>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(in thousands, except number of shares and par value;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6"/>
                <w:szCs w:val="16"/>
                <w:color w:val="auto"/>
              </w:rPr>
            </w:pPr>
          </w:p>
        </w:tc>
        <w:tc>
          <w:tcPr>
            <w:tcW w:w="17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137,609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130,976</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167,779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177,092</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35,754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59,249</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100" w:type="dxa"/>
            <w:vAlign w:val="bottom"/>
          </w:tcPr>
          <w:p>
            <w:pPr>
              <w:spacing w:after="0"/>
              <w:rPr>
                <w:sz w:val="20"/>
                <w:szCs w:val="20"/>
                <w:color w:val="auto"/>
              </w:rPr>
            </w:pPr>
          </w:p>
        </w:tc>
      </w:tr>
      <w:tr>
        <w:trPr>
          <w:trHeight w:val="243"/>
        </w:trPr>
        <w:tc>
          <w:tcPr>
            <w:tcW w:w="71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contract costs</w:t>
            </w:r>
          </w:p>
        </w:tc>
        <w:tc>
          <w:tcPr>
            <w:tcW w:w="22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13,486</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71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368,677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393,927</w:t>
            </w:r>
          </w:p>
        </w:tc>
        <w:tc>
          <w:tcPr>
            <w:tcW w:w="100" w:type="dxa"/>
            <w:vAlign w:val="bottom"/>
          </w:tcPr>
          <w:p>
            <w:pPr>
              <w:spacing w:after="0"/>
              <w:rPr>
                <w:sz w:val="20"/>
                <w:szCs w:val="20"/>
                <w:color w:val="auto"/>
              </w:rPr>
            </w:pPr>
          </w:p>
        </w:tc>
      </w:tr>
      <w:tr>
        <w:trPr>
          <w:trHeight w:val="245"/>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294,530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323,121</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490,343</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1,075,080</w:t>
            </w:r>
          </w:p>
        </w:tc>
        <w:tc>
          <w:tcPr>
            <w:tcW w:w="100" w:type="dxa"/>
            <w:vAlign w:val="bottom"/>
          </w:tcPr>
          <w:p>
            <w:pPr>
              <w:spacing w:after="0"/>
              <w:rPr>
                <w:sz w:val="20"/>
                <w:szCs w:val="20"/>
                <w:color w:val="auto"/>
              </w:rPr>
            </w:pPr>
          </w:p>
        </w:tc>
      </w:tr>
      <w:tr>
        <w:trPr>
          <w:trHeight w:val="281"/>
        </w:trPr>
        <w:tc>
          <w:tcPr>
            <w:tcW w:w="71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1,181,653</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1,825,901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35,751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51,529</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97,377</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Term loan</w:t>
            </w: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tcPr>
          <w:p>
            <w:pPr>
              <w:spacing w:after="0"/>
              <w:rPr>
                <w:sz w:val="20"/>
                <w:szCs w:val="20"/>
                <w:color w:val="auto"/>
              </w:rPr>
            </w:pPr>
          </w:p>
        </w:tc>
      </w:tr>
      <w:tr>
        <w:trPr>
          <w:trHeight w:val="241"/>
        </w:trPr>
        <w:tc>
          <w:tcPr>
            <w:tcW w:w="71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148,176</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170,682</w:t>
            </w:r>
          </w:p>
        </w:tc>
        <w:tc>
          <w:tcPr>
            <w:tcW w:w="100" w:type="dxa"/>
            <w:vAlign w:val="bottom"/>
            <w:shd w:val="clear" w:color="auto" w:fill="CFF0FC"/>
          </w:tcPr>
          <w:p>
            <w:pPr>
              <w:spacing w:after="0"/>
              <w:rPr>
                <w:sz w:val="20"/>
                <w:szCs w:val="20"/>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liabilities:</w:t>
            </w: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 loan</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232,668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242,567</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receivable agreements liability</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127,000</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30,767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67,163</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100" w:type="dxa"/>
            <w:vAlign w:val="bottom"/>
          </w:tcPr>
          <w:p>
            <w:pPr>
              <w:spacing w:after="0"/>
              <w:rPr>
                <w:sz w:val="20"/>
                <w:szCs w:val="20"/>
                <w:color w:val="auto"/>
              </w:rPr>
            </w:pPr>
          </w:p>
        </w:tc>
      </w:tr>
      <w:tr>
        <w:trPr>
          <w:trHeight w:val="238"/>
        </w:trPr>
        <w:tc>
          <w:tcPr>
            <w:tcW w:w="71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486,093</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626,727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5"/>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7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Class A Common Stock, par value $0.001, 600,000,000 shares authorized, 115,443,795 and</w:t>
            </w: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116,562,252 shares issued and outstanding at September 30, 2024 and December 31, 2023,</w:t>
            </w: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21"/>
                <w:szCs w:val="21"/>
                <w:color w:val="auto"/>
              </w:rPr>
            </w:pPr>
          </w:p>
        </w:tc>
      </w:tr>
      <w:tr>
        <w:trPr>
          <w:trHeight w:val="211"/>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B Common Stock, par value $0.00001, 65,000,000 shares authorized, 39,460,224 and</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39,393,407 shares issued and outstanding, respectively, at September 30, 2024, and 39,762,700</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39,168,047 shares issued and outstanding, respectively, at December 31, 2023</w:t>
            </w:r>
          </w:p>
        </w:tc>
        <w:tc>
          <w:tcPr>
            <w:tcW w:w="220" w:type="dxa"/>
            <w:vAlign w:val="bottom"/>
          </w:tcPr>
          <w:p>
            <w:pPr>
              <w:spacing w:after="0"/>
              <w:rPr>
                <w:sz w:val="20"/>
                <w:szCs w:val="20"/>
                <w:color w:val="auto"/>
              </w:rPr>
            </w:pP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1,087,555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1,086,581</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(581,499 )</w:t>
            </w:r>
          </w:p>
        </w:tc>
        <w:tc>
          <w:tcPr>
            <w:tcW w:w="22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(227,450 )</w:t>
            </w:r>
          </w:p>
        </w:tc>
      </w:tr>
      <w:tr>
        <w:trPr>
          <w:trHeight w:val="239"/>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189,045</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337,817</w:t>
            </w:r>
          </w:p>
        </w:tc>
        <w:tc>
          <w:tcPr>
            <w:tcW w:w="100" w:type="dxa"/>
            <w:vAlign w:val="bottom"/>
          </w:tcPr>
          <w:p>
            <w:pPr>
              <w:spacing w:after="0"/>
              <w:rPr>
                <w:sz w:val="20"/>
                <w:szCs w:val="20"/>
                <w:color w:val="auto"/>
              </w:rPr>
            </w:pPr>
          </w:p>
        </w:tc>
      </w:tr>
      <w:tr>
        <w:trPr>
          <w:trHeight w:val="237"/>
        </w:trPr>
        <w:tc>
          <w:tcPr>
            <w:tcW w:w="71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695,560</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1,199,174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1"/>
        </w:trPr>
        <w:tc>
          <w:tcPr>
            <w:tcW w:w="71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1,181,653</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1,825,901</w:t>
            </w:r>
          </w:p>
        </w:tc>
        <w:tc>
          <w:tcPr>
            <w:tcW w:w="100" w:type="dxa"/>
            <w:vAlign w:val="bottom"/>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6"/>
        </w:trPr>
        <w:tc>
          <w:tcPr>
            <w:tcW w:w="7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-6677025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-6677025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-5425440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-5408295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-5425440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-5408295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-2914015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-959485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9" w:name="page30"/>
    <w:bookmarkEnd w:id="29"/>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(in thousands, except share amounts and per share data;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4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8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62,697</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65,325</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189,914</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185,483</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120"/>
              <w:spacing w:after="0" w:line="248" w:lineRule="exact"/>
              <w:rPr>
                <w:sz w:val="20"/>
                <w:szCs w:val="20"/>
                <w:color w:val="auto"/>
              </w:rPr>
            </w:pPr>
            <w:r>
              <w:rPr>
                <w:rFonts w:ascii="Times New Roman" w:cs="Times New Roman" w:eastAsia="Times New Roman" w:hAnsi="Times New Roman"/>
                <w:sz w:val="18"/>
                <w:szCs w:val="18"/>
                <w:color w:val="auto"/>
              </w:rPr>
              <w:t xml:space="preserve">Cost of revenue exclusive of amortization </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25,293</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100" w:type="dxa"/>
            <w:vAlign w:val="bottom"/>
          </w:tcPr>
          <w:p>
            <w:pPr>
              <w:spacing w:after="0"/>
              <w:rPr>
                <w:sz w:val="20"/>
                <w:szCs w:val="20"/>
                <w:color w:val="auto"/>
              </w:rPr>
            </w:pPr>
          </w:p>
        </w:tc>
      </w:tr>
      <w:tr>
        <w:trPr>
          <w:trHeight w:val="237"/>
        </w:trPr>
        <w:tc>
          <w:tcPr>
            <w:tcW w:w="58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49,031</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53,430</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149,867</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120"/>
              <w:spacing w:after="0" w:line="248"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22,804</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63,435</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70,929</w:t>
            </w:r>
          </w:p>
        </w:tc>
        <w:tc>
          <w:tcPr>
            <w:tcW w:w="100" w:type="dxa"/>
            <w:vAlign w:val="bottom"/>
            <w:shd w:val="clear" w:color="auto" w:fill="CFF0FC"/>
          </w:tcPr>
          <w:p>
            <w:pPr>
              <w:spacing w:after="0"/>
              <w:rPr>
                <w:sz w:val="21"/>
                <w:szCs w:val="21"/>
                <w:color w:val="auto"/>
              </w:rPr>
            </w:pPr>
          </w:p>
        </w:tc>
      </w:tr>
      <w:tr>
        <w:trPr>
          <w:trHeight w:val="243"/>
        </w:trPr>
        <w:tc>
          <w:tcPr>
            <w:tcW w:w="5820" w:type="dxa"/>
            <w:vAlign w:val="bottom"/>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Product development </w:t>
            </w:r>
            <w:r>
              <w:rPr>
                <w:rFonts w:ascii="Times New Roman" w:cs="Times New Roman" w:eastAsia="Times New Roman" w:hAnsi="Times New Roman"/>
                <w:sz w:val="24"/>
                <w:szCs w:val="24"/>
                <w:color w:val="auto"/>
                <w:vertAlign w:val="superscript"/>
              </w:rPr>
              <w:t>(1)</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10,759</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27,536</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30,872</w:t>
            </w:r>
          </w:p>
        </w:tc>
        <w:tc>
          <w:tcPr>
            <w:tcW w:w="100" w:type="dxa"/>
            <w:vAlign w:val="bottom"/>
          </w:tcPr>
          <w:p>
            <w:pPr>
              <w:spacing w:after="0"/>
              <w:rPr>
                <w:sz w:val="21"/>
                <w:szCs w:val="21"/>
                <w:color w:val="auto"/>
              </w:rPr>
            </w:pPr>
          </w:p>
        </w:tc>
      </w:tr>
      <w:tr>
        <w:trPr>
          <w:trHeight w:val="243"/>
        </w:trPr>
        <w:tc>
          <w:tcPr>
            <w:tcW w:w="5820" w:type="dxa"/>
            <w:vAlign w:val="bottom"/>
            <w:shd w:val="clear" w:color="auto" w:fill="CFF0FC"/>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14,545</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42,294</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29,073</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integration, and restructuring expenses</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(1,995 )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228,153</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287,400</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591,794</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287,400</w:t>
            </w:r>
          </w:p>
        </w:tc>
        <w:tc>
          <w:tcPr>
            <w:tcW w:w="100" w:type="dxa"/>
            <w:vAlign w:val="bottom"/>
          </w:tcPr>
          <w:p>
            <w:pPr>
              <w:spacing w:after="0"/>
              <w:rPr>
                <w:sz w:val="20"/>
                <w:szCs w:val="20"/>
                <w:color w:val="auto"/>
              </w:rPr>
            </w:pPr>
          </w:p>
        </w:tc>
      </w:tr>
      <w:tr>
        <w:trPr>
          <w:trHeight w:val="237"/>
        </w:trPr>
        <w:tc>
          <w:tcPr>
            <w:tcW w:w="5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274,398</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348,808</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761,124</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470,234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(225,367 )</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(295,378 )</w:t>
            </w:r>
          </w:p>
        </w:tc>
        <w:tc>
          <w:tcPr>
            <w:tcW w:w="1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(611,257 )</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(319,720 )</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(433 )</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(1,434 )</w:t>
            </w: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23,826</w:t>
            </w:r>
          </w:p>
        </w:tc>
        <w:tc>
          <w:tcPr>
            <w:tcW w:w="28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29,589</w:t>
            </w:r>
          </w:p>
        </w:tc>
        <w:tc>
          <w:tcPr>
            <w:tcW w:w="26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68,066</w:t>
            </w:r>
          </w:p>
        </w:tc>
        <w:tc>
          <w:tcPr>
            <w:tcW w:w="26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25,161</w:t>
            </w:r>
          </w:p>
        </w:tc>
        <w:tc>
          <w:tcPr>
            <w:tcW w:w="100" w:type="dxa"/>
            <w:vAlign w:val="bottom"/>
            <w:shd w:val="clear" w:color="auto" w:fill="CFF0FC"/>
          </w:tcPr>
          <w:p>
            <w:pPr>
              <w:spacing w:after="0"/>
              <w:rPr>
                <w:sz w:val="21"/>
                <w:szCs w:val="21"/>
                <w:color w:val="auto"/>
              </w:rPr>
            </w:pPr>
          </w:p>
        </w:tc>
      </w:tr>
      <w:tr>
        <w:trPr>
          <w:trHeight w:val="232"/>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income, net</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23,819</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29,156</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68,124</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23,727</w:t>
            </w:r>
          </w:p>
        </w:tc>
        <w:tc>
          <w:tcPr>
            <w:tcW w:w="100" w:type="dxa"/>
            <w:vAlign w:val="bottom"/>
          </w:tcPr>
          <w:p>
            <w:pPr>
              <w:spacing w:after="0"/>
              <w:rPr>
                <w:sz w:val="20"/>
                <w:szCs w:val="20"/>
                <w:color w:val="auto"/>
              </w:rPr>
            </w:pPr>
          </w:p>
        </w:tc>
      </w:tr>
      <w:tr>
        <w:trPr>
          <w:trHeight w:val="241"/>
        </w:trPr>
        <w:tc>
          <w:tcPr>
            <w:tcW w:w="58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(201,548 )</w:t>
            </w: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(266,222 )</w:t>
            </w: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(543,133 )</w:t>
            </w: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(295,993 )</w:t>
            </w:r>
          </w:p>
        </w:tc>
      </w:tr>
      <w:tr>
        <w:trPr>
          <w:trHeight w:val="23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13,724</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17,534</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36,404</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19,728</w:t>
            </w:r>
          </w:p>
        </w:tc>
        <w:tc>
          <w:tcPr>
            <w:tcW w:w="100" w:type="dxa"/>
            <w:vAlign w:val="bottom"/>
          </w:tcPr>
          <w:p>
            <w:pPr>
              <w:spacing w:after="0"/>
              <w:rPr>
                <w:sz w:val="20"/>
                <w:szCs w:val="20"/>
                <w:color w:val="auto"/>
              </w:rPr>
            </w:pPr>
          </w:p>
        </w:tc>
      </w:tr>
      <w:tr>
        <w:trPr>
          <w:trHeight w:val="241"/>
        </w:trPr>
        <w:tc>
          <w:tcPr>
            <w:tcW w:w="58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(187,824 )</w:t>
            </w: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(248,688 )</w:t>
            </w: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(506,729 )</w:t>
            </w: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(276,265 )</w:t>
            </w: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(56,928 )</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(77,162 )</w:t>
            </w:r>
          </w:p>
        </w:tc>
        <w:tc>
          <w:tcPr>
            <w:tcW w:w="1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(152,680 )</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(84,110 )</w:t>
            </w:r>
          </w:p>
        </w:tc>
      </w:tr>
      <w:tr>
        <w:trPr>
          <w:trHeight w:val="20"/>
        </w:trPr>
        <w:tc>
          <w:tcPr>
            <w:tcW w:w="5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1"/>
        </w:trPr>
        <w:tc>
          <w:tcPr>
            <w:tcW w:w="58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Net loss attributable to Definitive Healthcare Corp.</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(130,896 )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(171,526 )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(354,049 )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(192,155 )</w:t>
            </w:r>
          </w:p>
        </w:tc>
      </w:tr>
      <w:tr>
        <w:trPr>
          <w:trHeight w:val="219"/>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loss per share of Class A Common Stock:</w:t>
            </w: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1"/>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(1.72 )</w:t>
            </w:r>
          </w:p>
        </w:tc>
      </w:tr>
      <w:tr>
        <w:trPr>
          <w:trHeight w:val="219"/>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Class A Common Stock outstanding:</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7"/>
        </w:trPr>
        <w:tc>
          <w:tcPr>
            <w:tcW w:w="5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116,382,021</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114,527,514</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117,185,701</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111,533,166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-3539490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-3539490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-3539490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-2287905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-2287905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-2287905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-1675130</wp:posOffset>
            </wp:positionV>
            <wp:extent cx="102235" cy="196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-1675130</wp:posOffset>
            </wp:positionV>
            <wp:extent cx="93980" cy="1968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-1675130</wp:posOffset>
            </wp:positionV>
            <wp:extent cx="93980" cy="196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-1675130</wp:posOffset>
            </wp:positionV>
            <wp:extent cx="93980" cy="196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-702310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-685165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-702310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-685165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-702310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-685165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-359410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-342265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-359410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-342265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-359410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-342265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ind w:left="200" w:hanging="179"/>
        <w:spacing w:after="0"/>
        <w:tabs>
          <w:tab w:leader="none" w:pos="20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Amounts include equity-based compensation expense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560" w:type="dxa"/>
            <w:vAlign w:val="bottom"/>
            <w:gridSpan w:val="5"/>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50"/>
        </w:trPr>
        <w:tc>
          <w:tcPr>
            <w:tcW w:w="582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1"/>
                <w:szCs w:val="21"/>
                <w:color w:val="auto"/>
              </w:rPr>
            </w:pPr>
          </w:p>
        </w:tc>
      </w:tr>
      <w:tr>
        <w:trPr>
          <w:trHeight w:val="23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Product development</w:t>
            </w: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1,218</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9,566</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4,161</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5,754</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18,338</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16,792</w:t>
            </w:r>
          </w:p>
        </w:tc>
        <w:tc>
          <w:tcPr>
            <w:tcW w:w="100" w:type="dxa"/>
            <w:vAlign w:val="bottom"/>
          </w:tcPr>
          <w:p>
            <w:pPr>
              <w:spacing w:after="0"/>
              <w:rPr>
                <w:sz w:val="20"/>
                <w:szCs w:val="20"/>
                <w:color w:val="auto"/>
              </w:rPr>
            </w:pPr>
          </w:p>
        </w:tc>
      </w:tr>
      <w:tr>
        <w:trPr>
          <w:trHeight w:val="281"/>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6,296</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30,720</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35,485</w:t>
            </w:r>
          </w:p>
        </w:tc>
        <w:tc>
          <w:tcPr>
            <w:tcW w:w="100" w:type="dxa"/>
            <w:vAlign w:val="bottom"/>
            <w:shd w:val="clear" w:color="auto" w:fill="CFF0FC"/>
          </w:tcPr>
          <w:p>
            <w:pPr>
              <w:spacing w:after="0"/>
              <w:rPr>
                <w:sz w:val="24"/>
                <w:szCs w:val="24"/>
                <w:color w:val="auto"/>
              </w:rPr>
            </w:pPr>
          </w:p>
        </w:tc>
      </w:tr>
      <w:tr>
        <w:trPr>
          <w:trHeight w:val="1175"/>
        </w:trPr>
        <w:tc>
          <w:tcPr>
            <w:tcW w:w="5820" w:type="dxa"/>
            <w:vAlign w:val="bottom"/>
            <w:tcBorders>
              <w:top w:val="single" w:sz="8" w:color="CFF0FC"/>
              <w:bottom w:val="single" w:sz="8" w:color="9A9A9A"/>
            </w:tcBorders>
          </w:tcPr>
          <w:p>
            <w:pPr>
              <w:spacing w:after="0"/>
              <w:rPr>
                <w:sz w:val="24"/>
                <w:szCs w:val="24"/>
                <w:color w:val="auto"/>
              </w:rPr>
            </w:pPr>
          </w:p>
        </w:tc>
        <w:tc>
          <w:tcPr>
            <w:tcW w:w="720" w:type="dxa"/>
            <w:vAlign w:val="bottom"/>
            <w:tcBorders>
              <w:top w:val="single" w:sz="8" w:color="auto"/>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CFF0FC"/>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8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-796290</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-779145</wp:posOffset>
            </wp:positionV>
            <wp:extent cx="768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-796290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-779145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-796290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-779145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38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60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83"/>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provided by (used in) operating activities:</w:t>
            </w: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0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(187,824 )</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(248,688 )</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(506,729 )</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(276,265 )</w:t>
            </w:r>
          </w:p>
        </w:tc>
      </w:tr>
      <w:tr>
        <w:trPr>
          <w:trHeight w:val="189"/>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loss to net cash provided by operating activities:</w:t>
            </w: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0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1,719</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1,391</w:t>
            </w:r>
          </w:p>
        </w:tc>
        <w:tc>
          <w:tcPr>
            <w:tcW w:w="100" w:type="dxa"/>
            <w:vAlign w:val="bottom"/>
          </w:tcPr>
          <w:p>
            <w:pPr>
              <w:spacing w:after="0"/>
              <w:rPr>
                <w:sz w:val="16"/>
                <w:szCs w:val="16"/>
                <w:color w:val="auto"/>
              </w:rPr>
            </w:pPr>
          </w:p>
        </w:tc>
      </w:tr>
      <w:tr>
        <w:trPr>
          <w:trHeight w:val="189"/>
        </w:trPr>
        <w:tc>
          <w:tcPr>
            <w:tcW w:w="60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12,501</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12,595</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36,816</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37,358</w:t>
            </w:r>
          </w:p>
        </w:tc>
        <w:tc>
          <w:tcPr>
            <w:tcW w:w="100" w:type="dxa"/>
            <w:vAlign w:val="bottom"/>
            <w:shd w:val="clear" w:color="auto" w:fill="CFF0FC"/>
          </w:tcPr>
          <w:p>
            <w:pPr>
              <w:spacing w:after="0"/>
              <w:rPr>
                <w:sz w:val="16"/>
                <w:szCs w:val="16"/>
                <w:color w:val="auto"/>
              </w:rPr>
            </w:pPr>
          </w:p>
        </w:tc>
      </w:tr>
      <w:tr>
        <w:trPr>
          <w:trHeight w:val="189"/>
        </w:trPr>
        <w:tc>
          <w:tcPr>
            <w:tcW w:w="60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Amortization of deferred contract costs</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3,943</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11,463</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9,475</w:t>
            </w:r>
          </w:p>
        </w:tc>
        <w:tc>
          <w:tcPr>
            <w:tcW w:w="100" w:type="dxa"/>
            <w:vAlign w:val="bottom"/>
          </w:tcPr>
          <w:p>
            <w:pPr>
              <w:spacing w:after="0"/>
              <w:rPr>
                <w:sz w:val="16"/>
                <w:szCs w:val="16"/>
                <w:color w:val="auto"/>
              </w:rPr>
            </w:pPr>
          </w:p>
        </w:tc>
      </w:tr>
      <w:tr>
        <w:trPr>
          <w:trHeight w:val="189"/>
        </w:trPr>
        <w:tc>
          <w:tcPr>
            <w:tcW w:w="60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5"/>
                <w:szCs w:val="15"/>
                <w:color w:val="auto"/>
              </w:rPr>
              <w:t>Equity-based compensation</w:t>
            </w: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6,296</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11,994</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30,720</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35,485</w:t>
            </w:r>
          </w:p>
        </w:tc>
        <w:tc>
          <w:tcPr>
            <w:tcW w:w="100" w:type="dxa"/>
            <w:vAlign w:val="bottom"/>
            <w:shd w:val="clear" w:color="auto" w:fill="CFF0FC"/>
          </w:tcPr>
          <w:p>
            <w:pPr>
              <w:spacing w:after="0"/>
              <w:rPr>
                <w:sz w:val="16"/>
                <w:szCs w:val="16"/>
                <w:color w:val="auto"/>
              </w:rPr>
            </w:pPr>
          </w:p>
        </w:tc>
      </w:tr>
      <w:tr>
        <w:trPr>
          <w:trHeight w:val="189"/>
        </w:trPr>
        <w:tc>
          <w:tcPr>
            <w:tcW w:w="60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527</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527</w:t>
            </w:r>
          </w:p>
        </w:tc>
        <w:tc>
          <w:tcPr>
            <w:tcW w:w="100" w:type="dxa"/>
            <w:vAlign w:val="bottom"/>
          </w:tcPr>
          <w:p>
            <w:pPr>
              <w:spacing w:after="0"/>
              <w:rPr>
                <w:sz w:val="16"/>
                <w:szCs w:val="16"/>
                <w:color w:val="auto"/>
              </w:rPr>
            </w:pPr>
          </w:p>
        </w:tc>
      </w:tr>
      <w:tr>
        <w:trPr>
          <w:trHeight w:val="189"/>
        </w:trPr>
        <w:tc>
          <w:tcPr>
            <w:tcW w:w="60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5"/>
                <w:szCs w:val="15"/>
                <w:color w:val="auto"/>
              </w:rPr>
              <w:t>Provision for doubtful accounts receivable</w:t>
            </w: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419</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354</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947</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820</w:t>
            </w:r>
          </w:p>
        </w:tc>
        <w:tc>
          <w:tcPr>
            <w:tcW w:w="100" w:type="dxa"/>
            <w:vAlign w:val="bottom"/>
            <w:shd w:val="clear" w:color="auto" w:fill="CFF0FC"/>
          </w:tcPr>
          <w:p>
            <w:pPr>
              <w:spacing w:after="0"/>
              <w:rPr>
                <w:sz w:val="16"/>
                <w:szCs w:val="16"/>
                <w:color w:val="auto"/>
              </w:rPr>
            </w:pPr>
          </w:p>
        </w:tc>
      </w:tr>
      <w:tr>
        <w:trPr>
          <w:trHeight w:val="189"/>
        </w:trPr>
        <w:tc>
          <w:tcPr>
            <w:tcW w:w="60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Non-cash impairment charges related to office leases</w:t>
            </w:r>
          </w:p>
        </w:tc>
        <w:tc>
          <w:tcPr>
            <w:tcW w:w="100" w:type="dxa"/>
            <w:vAlign w:val="bottom"/>
          </w:tcPr>
          <w:p>
            <w:pPr>
              <w:spacing w:after="0"/>
              <w:rPr>
                <w:sz w:val="16"/>
                <w:szCs w:val="16"/>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(143 )</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1,047</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100" w:type="dxa"/>
            <w:vAlign w:val="bottom"/>
          </w:tcPr>
          <w:p>
            <w:pPr>
              <w:spacing w:after="0"/>
              <w:rPr>
                <w:sz w:val="16"/>
                <w:szCs w:val="16"/>
                <w:color w:val="auto"/>
              </w:rPr>
            </w:pPr>
          </w:p>
        </w:tc>
      </w:tr>
      <w:tr>
        <w:trPr>
          <w:trHeight w:val="189"/>
        </w:trPr>
        <w:tc>
          <w:tcPr>
            <w:tcW w:w="60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5"/>
                <w:szCs w:val="15"/>
                <w:color w:val="auto"/>
              </w:rPr>
              <w:t>Goodwill impairment charges</w:t>
            </w: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228,153</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287,400</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591,794</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287,400</w:t>
            </w:r>
          </w:p>
        </w:tc>
        <w:tc>
          <w:tcPr>
            <w:tcW w:w="100" w:type="dxa"/>
            <w:vAlign w:val="bottom"/>
            <w:shd w:val="clear" w:color="auto" w:fill="CFF0FC"/>
          </w:tcPr>
          <w:p>
            <w:pPr>
              <w:spacing w:after="0"/>
              <w:rPr>
                <w:sz w:val="16"/>
                <w:szCs w:val="16"/>
                <w:color w:val="auto"/>
              </w:rPr>
            </w:pPr>
          </w:p>
        </w:tc>
      </w:tr>
      <w:tr>
        <w:trPr>
          <w:trHeight w:val="189"/>
        </w:trPr>
        <w:tc>
          <w:tcPr>
            <w:tcW w:w="60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Tax receivable agreement remeasurement</w:t>
            </w:r>
          </w:p>
        </w:tc>
        <w:tc>
          <w:tcPr>
            <w:tcW w:w="10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(24,183 )</w:t>
            </w: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(29,675 )</w:t>
            </w:r>
          </w:p>
        </w:tc>
        <w:tc>
          <w:tcPr>
            <w:tcW w:w="10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(68,151 )</w:t>
            </w: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(24,977 )</w:t>
            </w:r>
          </w:p>
        </w:tc>
      </w:tr>
      <w:tr>
        <w:trPr>
          <w:trHeight w:val="189"/>
        </w:trPr>
        <w:tc>
          <w:tcPr>
            <w:tcW w:w="60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5"/>
                <w:szCs w:val="15"/>
                <w:color w:val="auto"/>
              </w:rPr>
              <w:t>Changes in fair value of contingent consideration</w:t>
            </w:r>
          </w:p>
        </w:tc>
        <w:tc>
          <w:tcPr>
            <w:tcW w:w="10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(3,510 )</w:t>
            </w: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(3,240 )</w:t>
            </w: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0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Deferred income taxes</w:t>
            </w:r>
          </w:p>
        </w:tc>
        <w:tc>
          <w:tcPr>
            <w:tcW w:w="10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(13,774 )</w:t>
            </w: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(17,304 )</w:t>
            </w:r>
          </w:p>
        </w:tc>
        <w:tc>
          <w:tcPr>
            <w:tcW w:w="10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(36,609 )</w:t>
            </w: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(19,728 )</w:t>
            </w:r>
          </w:p>
        </w:tc>
      </w:tr>
      <w:tr>
        <w:trPr>
          <w:trHeight w:val="189"/>
        </w:trPr>
        <w:tc>
          <w:tcPr>
            <w:tcW w:w="6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0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Accounts receivable</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7,948</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5,486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23,148</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19,370</w:t>
            </w:r>
          </w:p>
        </w:tc>
        <w:tc>
          <w:tcPr>
            <w:tcW w:w="100" w:type="dxa"/>
            <w:vAlign w:val="bottom"/>
          </w:tcPr>
          <w:p>
            <w:pPr>
              <w:spacing w:after="0"/>
              <w:rPr>
                <w:sz w:val="16"/>
                <w:szCs w:val="16"/>
                <w:color w:val="auto"/>
              </w:rPr>
            </w:pPr>
          </w:p>
        </w:tc>
      </w:tr>
      <w:tr>
        <w:trPr>
          <w:trHeight w:val="189"/>
        </w:trPr>
        <w:tc>
          <w:tcPr>
            <w:tcW w:w="60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10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(2,947 )</w:t>
            </w: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(2,237 )</w:t>
            </w:r>
          </w:p>
        </w:tc>
        <w:tc>
          <w:tcPr>
            <w:tcW w:w="1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(7,205 )</w:t>
            </w: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(5,808 )</w:t>
            </w:r>
          </w:p>
        </w:tc>
      </w:tr>
      <w:tr>
        <w:trPr>
          <w:trHeight w:val="189"/>
        </w:trPr>
        <w:tc>
          <w:tcPr>
            <w:tcW w:w="60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Deferred contract costs</w:t>
            </w:r>
          </w:p>
        </w:tc>
        <w:tc>
          <w:tcPr>
            <w:tcW w:w="10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(2,596 )</w:t>
            </w: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(3,913 )</w:t>
            </w:r>
          </w:p>
        </w:tc>
        <w:tc>
          <w:tcPr>
            <w:tcW w:w="10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(8,275 )</w:t>
            </w: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(13,020 )</w:t>
            </w:r>
          </w:p>
        </w:tc>
      </w:tr>
      <w:tr>
        <w:trPr>
          <w:trHeight w:val="189"/>
        </w:trPr>
        <w:tc>
          <w:tcPr>
            <w:tcW w:w="60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0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(602 )</w:t>
            </w: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0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Accounts payable, accrued expenses, and other liabilities</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5,116</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(5,173 )</w:t>
            </w: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(1,589 )</w:t>
            </w:r>
          </w:p>
        </w:tc>
      </w:tr>
      <w:tr>
        <w:trPr>
          <w:trHeight w:val="189"/>
        </w:trPr>
        <w:tc>
          <w:tcPr>
            <w:tcW w:w="60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5"/>
                <w:szCs w:val="15"/>
                <w:color w:val="auto"/>
              </w:rPr>
              <w:t>Deferred revenue</w:t>
            </w:r>
          </w:p>
        </w:tc>
        <w:tc>
          <w:tcPr>
            <w:tcW w:w="10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(10,848 )</w:t>
            </w: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(11,869 )</w:t>
            </w:r>
          </w:p>
        </w:tc>
        <w:tc>
          <w:tcPr>
            <w:tcW w:w="1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(12,136 )</w:t>
            </w: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(14,113 )</w:t>
            </w:r>
          </w:p>
        </w:tc>
      </w:tr>
      <w:tr>
        <w:trPr>
          <w:trHeight w:val="183"/>
        </w:trPr>
        <w:tc>
          <w:tcPr>
            <w:tcW w:w="6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0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19,432</w:t>
            </w:r>
          </w:p>
        </w:tc>
        <w:tc>
          <w:tcPr>
            <w:tcW w:w="280" w:type="dxa"/>
            <w:vAlign w:val="bottom"/>
            <w:tcBorders>
              <w:top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9,487</w:t>
            </w: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50,061</w:t>
            </w:r>
          </w:p>
        </w:tc>
        <w:tc>
          <w:tcPr>
            <w:tcW w:w="260" w:type="dxa"/>
            <w:vAlign w:val="bottom"/>
            <w:tcBorders>
              <w:top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36,481</w:t>
            </w:r>
          </w:p>
        </w:tc>
        <w:tc>
          <w:tcPr>
            <w:tcW w:w="100" w:type="dxa"/>
            <w:vAlign w:val="bottom"/>
            <w:tcBorders>
              <w:top w:val="single" w:sz="8" w:color="CFF0FC"/>
            </w:tcBorders>
          </w:tcPr>
          <w:p>
            <w:pPr>
              <w:spacing w:after="0"/>
              <w:rPr>
                <w:sz w:val="15"/>
                <w:szCs w:val="15"/>
                <w:color w:val="auto"/>
              </w:rPr>
            </w:pPr>
          </w:p>
        </w:tc>
      </w:tr>
      <w:tr>
        <w:trPr>
          <w:trHeight w:val="183"/>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(used in) provided by investing activities:</w:t>
            </w: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0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Purchases of property, equipment, and other assets</w:t>
            </w:r>
          </w:p>
        </w:tc>
        <w:tc>
          <w:tcPr>
            <w:tcW w:w="10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(767 )</w:t>
            </w: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(305 )</w:t>
            </w:r>
          </w:p>
        </w:tc>
        <w:tc>
          <w:tcPr>
            <w:tcW w:w="10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(1,443 )</w:t>
            </w: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(2,383 )</w:t>
            </w:r>
          </w:p>
        </w:tc>
      </w:tr>
      <w:tr>
        <w:trPr>
          <w:trHeight w:val="189"/>
        </w:trPr>
        <w:tc>
          <w:tcPr>
            <w:tcW w:w="6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Purchases of short-term investments</w:t>
            </w:r>
          </w:p>
        </w:tc>
        <w:tc>
          <w:tcPr>
            <w:tcW w:w="10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(68,724 )</w:t>
            </w: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(80,814 )</w:t>
            </w:r>
          </w:p>
        </w:tc>
        <w:tc>
          <w:tcPr>
            <w:tcW w:w="1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(192,670 )</w:t>
            </w: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(213,613 )</w:t>
            </w:r>
          </w:p>
        </w:tc>
      </w:tr>
      <w:tr>
        <w:trPr>
          <w:trHeight w:val="189"/>
        </w:trPr>
        <w:tc>
          <w:tcPr>
            <w:tcW w:w="60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Maturities of short-term investments</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78,452</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72,083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207,504</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174,830</w:t>
            </w:r>
          </w:p>
        </w:tc>
        <w:tc>
          <w:tcPr>
            <w:tcW w:w="100" w:type="dxa"/>
            <w:vAlign w:val="bottom"/>
          </w:tcPr>
          <w:p>
            <w:pPr>
              <w:spacing w:after="0"/>
              <w:rPr>
                <w:sz w:val="16"/>
                <w:szCs w:val="16"/>
                <w:color w:val="auto"/>
              </w:rPr>
            </w:pPr>
          </w:p>
        </w:tc>
      </w:tr>
      <w:tr>
        <w:trPr>
          <w:trHeight w:val="189"/>
        </w:trPr>
        <w:tc>
          <w:tcPr>
            <w:tcW w:w="6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Cash paid for acquisitions, net of cash acquired</w:t>
            </w: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(45,023 )</w:t>
            </w:r>
          </w:p>
        </w:tc>
        <w:tc>
          <w:tcPr>
            <w:tcW w:w="1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(13,530 )</w:t>
            </w: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(45,023 )</w:t>
            </w:r>
          </w:p>
        </w:tc>
      </w:tr>
      <w:tr>
        <w:trPr>
          <w:trHeight w:val="20"/>
        </w:trPr>
        <w:tc>
          <w:tcPr>
            <w:tcW w:w="60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8,961</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(54,059 )</w:t>
            </w:r>
          </w:p>
        </w:tc>
        <w:tc>
          <w:tcPr>
            <w:tcW w:w="10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(139 )</w:t>
            </w:r>
          </w:p>
        </w:tc>
        <w:tc>
          <w:tcPr>
            <w:tcW w:w="1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(86,189 )</w:t>
            </w:r>
          </w:p>
        </w:tc>
      </w:tr>
      <w:tr>
        <w:trPr>
          <w:trHeight w:val="183"/>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used in financing activities:</w:t>
            </w:r>
          </w:p>
        </w:tc>
        <w:tc>
          <w:tcPr>
            <w:tcW w:w="10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0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Repayments of term loans</w:t>
            </w:r>
          </w:p>
        </w:tc>
        <w:tc>
          <w:tcPr>
            <w:tcW w:w="10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(3,438 )</w:t>
            </w: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(1,718 )</w:t>
            </w:r>
          </w:p>
        </w:tc>
        <w:tc>
          <w:tcPr>
            <w:tcW w:w="10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(10,313 )</w:t>
            </w: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(5,156 )</w:t>
            </w:r>
          </w:p>
        </w:tc>
      </w:tr>
      <w:tr>
        <w:trPr>
          <w:trHeight w:val="189"/>
        </w:trPr>
        <w:tc>
          <w:tcPr>
            <w:tcW w:w="6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Taxes paid related to net share settlement of equity awards</w:t>
            </w:r>
          </w:p>
        </w:tc>
        <w:tc>
          <w:tcPr>
            <w:tcW w:w="10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(495 )</w:t>
            </w: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(782 )</w:t>
            </w:r>
          </w:p>
        </w:tc>
        <w:tc>
          <w:tcPr>
            <w:tcW w:w="1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(7,270 )</w:t>
            </w: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(3,397 )</w:t>
            </w:r>
          </w:p>
        </w:tc>
      </w:tr>
      <w:tr>
        <w:trPr>
          <w:trHeight w:val="189"/>
        </w:trPr>
        <w:tc>
          <w:tcPr>
            <w:tcW w:w="60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Repurchases of Class A Common Stock</w:t>
            </w:r>
          </w:p>
        </w:tc>
        <w:tc>
          <w:tcPr>
            <w:tcW w:w="10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(8,034 )</w:t>
            </w:r>
          </w:p>
        </w:tc>
        <w:tc>
          <w:tcPr>
            <w:tcW w:w="18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(15,037 )</w:t>
            </w:r>
          </w:p>
        </w:tc>
        <w:tc>
          <w:tcPr>
            <w:tcW w:w="1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Payments of contingent consideration</w:t>
            </w:r>
          </w:p>
        </w:tc>
        <w:tc>
          <w:tcPr>
            <w:tcW w:w="10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(1,000 )</w:t>
            </w: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0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Payments under tax receivable agreement</w:t>
            </w:r>
          </w:p>
        </w:tc>
        <w:tc>
          <w:tcPr>
            <w:tcW w:w="100" w:type="dxa"/>
            <w:vAlign w:val="bottom"/>
          </w:tcPr>
          <w:p>
            <w:pPr>
              <w:spacing w:after="0"/>
              <w:rPr>
                <w:sz w:val="16"/>
                <w:szCs w:val="16"/>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(6,950 )</w:t>
            </w: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(246 )</w:t>
            </w:r>
          </w:p>
        </w:tc>
      </w:tr>
      <w:tr>
        <w:trPr>
          <w:trHeight w:val="189"/>
        </w:trPr>
        <w:tc>
          <w:tcPr>
            <w:tcW w:w="6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Payments of equity offering issuance costs</w:t>
            </w:r>
          </w:p>
        </w:tc>
        <w:tc>
          <w:tcPr>
            <w:tcW w:w="10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(30 )</w:t>
            </w:r>
          </w:p>
        </w:tc>
      </w:tr>
      <w:tr>
        <w:trPr>
          <w:trHeight w:val="189"/>
        </w:trPr>
        <w:tc>
          <w:tcPr>
            <w:tcW w:w="60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Member distributions</w:t>
            </w:r>
          </w:p>
        </w:tc>
        <w:tc>
          <w:tcPr>
            <w:tcW w:w="10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(98 )</w:t>
            </w: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(7,866 )</w:t>
            </w:r>
          </w:p>
        </w:tc>
        <w:tc>
          <w:tcPr>
            <w:tcW w:w="10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(2,811 )</w:t>
            </w: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(10,693 )</w:t>
            </w:r>
          </w:p>
        </w:tc>
      </w:tr>
      <w:tr>
        <w:trPr>
          <w:trHeight w:val="20"/>
        </w:trPr>
        <w:tc>
          <w:tcPr>
            <w:tcW w:w="6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10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(12,065 )</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(10,366 )</w:t>
            </w:r>
          </w:p>
        </w:tc>
        <w:tc>
          <w:tcPr>
            <w:tcW w:w="1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(43,381 )</w:t>
            </w:r>
          </w:p>
        </w:tc>
        <w:tc>
          <w:tcPr>
            <w:tcW w:w="1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(19,522 )</w:t>
            </w:r>
          </w:p>
        </w:tc>
      </w:tr>
      <w:tr>
        <w:trPr>
          <w:trHeight w:val="20"/>
        </w:trPr>
        <w:tc>
          <w:tcPr>
            <w:tcW w:w="60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16,328</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(54,938 )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6,541</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(69,230 )</w:t>
            </w:r>
          </w:p>
        </w:tc>
      </w:tr>
      <w:tr>
        <w:trPr>
          <w:trHeight w:val="189"/>
        </w:trPr>
        <w:tc>
          <w:tcPr>
            <w:tcW w:w="6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380</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(244 )</w:t>
            </w:r>
          </w:p>
        </w:tc>
      </w:tr>
      <w:tr>
        <w:trPr>
          <w:trHeight w:val="189"/>
        </w:trPr>
        <w:tc>
          <w:tcPr>
            <w:tcW w:w="60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120,901</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132,385</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130,976</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146,934</w:t>
            </w:r>
          </w:p>
        </w:tc>
        <w:tc>
          <w:tcPr>
            <w:tcW w:w="100" w:type="dxa"/>
            <w:vAlign w:val="bottom"/>
          </w:tcPr>
          <w:p>
            <w:pPr>
              <w:spacing w:after="0"/>
              <w:rPr>
                <w:sz w:val="16"/>
                <w:szCs w:val="16"/>
                <w:color w:val="auto"/>
              </w:rPr>
            </w:pPr>
          </w:p>
        </w:tc>
      </w:tr>
      <w:tr>
        <w:trPr>
          <w:trHeight w:val="223"/>
        </w:trPr>
        <w:tc>
          <w:tcPr>
            <w:tcW w:w="60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137,609</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77,460</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137,609</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77,460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69"/>
        </w:trPr>
        <w:tc>
          <w:tcPr>
            <w:tcW w:w="6080" w:type="dxa"/>
            <w:vAlign w:val="bottom"/>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Supplemental cash flow disclosures:</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6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Cash paid during the period for:</w:t>
            </w: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0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3,654</w:t>
            </w:r>
          </w:p>
        </w:tc>
        <w:tc>
          <w:tcPr>
            <w:tcW w:w="280" w:type="dxa"/>
            <w:vAlign w:val="bottom"/>
          </w:tcPr>
          <w:p>
            <w:pPr>
              <w:spacing w:after="0"/>
              <w:rPr>
                <w:sz w:val="16"/>
                <w:szCs w:val="16"/>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3,681</w:t>
            </w:r>
          </w:p>
        </w:tc>
        <w:tc>
          <w:tcPr>
            <w:tcW w:w="2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10,886</w:t>
            </w:r>
          </w:p>
        </w:tc>
        <w:tc>
          <w:tcPr>
            <w:tcW w:w="260" w:type="dxa"/>
            <w:vAlign w:val="bottom"/>
          </w:tcPr>
          <w:p>
            <w:pPr>
              <w:spacing w:after="0"/>
              <w:rPr>
                <w:sz w:val="16"/>
                <w:szCs w:val="16"/>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10,772</w:t>
            </w:r>
          </w:p>
        </w:tc>
        <w:tc>
          <w:tcPr>
            <w:tcW w:w="100" w:type="dxa"/>
            <w:vAlign w:val="bottom"/>
          </w:tcPr>
          <w:p>
            <w:pPr>
              <w:spacing w:after="0"/>
              <w:rPr>
                <w:sz w:val="16"/>
                <w:szCs w:val="16"/>
                <w:color w:val="auto"/>
              </w:rPr>
            </w:pPr>
          </w:p>
        </w:tc>
      </w:tr>
      <w:tr>
        <w:trPr>
          <w:trHeight w:val="189"/>
        </w:trPr>
        <w:tc>
          <w:tcPr>
            <w:tcW w:w="60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5"/>
                <w:szCs w:val="15"/>
                <w:color w:val="auto"/>
              </w:rPr>
              <w:t>Income taxes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100" w:type="dxa"/>
            <w:vAlign w:val="bottom"/>
            <w:shd w:val="clear" w:color="auto" w:fill="CFF0FC"/>
          </w:tcPr>
          <w:p>
            <w:pPr>
              <w:spacing w:after="0"/>
              <w:rPr>
                <w:sz w:val="16"/>
                <w:szCs w:val="16"/>
                <w:color w:val="auto"/>
              </w:rPr>
            </w:pPr>
          </w:p>
        </w:tc>
      </w:tr>
      <w:tr>
        <w:trPr>
          <w:trHeight w:val="189"/>
        </w:trPr>
        <w:tc>
          <w:tcPr>
            <w:tcW w:w="60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Acquisitions:</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0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Net assets acquired, net of cash acquired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52,659</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13,675</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52,659</w:t>
            </w:r>
          </w:p>
        </w:tc>
        <w:tc>
          <w:tcPr>
            <w:tcW w:w="100" w:type="dxa"/>
            <w:vAlign w:val="bottom"/>
            <w:shd w:val="clear" w:color="auto" w:fill="CFF0FC"/>
          </w:tcPr>
          <w:p>
            <w:pPr>
              <w:spacing w:after="0"/>
              <w:rPr>
                <w:sz w:val="16"/>
                <w:szCs w:val="16"/>
                <w:color w:val="auto"/>
              </w:rPr>
            </w:pPr>
          </w:p>
        </w:tc>
      </w:tr>
      <w:tr>
        <w:trPr>
          <w:trHeight w:val="189"/>
        </w:trPr>
        <w:tc>
          <w:tcPr>
            <w:tcW w:w="60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Working capital adjustment receivable</w:t>
            </w:r>
          </w:p>
        </w:tc>
        <w:tc>
          <w:tcPr>
            <w:tcW w:w="100" w:type="dxa"/>
            <w:vAlign w:val="bottom"/>
          </w:tcPr>
          <w:p>
            <w:pPr>
              <w:spacing w:after="0"/>
              <w:rPr>
                <w:sz w:val="16"/>
                <w:szCs w:val="16"/>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(145 )</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100" w:type="dxa"/>
            <w:vAlign w:val="bottom"/>
          </w:tcPr>
          <w:p>
            <w:pPr>
              <w:spacing w:after="0"/>
              <w:rPr>
                <w:sz w:val="16"/>
                <w:szCs w:val="16"/>
                <w:color w:val="auto"/>
              </w:rPr>
            </w:pPr>
          </w:p>
        </w:tc>
      </w:tr>
      <w:tr>
        <w:trPr>
          <w:trHeight w:val="189"/>
        </w:trPr>
        <w:tc>
          <w:tcPr>
            <w:tcW w:w="60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(7,800 )</w:t>
            </w:r>
          </w:p>
        </w:tc>
        <w:tc>
          <w:tcPr>
            <w:tcW w:w="1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(7,800 )</w:t>
            </w:r>
          </w:p>
        </w:tc>
      </w:tr>
      <w:tr>
        <w:trPr>
          <w:trHeight w:val="183"/>
        </w:trPr>
        <w:tc>
          <w:tcPr>
            <w:tcW w:w="608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5"/>
                <w:szCs w:val="15"/>
                <w:color w:val="auto"/>
              </w:rPr>
              <w:t>Net cash paid for acquisitions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top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45,023</w:t>
            </w: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13,530</w:t>
            </w:r>
          </w:p>
        </w:tc>
        <w:tc>
          <w:tcPr>
            <w:tcW w:w="260" w:type="dxa"/>
            <w:vAlign w:val="bottom"/>
            <w:tcBorders>
              <w:top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45,023</w:t>
            </w:r>
          </w:p>
        </w:tc>
        <w:tc>
          <w:tcPr>
            <w:tcW w:w="100" w:type="dxa"/>
            <w:vAlign w:val="bottom"/>
            <w:tcBorders>
              <w:top w:val="single" w:sz="8" w:color="CFF0FC"/>
            </w:tcBorders>
          </w:tcPr>
          <w:p>
            <w:pPr>
              <w:spacing w:after="0"/>
              <w:rPr>
                <w:sz w:val="15"/>
                <w:szCs w:val="15"/>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08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Supplemental disclosure of non-cash investing activities:</w:t>
            </w: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98"/>
        </w:trPr>
        <w:tc>
          <w:tcPr>
            <w:tcW w:w="60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Capital expenditures included in accounts payable and accrued expenses and other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1,085</w:t>
            </w:r>
          </w:p>
        </w:tc>
        <w:tc>
          <w:tcPr>
            <w:tcW w:w="2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1,085</w:t>
            </w:r>
          </w:p>
        </w:tc>
        <w:tc>
          <w:tcPr>
            <w:tcW w:w="26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100" w:type="dxa"/>
            <w:vAlign w:val="bottom"/>
          </w:tcPr>
          <w:p>
            <w:pPr>
              <w:spacing w:after="0"/>
              <w:rPr>
                <w:sz w:val="17"/>
                <w:szCs w:val="17"/>
                <w:color w:val="auto"/>
              </w:rPr>
            </w:pPr>
          </w:p>
        </w:tc>
      </w:tr>
      <w:tr>
        <w:trPr>
          <w:trHeight w:val="1186"/>
        </w:trPr>
        <w:tc>
          <w:tcPr>
            <w:tcW w:w="6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-4611370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-4611370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-4611370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-4611370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-3874135</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-3874135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-3874135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-3874135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-2647950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-2647950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-2647950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-2150745</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-2133600</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-2150745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-2133600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-2150745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-2133600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-1165225</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-1165225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-1165225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31" w:name="page32"/>
    <w:bookmarkEnd w:id="3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 to Closest GAAP Equivalent</w:t>
      </w:r>
    </w:p>
    <w:p>
      <w:pPr>
        <w:spacing w:after="0" w:line="2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Reconciliation of GAAP Operating Cash Flow to Unlevered Free Cash Flow</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54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3"/>
        </w:trPr>
        <w:tc>
          <w:tcPr>
            <w:tcW w:w="5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2"/>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19,432</w:t>
            </w:r>
          </w:p>
        </w:tc>
        <w:tc>
          <w:tcPr>
            <w:tcW w:w="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50,061</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36,481</w:t>
            </w:r>
          </w:p>
        </w:tc>
        <w:tc>
          <w:tcPr>
            <w:tcW w:w="100" w:type="dxa"/>
            <w:vAlign w:val="bottom"/>
          </w:tcPr>
          <w:p>
            <w:pPr>
              <w:spacing w:after="0"/>
              <w:rPr>
                <w:sz w:val="20"/>
                <w:szCs w:val="20"/>
                <w:color w:val="auto"/>
              </w:rPr>
            </w:pPr>
          </w:p>
        </w:tc>
      </w:tr>
      <w:tr>
        <w:trPr>
          <w:trHeight w:val="247"/>
        </w:trPr>
        <w:tc>
          <w:tcPr>
            <w:tcW w:w="5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Purchases of property, equipment, and other assets</w:t>
            </w: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(767 )</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(305 )</w:t>
            </w: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(1,443 )</w:t>
            </w: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(2,383 )</w:t>
            </w:r>
          </w:p>
        </w:tc>
      </w:tr>
      <w:tr>
        <w:trPr>
          <w:trHeight w:val="239"/>
        </w:trPr>
        <w:tc>
          <w:tcPr>
            <w:tcW w:w="5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paid in cash</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10,772</w:t>
            </w:r>
          </w:p>
        </w:tc>
        <w:tc>
          <w:tcPr>
            <w:tcW w:w="100" w:type="dxa"/>
            <w:vAlign w:val="bottom"/>
          </w:tcPr>
          <w:p>
            <w:pPr>
              <w:spacing w:after="0"/>
              <w:rPr>
                <w:sz w:val="20"/>
                <w:szCs w:val="20"/>
                <w:color w:val="auto"/>
              </w:rPr>
            </w:pPr>
          </w:p>
        </w:tc>
      </w:tr>
      <w:tr>
        <w:trPr>
          <w:trHeight w:val="247"/>
        </w:trPr>
        <w:tc>
          <w:tcPr>
            <w:tcW w:w="5600" w:type="dxa"/>
            <w:vAlign w:val="bottom"/>
            <w:shd w:val="clear" w:color="auto" w:fill="CFF0FC"/>
          </w:tcPr>
          <w:p>
            <w:pPr>
              <w:ind w:left="80"/>
              <w:spacing w:after="0" w:line="248" w:lineRule="exact"/>
              <w:rPr>
                <w:sz w:val="20"/>
                <w:szCs w:val="20"/>
                <w:color w:val="auto"/>
              </w:rPr>
            </w:pPr>
            <w:r>
              <w:rPr>
                <w:rFonts w:ascii="Times New Roman" w:cs="Times New Roman" w:eastAsia="Times New Roman" w:hAnsi="Times New Roman"/>
                <w:sz w:val="18"/>
                <w:szCs w:val="18"/>
                <w:color w:val="auto"/>
              </w:rPr>
              <w:t xml:space="preserve">Transaction, integration, and restructuring expenses paid in cash </w:t>
            </w:r>
            <w:r>
              <w:rPr>
                <w:rFonts w:ascii="Times New Roman" w:cs="Times New Roman" w:eastAsia="Times New Roman" w:hAnsi="Times New Roman"/>
                <w:sz w:val="24"/>
                <w:szCs w:val="24"/>
                <w:color w:val="auto"/>
                <w:vertAlign w:val="superscript"/>
              </w:rPr>
              <w:t>(a)</w:t>
            </w: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9,511</w:t>
            </w:r>
          </w:p>
        </w:tc>
        <w:tc>
          <w:tcPr>
            <w:tcW w:w="100" w:type="dxa"/>
            <w:vAlign w:val="bottom"/>
            <w:shd w:val="clear" w:color="auto" w:fill="CFF0FC"/>
          </w:tcPr>
          <w:p>
            <w:pPr>
              <w:spacing w:after="0"/>
              <w:rPr>
                <w:sz w:val="21"/>
                <w:szCs w:val="21"/>
                <w:color w:val="auto"/>
              </w:rPr>
            </w:pPr>
          </w:p>
        </w:tc>
      </w:tr>
      <w:tr>
        <w:trPr>
          <w:trHeight w:val="243"/>
        </w:trPr>
        <w:tc>
          <w:tcPr>
            <w:tcW w:w="5600" w:type="dxa"/>
            <w:vAlign w:val="bottom"/>
          </w:tcPr>
          <w:p>
            <w:pPr>
              <w:ind w:left="80"/>
              <w:spacing w:after="0" w:line="243" w:lineRule="exact"/>
              <w:rPr>
                <w:sz w:val="20"/>
                <w:szCs w:val="20"/>
                <w:color w:val="auto"/>
              </w:rPr>
            </w:pPr>
            <w:r>
              <w:rPr>
                <w:rFonts w:ascii="Times New Roman" w:cs="Times New Roman" w:eastAsia="Times New Roman" w:hAnsi="Times New Roman"/>
                <w:sz w:val="18"/>
                <w:szCs w:val="18"/>
                <w:color w:val="auto"/>
              </w:rPr>
              <w:t xml:space="preserve">Earnout payment </w:t>
            </w:r>
            <w:r>
              <w:rPr>
                <w:rFonts w:ascii="Times New Roman" w:cs="Times New Roman" w:eastAsia="Times New Roman" w:hAnsi="Times New Roman"/>
                <w:sz w:val="24"/>
                <w:szCs w:val="24"/>
                <w:color w:val="auto"/>
                <w:vertAlign w:val="superscript"/>
              </w:rPr>
              <w:t>(b)</w:t>
            </w:r>
          </w:p>
        </w:tc>
        <w:tc>
          <w:tcPr>
            <w:tcW w:w="16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tcBorders>
              <w:bottom w:val="single" w:sz="8" w:color="CFF0FC"/>
            </w:tcBorders>
            <w:shd w:val="clear" w:color="auto" w:fill="CFF0FC"/>
          </w:tcPr>
          <w:p>
            <w:pPr>
              <w:ind w:left="80"/>
              <w:spacing w:after="0" w:line="243" w:lineRule="exact"/>
              <w:rPr>
                <w:sz w:val="20"/>
                <w:szCs w:val="20"/>
                <w:color w:val="auto"/>
              </w:rPr>
            </w:pPr>
            <w:r>
              <w:rPr>
                <w:rFonts w:ascii="Times New Roman" w:cs="Times New Roman" w:eastAsia="Times New Roman" w:hAnsi="Times New Roman"/>
                <w:sz w:val="18"/>
                <w:szCs w:val="18"/>
                <w:color w:val="auto"/>
              </w:rPr>
              <w:t xml:space="preserve">Other non-core items </w:t>
            </w:r>
            <w:r>
              <w:rPr>
                <w:rFonts w:ascii="Times New Roman" w:cs="Times New Roman" w:eastAsia="Times New Roman" w:hAnsi="Times New Roman"/>
                <w:sz w:val="24"/>
                <w:szCs w:val="24"/>
                <w:color w:val="auto"/>
                <w:vertAlign w:val="superscript"/>
              </w:rPr>
              <w:t>(c)</w:t>
            </w:r>
          </w:p>
        </w:tc>
        <w:tc>
          <w:tcPr>
            <w:tcW w:w="1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Unlevered Free Cash Flow</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24,299</w:t>
            </w:r>
          </w:p>
        </w:tc>
        <w:tc>
          <w:tcPr>
            <w:tcW w:w="3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74,064</w:t>
            </w:r>
          </w:p>
        </w:tc>
        <w:tc>
          <w:tcPr>
            <w:tcW w:w="2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57,453</w:t>
            </w:r>
          </w:p>
        </w:tc>
        <w:tc>
          <w:tcPr>
            <w:tcW w:w="100" w:type="dxa"/>
            <w:vAlign w:val="bottom"/>
          </w:tcPr>
          <w:p>
            <w:pPr>
              <w:spacing w:after="0"/>
              <w:rPr>
                <w:sz w:val="20"/>
                <w:szCs w:val="20"/>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-187960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-187960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-187960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20" w:right="780" w:firstLine="1"/>
        <w:spacing w:after="0" w:line="261" w:lineRule="auto"/>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integration expenses paid in cash primarily represent legal, accounting, and consulting expenses related to our acquisitions. Restructuring expenses paid in cash relate to our restructuring plans.</w:t>
      </w:r>
    </w:p>
    <w:p>
      <w:pPr>
        <w:ind w:left="420" w:hanging="399"/>
        <w:spacing w:after="0"/>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payment represents final settlement of contingent consideration included in cash flow from operations.</w:t>
      </w:r>
    </w:p>
    <w:p>
      <w:pPr>
        <w:spacing w:after="0" w:line="9" w:lineRule="exact"/>
        <w:rPr>
          <w:rFonts w:ascii="Times New Roman" w:cs="Times New Roman" w:eastAsia="Times New Roman" w:hAnsi="Times New Roman"/>
          <w:sz w:val="18"/>
          <w:szCs w:val="18"/>
          <w:color w:val="auto"/>
        </w:rPr>
      </w:pPr>
    </w:p>
    <w:p>
      <w:pPr>
        <w:ind w:left="400" w:hanging="379"/>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Non-core items represent expenses driven by events that are typically by nature one-time, non-operational, and unrelated to our core operations.</w:t>
      </w:r>
    </w:p>
    <w:p>
      <w:pPr>
        <w:spacing w:after="0" w:line="200" w:lineRule="exact"/>
        <w:rPr>
          <w:sz w:val="20"/>
          <w:szCs w:val="20"/>
          <w:color w:val="auto"/>
        </w:rPr>
      </w:pPr>
    </w:p>
    <w:p>
      <w:pPr>
        <w:spacing w:after="0" w:line="2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Reconciliation of GAAP Net Loss to Adjusted Net Income and</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GAAP Operating Loss to Adjusted Operating Income</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54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3"/>
        </w:trPr>
        <w:tc>
          <w:tcPr>
            <w:tcW w:w="5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6"/>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(187,824 )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(248,688 )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(506,729 )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(276,265 )</w:t>
            </w:r>
          </w:p>
        </w:tc>
      </w:tr>
      <w:tr>
        <w:trPr>
          <w:trHeight w:val="239"/>
        </w:trPr>
        <w:tc>
          <w:tcPr>
            <w:tcW w:w="5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 Income tax benefit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(13,724 )</w:t>
            </w: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(17,534 )</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(36,404 )</w:t>
            </w:r>
          </w:p>
        </w:tc>
        <w:tc>
          <w:tcPr>
            <w:tcW w:w="1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(19,728 )</w:t>
            </w:r>
          </w:p>
        </w:tc>
      </w:tr>
      <w:tr>
        <w:trPr>
          <w:trHeight w:val="247"/>
        </w:trPr>
        <w:tc>
          <w:tcPr>
            <w:tcW w:w="5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Add: Interest expense (income), net</w:t>
            </w: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(58 )</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shd w:val="clear" w:color="auto" w:fill="CFF0FC"/>
          </w:tcPr>
          <w:p>
            <w:pPr>
              <w:spacing w:after="0"/>
              <w:rPr>
                <w:sz w:val="21"/>
                <w:szCs w:val="21"/>
                <w:color w:val="auto"/>
              </w:rPr>
            </w:pPr>
          </w:p>
        </w:tc>
      </w:tr>
      <w:tr>
        <w:trPr>
          <w:trHeight w:val="239"/>
        </w:trPr>
        <w:tc>
          <w:tcPr>
            <w:tcW w:w="5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 Other income, net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(23,826 )</w:t>
            </w: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(29,589 )</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(68,066 )</w:t>
            </w:r>
          </w:p>
        </w:tc>
        <w:tc>
          <w:tcPr>
            <w:tcW w:w="1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(25,161 )</w:t>
            </w:r>
          </w:p>
        </w:tc>
      </w:tr>
      <w:tr>
        <w:trPr>
          <w:trHeight w:val="20"/>
        </w:trPr>
        <w:tc>
          <w:tcPr>
            <w:tcW w:w="5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9"/>
        </w:trPr>
        <w:tc>
          <w:tcPr>
            <w:tcW w:w="5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(225,367 )</w:t>
            </w: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(295,378 )</w:t>
            </w: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(611,257 )</w:t>
            </w: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(319,720 )</w:t>
            </w:r>
          </w:p>
        </w:tc>
      </w:tr>
      <w:tr>
        <w:trPr>
          <w:trHeight w:val="207"/>
        </w:trPr>
        <w:tc>
          <w:tcPr>
            <w:tcW w:w="560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Add: Amortization of intangible assets acquired through business</w:t>
            </w: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41"/>
        </w:trPr>
        <w:tc>
          <w:tcPr>
            <w:tcW w:w="5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combinations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34,589</w:t>
            </w:r>
          </w:p>
        </w:tc>
        <w:tc>
          <w:tcPr>
            <w:tcW w:w="100" w:type="dxa"/>
            <w:vAlign w:val="bottom"/>
          </w:tcPr>
          <w:p>
            <w:pPr>
              <w:spacing w:after="0"/>
              <w:rPr>
                <w:sz w:val="20"/>
                <w:szCs w:val="20"/>
                <w:color w:val="auto"/>
              </w:rPr>
            </w:pPr>
          </w:p>
        </w:tc>
      </w:tr>
      <w:tr>
        <w:trPr>
          <w:trHeight w:val="250"/>
        </w:trPr>
        <w:tc>
          <w:tcPr>
            <w:tcW w:w="5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Add: Equity-based compensation</w:t>
            </w: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35,485</w:t>
            </w:r>
          </w:p>
        </w:tc>
        <w:tc>
          <w:tcPr>
            <w:tcW w:w="100" w:type="dxa"/>
            <w:vAlign w:val="bottom"/>
            <w:shd w:val="clear" w:color="auto" w:fill="CFF0FC"/>
          </w:tcPr>
          <w:p>
            <w:pPr>
              <w:spacing w:after="0"/>
              <w:rPr>
                <w:sz w:val="21"/>
                <w:szCs w:val="21"/>
                <w:color w:val="auto"/>
              </w:rPr>
            </w:pPr>
          </w:p>
        </w:tc>
      </w:tr>
      <w:tr>
        <w:trPr>
          <w:trHeight w:val="239"/>
        </w:trPr>
        <w:tc>
          <w:tcPr>
            <w:tcW w:w="5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 Transaction, integration, and restructuring expenses</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(1,995 )</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100" w:type="dxa"/>
            <w:vAlign w:val="bottom"/>
          </w:tcPr>
          <w:p>
            <w:pPr>
              <w:spacing w:after="0"/>
              <w:rPr>
                <w:sz w:val="20"/>
                <w:szCs w:val="20"/>
                <w:color w:val="auto"/>
              </w:rPr>
            </w:pPr>
          </w:p>
        </w:tc>
      </w:tr>
      <w:tr>
        <w:trPr>
          <w:trHeight w:val="247"/>
        </w:trPr>
        <w:tc>
          <w:tcPr>
            <w:tcW w:w="5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Add: Goodwill impairment charge</w:t>
            </w: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228,153</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287,400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591,794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287,400</w:t>
            </w:r>
          </w:p>
        </w:tc>
        <w:tc>
          <w:tcPr>
            <w:tcW w:w="100" w:type="dxa"/>
            <w:vAlign w:val="bottom"/>
            <w:shd w:val="clear" w:color="auto" w:fill="CFF0FC"/>
          </w:tcPr>
          <w:p>
            <w:pPr>
              <w:spacing w:after="0"/>
              <w:rPr>
                <w:sz w:val="21"/>
                <w:szCs w:val="21"/>
                <w:color w:val="auto"/>
              </w:rPr>
            </w:pPr>
          </w:p>
        </w:tc>
      </w:tr>
      <w:tr>
        <w:trPr>
          <w:trHeight w:val="239"/>
        </w:trPr>
        <w:tc>
          <w:tcPr>
            <w:tcW w:w="5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 Other non-core items</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tcPr>
          <w:p>
            <w:pPr>
              <w:spacing w:after="0"/>
              <w:rPr>
                <w:sz w:val="20"/>
                <w:szCs w:val="20"/>
                <w:color w:val="auto"/>
              </w:rPr>
            </w:pPr>
          </w:p>
        </w:tc>
      </w:tr>
      <w:tr>
        <w:trPr>
          <w:trHeight w:val="239"/>
        </w:trPr>
        <w:tc>
          <w:tcPr>
            <w:tcW w:w="5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1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19,037</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20,383</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56,891</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50,492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5"/>
        </w:trPr>
        <w:tc>
          <w:tcPr>
            <w:tcW w:w="5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Less: Interest (expense) income, net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(7 )</w:t>
            </w: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(433 )</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(1,434 )</w:t>
            </w:r>
          </w:p>
        </w:tc>
      </w:tr>
      <w:tr>
        <w:trPr>
          <w:trHeight w:val="247"/>
        </w:trPr>
        <w:tc>
          <w:tcPr>
            <w:tcW w:w="5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Recurring income tax (provision) benefit</w:t>
            </w: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(119 )</w:t>
            </w: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shd w:val="clear" w:color="auto" w:fill="CFF0FC"/>
          </w:tcPr>
          <w:p>
            <w:pPr>
              <w:spacing w:after="0"/>
              <w:rPr>
                <w:sz w:val="21"/>
                <w:szCs w:val="21"/>
                <w:color w:val="auto"/>
              </w:rPr>
            </w:pPr>
          </w:p>
        </w:tc>
      </w:tr>
      <w:tr>
        <w:trPr>
          <w:trHeight w:val="239"/>
        </w:trPr>
        <w:tc>
          <w:tcPr>
            <w:tcW w:w="5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Less: Foreign currency (loss) gain</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(357 )</w:t>
            </w: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(86 )</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(85 )</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0"/>
                <w:szCs w:val="20"/>
                <w:color w:val="auto"/>
              </w:rPr>
            </w:pPr>
          </w:p>
        </w:tc>
      </w:tr>
      <w:tr>
        <w:trPr>
          <w:trHeight w:val="243"/>
        </w:trPr>
        <w:tc>
          <w:tcPr>
            <w:tcW w:w="5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Tax impacts of adjustments to net loss</w:t>
            </w: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(3,161 )</w:t>
            </w:r>
          </w:p>
        </w:tc>
        <w:tc>
          <w:tcPr>
            <w:tcW w:w="2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(5,643 )</w:t>
            </w: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(14,883 )</w:t>
            </w: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(15,747 )</w:t>
            </w:r>
          </w:p>
        </w:tc>
      </w:tr>
      <w:tr>
        <w:trPr>
          <w:trHeight w:val="238"/>
        </w:trPr>
        <w:tc>
          <w:tcPr>
            <w:tcW w:w="560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15,393</w:t>
            </w:r>
          </w:p>
        </w:tc>
        <w:tc>
          <w:tcPr>
            <w:tcW w:w="30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14,576</w:t>
            </w: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42,590</w:t>
            </w: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36,044</w:t>
            </w:r>
          </w:p>
        </w:tc>
        <w:tc>
          <w:tcPr>
            <w:tcW w:w="100" w:type="dxa"/>
            <w:vAlign w:val="bottom"/>
            <w:tcBorders>
              <w:top w:val="single" w:sz="8" w:color="CFF0FC"/>
            </w:tcBorders>
          </w:tcPr>
          <w:p>
            <w:pPr>
              <w:spacing w:after="0"/>
              <w:rPr>
                <w:sz w:val="20"/>
                <w:szCs w:val="20"/>
                <w:color w:val="auto"/>
              </w:rPr>
            </w:pPr>
          </w:p>
        </w:tc>
      </w:tr>
      <w:tr>
        <w:trPr>
          <w:trHeight w:val="239"/>
        </w:trPr>
        <w:tc>
          <w:tcPr>
            <w:tcW w:w="5600" w:type="dxa"/>
            <w:vAlign w:val="bottom"/>
            <w:shd w:val="clear" w:color="auto" w:fill="CFF0FC"/>
          </w:tcPr>
          <w:p>
            <w:pPr>
              <w:ind w:left="80"/>
              <w:spacing w:after="0" w:line="239" w:lineRule="exact"/>
              <w:rPr>
                <w:sz w:val="20"/>
                <w:szCs w:val="20"/>
                <w:color w:val="auto"/>
              </w:rPr>
            </w:pPr>
            <w:r>
              <w:rPr>
                <w:rFonts w:ascii="Times New Roman" w:cs="Times New Roman" w:eastAsia="Times New Roman" w:hAnsi="Times New Roman"/>
                <w:sz w:val="18"/>
                <w:szCs w:val="18"/>
                <w:color w:val="auto"/>
              </w:rPr>
              <w:t xml:space="preserve">Shares for Adjusted Net Income Per Diluted Share </w:t>
            </w:r>
            <w:r>
              <w:rPr>
                <w:rFonts w:ascii="Times New Roman" w:cs="Times New Roman" w:eastAsia="Times New Roman" w:hAnsi="Times New Roman"/>
                <w:sz w:val="24"/>
                <w:szCs w:val="24"/>
                <w:color w:val="auto"/>
                <w:vertAlign w:val="superscript"/>
              </w:rPr>
              <w:t>(a)</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155,519,356</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154,970,793</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156,339,848</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154,592,703</w:t>
            </w:r>
          </w:p>
        </w:tc>
        <w:tc>
          <w:tcPr>
            <w:tcW w:w="100" w:type="dxa"/>
            <w:vAlign w:val="bottom"/>
            <w:shd w:val="clear" w:color="auto" w:fill="CFF0FC"/>
          </w:tcPr>
          <w:p>
            <w:pPr>
              <w:spacing w:after="0"/>
              <w:rPr>
                <w:sz w:val="20"/>
                <w:szCs w:val="20"/>
                <w:color w:val="auto"/>
              </w:rPr>
            </w:pPr>
          </w:p>
        </w:tc>
      </w:tr>
      <w:tr>
        <w:trPr>
          <w:trHeight w:val="234"/>
        </w:trPr>
        <w:tc>
          <w:tcPr>
            <w:tcW w:w="5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Adjusted Net Income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-2179955</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-2179955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-2179955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-2179955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-1099820</wp:posOffset>
            </wp:positionV>
            <wp:extent cx="768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-1099820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-1099820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-1099820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-473710</wp:posOffset>
            </wp:positionV>
            <wp:extent cx="768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-473710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-473710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-473710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7" w:lineRule="exact"/>
        <w:rPr>
          <w:sz w:val="20"/>
          <w:szCs w:val="20"/>
          <w:color w:val="auto"/>
        </w:rPr>
      </w:pPr>
    </w:p>
    <w:p>
      <w:pPr>
        <w:ind w:left="20" w:right="120" w:firstLine="1"/>
        <w:spacing w:after="0" w:line="261" w:lineRule="auto"/>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Adjusted Net Income Per Share is computed by giving effect to all potential weighted average Class A common stock and any securities that are convertible into Class A common stock, including Definitive OpCo units and restricted stock units. The dilutive effect of outstanding awards and convertible securities is reflected in diluted earnings per share by application of the treasury stock method assuming proceeds from unrecognized compensation as required by GAAP. Fully diluted shares are 163,996,756 and 162,910,958 as of September 30,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738505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2" w:name="page33"/>
    <w:bookmarkEnd w:id="32"/>
    <w:p>
      <w:pPr>
        <w:spacing w:after="0" w:line="200" w:lineRule="exact"/>
        <w:rPr>
          <w:sz w:val="20"/>
          <w:szCs w:val="20"/>
          <w:color w:val="auto"/>
        </w:rPr>
      </w:pPr>
    </w:p>
    <w:p>
      <w:pPr>
        <w:spacing w:after="0" w:line="22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Reconciliation of GAAP Gross Profit and Margin to Adjusted Gross Profit and Margin</w:t>
      </w:r>
    </w:p>
    <w:p>
      <w:pPr>
        <w:spacing w:after="0" w:line="3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(in thousands, except percentages; 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60" w:type="dxa"/>
            <w:vAlign w:val="bottom"/>
            <w:gridSpan w:val="1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20" w:type="dxa"/>
            <w:vAlign w:val="bottom"/>
            <w:gridSpan w:val="13"/>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gridSpan w:val="3"/>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3"/>
          </w:tcPr>
          <w:p>
            <w:pPr>
              <w:jc w:val="right"/>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188"/>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60" w:type="dxa"/>
            <w:vAlign w:val="bottom"/>
          </w:tcPr>
          <w:p>
            <w:pPr>
              <w:spacing w:after="0"/>
              <w:rPr>
                <w:sz w:val="16"/>
                <w:szCs w:val="16"/>
                <w:color w:val="auto"/>
              </w:rPr>
            </w:pPr>
          </w:p>
        </w:tc>
        <w:tc>
          <w:tcPr>
            <w:tcW w:w="7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Reported gross profit and margin</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49,031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78 %</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53,430</w:t>
            </w:r>
          </w:p>
        </w:tc>
        <w:tc>
          <w:tcPr>
            <w:tcW w:w="1180" w:type="dxa"/>
            <w:vAlign w:val="bottom"/>
            <w:gridSpan w:val="6"/>
          </w:tcPr>
          <w:p>
            <w:pPr>
              <w:jc w:val="right"/>
              <w:ind w:right="20"/>
              <w:spacing w:after="0"/>
              <w:rPr>
                <w:sz w:val="20"/>
                <w:szCs w:val="20"/>
                <w:color w:val="auto"/>
              </w:rPr>
            </w:pPr>
            <w:r>
              <w:rPr>
                <w:rFonts w:ascii="Times New Roman" w:cs="Times New Roman" w:eastAsia="Times New Roman" w:hAnsi="Times New Roman"/>
                <w:sz w:val="16"/>
                <w:szCs w:val="16"/>
                <w:color w:val="auto"/>
              </w:rPr>
              <w:t>82 %</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$ 149,867</w:t>
            </w:r>
          </w:p>
        </w:tc>
        <w:tc>
          <w:tcPr>
            <w:tcW w:w="1840" w:type="dxa"/>
            <w:vAlign w:val="bottom"/>
            <w:gridSpan w:val="8"/>
          </w:tcPr>
          <w:p>
            <w:pPr>
              <w:jc w:val="right"/>
              <w:ind w:right="20"/>
              <w:spacing w:after="0"/>
              <w:rPr>
                <w:sz w:val="20"/>
                <w:szCs w:val="20"/>
                <w:color w:val="auto"/>
              </w:rPr>
            </w:pPr>
            <w:r>
              <w:rPr>
                <w:rFonts w:ascii="Times New Roman" w:cs="Times New Roman" w:eastAsia="Times New Roman" w:hAnsi="Times New Roman"/>
                <w:sz w:val="16"/>
                <w:szCs w:val="16"/>
                <w:color w:val="auto"/>
              </w:rPr>
              <w:t>79 % $ 150,514</w:t>
            </w: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81 %</w:t>
            </w:r>
          </w:p>
        </w:tc>
        <w:tc>
          <w:tcPr>
            <w:tcW w:w="0" w:type="dxa"/>
            <w:vAlign w:val="bottom"/>
          </w:tcPr>
          <w:p>
            <w:pPr>
              <w:spacing w:after="0"/>
              <w:rPr>
                <w:sz w:val="1"/>
                <w:szCs w:val="1"/>
                <w:color w:val="auto"/>
              </w:rPr>
            </w:pPr>
          </w:p>
        </w:tc>
      </w:tr>
      <w:tr>
        <w:trPr>
          <w:trHeight w:val="221"/>
        </w:trPr>
        <w:tc>
          <w:tcPr>
            <w:tcW w:w="37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acquired through</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combinations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4"/>
              </w:rPr>
              <w:t>4 %</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7,383</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6,907</w:t>
            </w: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49"/>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compensation costs</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1"/>
              </w:rPr>
              <w:t>0 %</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668</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830</w:t>
            </w:r>
          </w:p>
        </w:tc>
        <w:tc>
          <w:tcPr>
            <w:tcW w:w="11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7"/>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gross profit and margin</w:t>
            </w: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51,692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82 %</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56,009</w:t>
            </w:r>
          </w:p>
        </w:tc>
        <w:tc>
          <w:tcPr>
            <w:tcW w:w="1180" w:type="dxa"/>
            <w:vAlign w:val="bottom"/>
            <w:gridSpan w:val="6"/>
          </w:tcPr>
          <w:p>
            <w:pPr>
              <w:jc w:val="right"/>
              <w:ind w:right="20"/>
              <w:spacing w:after="0"/>
              <w:rPr>
                <w:sz w:val="20"/>
                <w:szCs w:val="20"/>
                <w:color w:val="auto"/>
              </w:rPr>
            </w:pPr>
            <w:r>
              <w:rPr>
                <w:rFonts w:ascii="Times New Roman" w:cs="Times New Roman" w:eastAsia="Times New Roman" w:hAnsi="Times New Roman"/>
                <w:sz w:val="16"/>
                <w:szCs w:val="16"/>
                <w:color w:val="auto"/>
              </w:rPr>
              <w:t>86 %</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$ 157,918</w:t>
            </w:r>
          </w:p>
        </w:tc>
        <w:tc>
          <w:tcPr>
            <w:tcW w:w="1840" w:type="dxa"/>
            <w:vAlign w:val="bottom"/>
            <w:gridSpan w:val="8"/>
          </w:tcPr>
          <w:p>
            <w:pPr>
              <w:jc w:val="right"/>
              <w:ind w:right="20"/>
              <w:spacing w:after="0"/>
              <w:rPr>
                <w:sz w:val="20"/>
                <w:szCs w:val="20"/>
                <w:color w:val="auto"/>
              </w:rPr>
            </w:pPr>
            <w:r>
              <w:rPr>
                <w:rFonts w:ascii="Times New Roman" w:cs="Times New Roman" w:eastAsia="Times New Roman" w:hAnsi="Times New Roman"/>
                <w:sz w:val="16"/>
                <w:szCs w:val="16"/>
                <w:color w:val="auto"/>
              </w:rPr>
              <w:t>83 % $ 158,251</w:t>
            </w: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85 %</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8"/>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5"/>
          </w:tcPr>
          <w:p>
            <w:pPr>
              <w:jc w:val="center"/>
              <w:ind w:right="220"/>
              <w:spacing w:after="0"/>
              <w:rPr>
                <w:sz w:val="20"/>
                <w:szCs w:val="20"/>
                <w:color w:val="auto"/>
              </w:rPr>
            </w:pPr>
            <w:r>
              <w:rPr>
                <w:rFonts w:ascii="Times New Roman" w:cs="Times New Roman" w:eastAsia="Times New Roman" w:hAnsi="Times New Roman"/>
                <w:sz w:val="18"/>
                <w:szCs w:val="18"/>
                <w:color w:val="auto"/>
              </w:rPr>
              <w:t>Reconciliation of GAAP Net Loss to Adjusted EBITDA</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40" w:type="dxa"/>
            <w:vAlign w:val="bottom"/>
            <w:gridSpan w:val="16"/>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(in thousands, except percentages; unaudited)</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1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80" w:type="dxa"/>
            <w:vAlign w:val="bottom"/>
            <w:gridSpan w:val="1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9"/>
        </w:trPr>
        <w:tc>
          <w:tcPr>
            <w:tcW w:w="29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5"/>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5"/>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680" w:type="dxa"/>
            <w:vAlign w:val="bottom"/>
            <w:gridSpan w:val="4"/>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1"/>
                <w:szCs w:val="11"/>
                <w:color w:val="auto"/>
              </w:rPr>
            </w:pPr>
          </w:p>
        </w:tc>
        <w:tc>
          <w:tcPr>
            <w:tcW w:w="88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6"/>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jc w:val="right"/>
              <w:ind w:right="248"/>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248"/>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1020" w:type="dxa"/>
            <w:vAlign w:val="bottom"/>
            <w:gridSpan w:val="6"/>
            <w:vMerge w:val="continue"/>
          </w:tcPr>
          <w:p>
            <w:pPr>
              <w:spacing w:after="0"/>
              <w:rPr>
                <w:sz w:val="9"/>
                <w:szCs w:val="9"/>
                <w:color w:val="auto"/>
              </w:rPr>
            </w:pPr>
          </w:p>
        </w:tc>
        <w:tc>
          <w:tcPr>
            <w:tcW w:w="74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7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9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Borders>
              <w:bottom w:val="single" w:sz="8" w:color="auto"/>
            </w:tcBorders>
            <w:gridSpan w:val="3"/>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and margin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(187,824 )</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gridSpan w:val="9"/>
          </w:tcPr>
          <w:p>
            <w:pPr>
              <w:jc w:val="right"/>
              <w:ind w:right="61"/>
              <w:spacing w:after="0"/>
              <w:rPr>
                <w:sz w:val="20"/>
                <w:szCs w:val="20"/>
                <w:color w:val="auto"/>
              </w:rPr>
            </w:pPr>
            <w:r>
              <w:rPr>
                <w:rFonts w:ascii="Times New Roman" w:cs="Times New Roman" w:eastAsia="Times New Roman" w:hAnsi="Times New Roman"/>
                <w:sz w:val="16"/>
                <w:szCs w:val="16"/>
                <w:color w:val="auto"/>
              </w:rPr>
              <w:t>(300 )% $  (248,688 )</w:t>
            </w:r>
          </w:p>
        </w:tc>
        <w:tc>
          <w:tcPr>
            <w:tcW w:w="300" w:type="dxa"/>
            <w:vAlign w:val="bottom"/>
          </w:tcPr>
          <w:p>
            <w:pPr>
              <w:spacing w:after="0"/>
              <w:rPr>
                <w:sz w:val="17"/>
                <w:szCs w:val="17"/>
                <w:color w:val="auto"/>
              </w:rPr>
            </w:pPr>
          </w:p>
        </w:tc>
        <w:tc>
          <w:tcPr>
            <w:tcW w:w="1780" w:type="dxa"/>
            <w:vAlign w:val="bottom"/>
            <w:gridSpan w:val="9"/>
          </w:tcPr>
          <w:p>
            <w:pPr>
              <w:jc w:val="right"/>
              <w:ind w:right="88"/>
              <w:spacing w:after="0"/>
              <w:rPr>
                <w:sz w:val="20"/>
                <w:szCs w:val="20"/>
                <w:color w:val="auto"/>
              </w:rPr>
            </w:pPr>
            <w:r>
              <w:rPr>
                <w:rFonts w:ascii="Times New Roman" w:cs="Times New Roman" w:eastAsia="Times New Roman" w:hAnsi="Times New Roman"/>
                <w:sz w:val="16"/>
                <w:szCs w:val="16"/>
                <w:color w:val="auto"/>
              </w:rPr>
              <w:t>(381 )% $ (506,729 )</w:t>
            </w:r>
          </w:p>
        </w:tc>
        <w:tc>
          <w:tcPr>
            <w:tcW w:w="140" w:type="dxa"/>
            <w:vAlign w:val="bottom"/>
          </w:tcPr>
          <w:p>
            <w:pPr>
              <w:spacing w:after="0"/>
              <w:rPr>
                <w:sz w:val="17"/>
                <w:szCs w:val="17"/>
                <w:color w:val="auto"/>
              </w:rPr>
            </w:pP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(267 )% $</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(276,265 )</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gridSpan w:val="3"/>
          </w:tcPr>
          <w:p>
            <w:pPr>
              <w:jc w:val="right"/>
              <w:ind w:right="28"/>
              <w:spacing w:after="0"/>
              <w:rPr>
                <w:sz w:val="20"/>
                <w:szCs w:val="20"/>
                <w:color w:val="auto"/>
              </w:rPr>
            </w:pPr>
            <w:r>
              <w:rPr>
                <w:rFonts w:ascii="Times New Roman" w:cs="Times New Roman" w:eastAsia="Times New Roman" w:hAnsi="Times New Roman"/>
                <w:sz w:val="16"/>
                <w:szCs w:val="16"/>
                <w:color w:val="auto"/>
              </w:rPr>
              <w:t>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1"/>
              </w:rPr>
              <w:t>433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3"/>
          </w:tcPr>
          <w:p>
            <w:pPr>
              <w:jc w:val="right"/>
              <w:ind w:right="88"/>
              <w:spacing w:after="0"/>
              <w:rPr>
                <w:sz w:val="20"/>
                <w:szCs w:val="20"/>
                <w:color w:val="auto"/>
              </w:rPr>
            </w:pPr>
            <w:r>
              <w:rPr>
                <w:rFonts w:ascii="Times New Roman" w:cs="Times New Roman" w:eastAsia="Times New Roman" w:hAnsi="Times New Roman"/>
                <w:sz w:val="16"/>
                <w:szCs w:val="16"/>
                <w:color w:val="auto"/>
              </w:rPr>
              <w:t>(58 )</w:t>
            </w:r>
          </w:p>
        </w:tc>
        <w:tc>
          <w:tcPr>
            <w:tcW w:w="14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120" w:type="dxa"/>
            <w:vAlign w:val="bottom"/>
          </w:tcPr>
          <w:p>
            <w:pPr>
              <w:spacing w:after="0"/>
              <w:rPr>
                <w:sz w:val="19"/>
                <w:szCs w:val="19"/>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(13,724 )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20" w:type="dxa"/>
            <w:vAlign w:val="bottom"/>
          </w:tcPr>
          <w:p>
            <w:pPr>
              <w:spacing w:after="0"/>
              <w:rPr>
                <w:sz w:val="19"/>
                <w:szCs w:val="19"/>
                <w:color w:val="auto"/>
              </w:rPr>
            </w:pPr>
          </w:p>
        </w:tc>
        <w:tc>
          <w:tcPr>
            <w:tcW w:w="880" w:type="dxa"/>
            <w:vAlign w:val="bottom"/>
            <w:gridSpan w:val="5"/>
          </w:tcPr>
          <w:p>
            <w:pPr>
              <w:jc w:val="right"/>
              <w:ind w:right="61"/>
              <w:spacing w:after="0"/>
              <w:rPr>
                <w:sz w:val="20"/>
                <w:szCs w:val="20"/>
                <w:color w:val="auto"/>
              </w:rPr>
            </w:pPr>
            <w:r>
              <w:rPr>
                <w:rFonts w:ascii="Times New Roman" w:cs="Times New Roman" w:eastAsia="Times New Roman" w:hAnsi="Times New Roman"/>
                <w:sz w:val="16"/>
                <w:szCs w:val="16"/>
                <w:color w:val="auto"/>
              </w:rPr>
              <w:t>(17,534 )</w:t>
            </w:r>
          </w:p>
        </w:tc>
        <w:tc>
          <w:tcPr>
            <w:tcW w:w="30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Pr>
          <w:p>
            <w:pPr>
              <w:spacing w:after="0"/>
              <w:rPr>
                <w:sz w:val="19"/>
                <w:szCs w:val="19"/>
                <w:color w:val="auto"/>
              </w:rPr>
            </w:pPr>
          </w:p>
        </w:tc>
        <w:tc>
          <w:tcPr>
            <w:tcW w:w="880" w:type="dxa"/>
            <w:vAlign w:val="bottom"/>
            <w:gridSpan w:val="5"/>
          </w:tcPr>
          <w:p>
            <w:pPr>
              <w:jc w:val="right"/>
              <w:ind w:right="88"/>
              <w:spacing w:after="0"/>
              <w:rPr>
                <w:sz w:val="20"/>
                <w:szCs w:val="20"/>
                <w:color w:val="auto"/>
              </w:rPr>
            </w:pPr>
            <w:r>
              <w:rPr>
                <w:rFonts w:ascii="Times New Roman" w:cs="Times New Roman" w:eastAsia="Times New Roman" w:hAnsi="Times New Roman"/>
                <w:sz w:val="16"/>
                <w:szCs w:val="16"/>
                <w:color w:val="auto"/>
              </w:rPr>
              <w:t>(36,404 )</w:t>
            </w:r>
          </w:p>
        </w:tc>
        <w:tc>
          <w:tcPr>
            <w:tcW w:w="14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(19,728 )</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&amp; amortization</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gridSpan w:val="3"/>
          </w:tcPr>
          <w:p>
            <w:pPr>
              <w:jc w:val="right"/>
              <w:ind w:right="28"/>
              <w:spacing w:after="0"/>
              <w:rPr>
                <w:sz w:val="20"/>
                <w:szCs w:val="20"/>
                <w:color w:val="auto"/>
              </w:rPr>
            </w:pPr>
            <w:r>
              <w:rPr>
                <w:rFonts w:ascii="Times New Roman" w:cs="Times New Roman" w:eastAsia="Times New Roman" w:hAnsi="Times New Roman"/>
                <w:sz w:val="16"/>
                <w:szCs w:val="16"/>
                <w:color w:val="auto"/>
              </w:rPr>
              <w:t>21 %</w:t>
            </w:r>
          </w:p>
        </w:tc>
        <w:tc>
          <w:tcPr>
            <w:tcW w:w="12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13,027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38,535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38,749</w:t>
            </w:r>
          </w:p>
        </w:tc>
        <w:tc>
          <w:tcPr>
            <w:tcW w:w="120" w:type="dxa"/>
            <w:vAlign w:val="bottom"/>
          </w:tcPr>
          <w:p>
            <w:pPr>
              <w:spacing w:after="0"/>
              <w:rPr>
                <w:sz w:val="19"/>
                <w:szCs w:val="19"/>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33"/>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EBITDA and margin</w:t>
            </w: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(188,478 )</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(301 )%</w:t>
            </w:r>
          </w:p>
        </w:tc>
        <w:tc>
          <w:tcPr>
            <w:tcW w:w="120" w:type="dxa"/>
            <w:vAlign w:val="bottom"/>
          </w:tcPr>
          <w:p>
            <w:pPr>
              <w:spacing w:after="0"/>
              <w:rPr>
                <w:sz w:val="17"/>
                <w:szCs w:val="17"/>
                <w:color w:val="auto"/>
              </w:rPr>
            </w:pPr>
          </w:p>
        </w:tc>
        <w:tc>
          <w:tcPr>
            <w:tcW w:w="880" w:type="dxa"/>
            <w:vAlign w:val="bottom"/>
            <w:gridSpan w:val="5"/>
          </w:tcPr>
          <w:p>
            <w:pPr>
              <w:jc w:val="right"/>
              <w:ind w:right="61"/>
              <w:spacing w:after="0"/>
              <w:rPr>
                <w:sz w:val="20"/>
                <w:szCs w:val="20"/>
                <w:color w:val="auto"/>
              </w:rPr>
            </w:pPr>
            <w:r>
              <w:rPr>
                <w:rFonts w:ascii="Times New Roman" w:cs="Times New Roman" w:eastAsia="Times New Roman" w:hAnsi="Times New Roman"/>
                <w:sz w:val="16"/>
                <w:szCs w:val="16"/>
                <w:color w:val="auto"/>
              </w:rPr>
              <w:t>(252,762 )</w:t>
            </w:r>
          </w:p>
        </w:tc>
        <w:tc>
          <w:tcPr>
            <w:tcW w:w="300" w:type="dxa"/>
            <w:vAlign w:val="bottom"/>
          </w:tcPr>
          <w:p>
            <w:pPr>
              <w:spacing w:after="0"/>
              <w:rPr>
                <w:sz w:val="17"/>
                <w:szCs w:val="17"/>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(387 )%</w:t>
            </w:r>
          </w:p>
        </w:tc>
        <w:tc>
          <w:tcPr>
            <w:tcW w:w="100" w:type="dxa"/>
            <w:vAlign w:val="bottom"/>
          </w:tcPr>
          <w:p>
            <w:pPr>
              <w:spacing w:after="0"/>
              <w:rPr>
                <w:sz w:val="17"/>
                <w:szCs w:val="17"/>
                <w:color w:val="auto"/>
              </w:rPr>
            </w:pPr>
          </w:p>
        </w:tc>
        <w:tc>
          <w:tcPr>
            <w:tcW w:w="880" w:type="dxa"/>
            <w:vAlign w:val="bottom"/>
            <w:gridSpan w:val="5"/>
          </w:tcPr>
          <w:p>
            <w:pPr>
              <w:jc w:val="right"/>
              <w:ind w:right="88"/>
              <w:spacing w:after="0"/>
              <w:rPr>
                <w:sz w:val="20"/>
                <w:szCs w:val="20"/>
                <w:color w:val="auto"/>
              </w:rPr>
            </w:pPr>
            <w:r>
              <w:rPr>
                <w:rFonts w:ascii="Times New Roman" w:cs="Times New Roman" w:eastAsia="Times New Roman" w:hAnsi="Times New Roman"/>
                <w:sz w:val="16"/>
                <w:szCs w:val="16"/>
                <w:color w:val="auto"/>
              </w:rPr>
              <w:t>(504,656 )</w:t>
            </w:r>
          </w:p>
        </w:tc>
        <w:tc>
          <w:tcPr>
            <w:tcW w:w="140" w:type="dxa"/>
            <w:vAlign w:val="bottom"/>
          </w:tcPr>
          <w:p>
            <w:pPr>
              <w:spacing w:after="0"/>
              <w:rPr>
                <w:sz w:val="17"/>
                <w:szCs w:val="17"/>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(266 )%</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95"/>
              </w:rPr>
              <w:t>(255,810 )</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Other income, net </w:t>
            </w:r>
            <w:r>
              <w:rPr>
                <w:rFonts w:ascii="Times New Roman" w:cs="Times New Roman" w:eastAsia="Times New Roman" w:hAnsi="Times New Roman"/>
                <w:sz w:val="21"/>
                <w:szCs w:val="21"/>
                <w:color w:val="auto"/>
                <w:vertAlign w:val="superscript"/>
              </w:rPr>
              <w:t>(a)</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(23,826 )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20" w:type="dxa"/>
            <w:vAlign w:val="bottom"/>
          </w:tcPr>
          <w:p>
            <w:pPr>
              <w:spacing w:after="0"/>
              <w:rPr>
                <w:sz w:val="19"/>
                <w:szCs w:val="19"/>
                <w:color w:val="auto"/>
              </w:rPr>
            </w:pPr>
          </w:p>
        </w:tc>
        <w:tc>
          <w:tcPr>
            <w:tcW w:w="880" w:type="dxa"/>
            <w:vAlign w:val="bottom"/>
            <w:gridSpan w:val="5"/>
          </w:tcPr>
          <w:p>
            <w:pPr>
              <w:jc w:val="right"/>
              <w:ind w:right="61"/>
              <w:spacing w:after="0"/>
              <w:rPr>
                <w:sz w:val="20"/>
                <w:szCs w:val="20"/>
                <w:color w:val="auto"/>
              </w:rPr>
            </w:pPr>
            <w:r>
              <w:rPr>
                <w:rFonts w:ascii="Times New Roman" w:cs="Times New Roman" w:eastAsia="Times New Roman" w:hAnsi="Times New Roman"/>
                <w:sz w:val="16"/>
                <w:szCs w:val="16"/>
                <w:color w:val="auto"/>
              </w:rPr>
              <w:t>(29,589 )</w:t>
            </w:r>
          </w:p>
        </w:tc>
        <w:tc>
          <w:tcPr>
            <w:tcW w:w="30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9"/>
                <w:szCs w:val="19"/>
                <w:color w:val="auto"/>
              </w:rPr>
            </w:pPr>
          </w:p>
        </w:tc>
        <w:tc>
          <w:tcPr>
            <w:tcW w:w="880" w:type="dxa"/>
            <w:vAlign w:val="bottom"/>
            <w:gridSpan w:val="5"/>
          </w:tcPr>
          <w:p>
            <w:pPr>
              <w:jc w:val="right"/>
              <w:ind w:right="88"/>
              <w:spacing w:after="0"/>
              <w:rPr>
                <w:sz w:val="20"/>
                <w:szCs w:val="20"/>
                <w:color w:val="auto"/>
              </w:rPr>
            </w:pPr>
            <w:r>
              <w:rPr>
                <w:rFonts w:ascii="Times New Roman" w:cs="Times New Roman" w:eastAsia="Times New Roman" w:hAnsi="Times New Roman"/>
                <w:sz w:val="16"/>
                <w:szCs w:val="16"/>
                <w:color w:val="auto"/>
              </w:rPr>
              <w:t>(68,066 )</w:t>
            </w:r>
          </w:p>
        </w:tc>
        <w:tc>
          <w:tcPr>
            <w:tcW w:w="14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(25,161 )</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57"/>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Equity-based compensation </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6,296</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gridSpan w:val="3"/>
          </w:tcPr>
          <w:p>
            <w:pPr>
              <w:jc w:val="right"/>
              <w:ind w:right="28"/>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22"/>
                <w:szCs w:val="22"/>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11,994</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22"/>
                <w:szCs w:val="22"/>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30,720</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35,485</w:t>
            </w:r>
          </w:p>
        </w:tc>
        <w:tc>
          <w:tcPr>
            <w:tcW w:w="120" w:type="dxa"/>
            <w:vAlign w:val="bottom"/>
          </w:tcPr>
          <w:p>
            <w:pPr>
              <w:spacing w:after="0"/>
              <w:rPr>
                <w:sz w:val="22"/>
                <w:szCs w:val="22"/>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175"/>
        </w:trPr>
        <w:tc>
          <w:tcPr>
            <w:tcW w:w="29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Transaction, integration, and restructuring</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expenses </w:t>
            </w:r>
            <w:r>
              <w:rPr>
                <w:rFonts w:ascii="Times New Roman" w:cs="Times New Roman" w:eastAsia="Times New Roman" w:hAnsi="Times New Roman"/>
                <w:sz w:val="21"/>
                <w:szCs w:val="21"/>
                <w:color w:val="auto"/>
                <w:vertAlign w:val="superscript"/>
              </w:rPr>
              <w:t>(c)</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(1,995 )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2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3,505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4"/>
              </w:rPr>
              <w:t>9,390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9,666</w:t>
            </w:r>
          </w:p>
        </w:tc>
        <w:tc>
          <w:tcPr>
            <w:tcW w:w="120" w:type="dxa"/>
            <w:vAlign w:val="bottom"/>
          </w:tcPr>
          <w:p>
            <w:pPr>
              <w:spacing w:after="0"/>
              <w:rPr>
                <w:sz w:val="19"/>
                <w:szCs w:val="19"/>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Goodwill impairment </w:t>
            </w:r>
            <w:r>
              <w:rPr>
                <w:rFonts w:ascii="Times New Roman" w:cs="Times New Roman" w:eastAsia="Times New Roman" w:hAnsi="Times New Roman"/>
                <w:sz w:val="21"/>
                <w:szCs w:val="21"/>
                <w:color w:val="auto"/>
                <w:vertAlign w:val="superscript"/>
              </w:rPr>
              <w:t>(d)</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228,153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gridSpan w:val="3"/>
          </w:tcPr>
          <w:p>
            <w:pPr>
              <w:jc w:val="right"/>
              <w:ind w:right="28"/>
              <w:spacing w:after="0"/>
              <w:rPr>
                <w:sz w:val="20"/>
                <w:szCs w:val="20"/>
                <w:color w:val="auto"/>
              </w:rPr>
            </w:pPr>
            <w:r>
              <w:rPr>
                <w:rFonts w:ascii="Times New Roman" w:cs="Times New Roman" w:eastAsia="Times New Roman" w:hAnsi="Times New Roman"/>
                <w:sz w:val="16"/>
                <w:szCs w:val="16"/>
                <w:color w:val="auto"/>
              </w:rPr>
              <w:t>364 %</w:t>
            </w:r>
          </w:p>
        </w:tc>
        <w:tc>
          <w:tcPr>
            <w:tcW w:w="12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287,400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440 %</w:t>
            </w:r>
          </w:p>
        </w:tc>
        <w:tc>
          <w:tcPr>
            <w:tcW w:w="10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591,794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312 %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287,400</w:t>
            </w:r>
          </w:p>
        </w:tc>
        <w:tc>
          <w:tcPr>
            <w:tcW w:w="120" w:type="dxa"/>
            <w:vAlign w:val="bottom"/>
          </w:tcPr>
          <w:p>
            <w:pPr>
              <w:spacing w:after="0"/>
              <w:rPr>
                <w:sz w:val="19"/>
                <w:szCs w:val="19"/>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155 %</w:t>
            </w:r>
          </w:p>
        </w:tc>
        <w:tc>
          <w:tcPr>
            <w:tcW w:w="0" w:type="dxa"/>
            <w:vAlign w:val="bottom"/>
          </w:tcPr>
          <w:p>
            <w:pPr>
              <w:spacing w:after="0"/>
              <w:rPr>
                <w:sz w:val="1"/>
                <w:szCs w:val="1"/>
                <w:color w:val="auto"/>
              </w:rPr>
            </w:pPr>
          </w:p>
        </w:tc>
      </w:tr>
      <w:tr>
        <w:trPr>
          <w:trHeight w:val="257"/>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Other non-core items </w:t>
            </w:r>
            <w:r>
              <w:rPr>
                <w:rFonts w:ascii="Times New Roman" w:cs="Times New Roman" w:eastAsia="Times New Roman" w:hAnsi="Times New Roman"/>
                <w:sz w:val="21"/>
                <w:szCs w:val="21"/>
                <w:color w:val="auto"/>
                <w:vertAlign w:val="superscript"/>
              </w:rPr>
              <w:t>(e)</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gridSpan w:val="3"/>
          </w:tcPr>
          <w:p>
            <w:pPr>
              <w:jc w:val="right"/>
              <w:ind w:right="28"/>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22"/>
                <w:szCs w:val="22"/>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4"/>
              </w:rPr>
              <w:t>2,375</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3,072</w:t>
            </w:r>
          </w:p>
        </w:tc>
        <w:tc>
          <w:tcPr>
            <w:tcW w:w="120" w:type="dxa"/>
            <w:vAlign w:val="bottom"/>
          </w:tcPr>
          <w:p>
            <w:pPr>
              <w:spacing w:after="0"/>
              <w:rPr>
                <w:sz w:val="22"/>
                <w:szCs w:val="22"/>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and margin</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92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33 %  $</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21,744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33 % $</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61,557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32 % $</w:t>
            </w:r>
          </w:p>
        </w:tc>
        <w:tc>
          <w:tcPr>
            <w:tcW w:w="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54,652</w:t>
            </w:r>
          </w:p>
        </w:tc>
        <w:tc>
          <w:tcPr>
            <w:tcW w:w="120" w:type="dxa"/>
            <w:vAlign w:val="bottom"/>
          </w:tcPr>
          <w:p>
            <w:pPr>
              <w:spacing w:after="0"/>
              <w:rPr>
                <w:sz w:val="17"/>
                <w:szCs w:val="17"/>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-3879215</wp:posOffset>
            </wp:positionV>
            <wp:extent cx="7132320"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-3330575</wp:posOffset>
            </wp:positionV>
            <wp:extent cx="7132320" cy="162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-1736090</wp:posOffset>
            </wp:positionV>
            <wp:extent cx="7132320"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-1444625</wp:posOffset>
            </wp:positionV>
            <wp:extent cx="7132320"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-1144270</wp:posOffset>
            </wp:positionV>
            <wp:extent cx="7132320"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-852805</wp:posOffset>
            </wp:positionV>
            <wp:extent cx="7132320"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4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7" w:lineRule="exact"/>
        <w:rPr>
          <w:sz w:val="20"/>
          <w:szCs w:val="20"/>
          <w:color w:val="auto"/>
        </w:rPr>
      </w:pPr>
    </w:p>
    <w:p>
      <w:pPr>
        <w:ind w:left="400" w:hanging="379"/>
        <w:spacing w:after="0"/>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foreign exchange and TRA liability remeasurement gains and losses.</w:t>
      </w:r>
    </w:p>
    <w:p>
      <w:pPr>
        <w:spacing w:after="0" w:line="27" w:lineRule="exact"/>
        <w:rPr>
          <w:rFonts w:ascii="Times New Roman" w:cs="Times New Roman" w:eastAsia="Times New Roman" w:hAnsi="Times New Roman"/>
          <w:sz w:val="18"/>
          <w:szCs w:val="18"/>
          <w:color w:val="auto"/>
        </w:rPr>
      </w:pPr>
    </w:p>
    <w:p>
      <w:pPr>
        <w:ind w:left="20" w:right="780" w:firstLine="1"/>
        <w:spacing w:after="0" w:line="250" w:lineRule="auto"/>
        <w:tabs>
          <w:tab w:leader="none" w:pos="41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represents non-cash compensation expense recognized in association with equity awards made to employees and directors.</w:t>
      </w:r>
    </w:p>
    <w:p>
      <w:pPr>
        <w:ind w:left="20" w:right="580" w:firstLine="1"/>
        <w:spacing w:after="0" w:line="255" w:lineRule="auto"/>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integration expenses primarily represent legal, accounting, and consulting expenses and fair value adjustments for contingent consideration related to our acquisitions. Restructuring expenses relate to the 2024 Restructuring Plan and those we committed to during the first and third quarters of 2023, as well as impairment and restructuring charges related to office closures, relocations, and consolidations.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54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Merger and acquisition due diligence and transaction costs</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Integration costs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adjustment for contingent consideration</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(3,510 )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(3,240 )</w:t>
            </w: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 for severance and other separation costs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closure and relocation restructuring charges and impairments</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(143 )</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5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1"/>
        </w:trPr>
        <w:tc>
          <w:tcPr>
            <w:tcW w:w="5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transaction, integration and restructuring expenses</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(1,995 )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220" w:type="dxa"/>
            <w:vAlign w:val="bottom"/>
          </w:tcPr>
          <w:p>
            <w:pPr>
              <w:spacing w:after="0"/>
              <w:rPr>
                <w:sz w:val="20"/>
                <w:szCs w:val="20"/>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607"/>
        </w:trPr>
        <w:tc>
          <w:tcPr>
            <w:tcW w:w="5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-1233805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-1233805</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-1233805</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-1233805</wp:posOffset>
            </wp:positionV>
            <wp:extent cx="603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3" w:name="page34"/>
    <w:bookmarkEnd w:id="33"/>
    <w:p>
      <w:pPr>
        <w:ind w:firstLine="8"/>
        <w:spacing w:after="0" w:line="261" w:lineRule="auto"/>
        <w:tabs>
          <w:tab w:leader="none" w:pos="3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represents non-cash, pre-tax, goodwill impairment charges. We experienced declines in our market capitalization as a result of sustained decreases in our stock price, which represented triggering events requiring our management to perform quantitative goodwill impairment tests as of the end of the second and third quarters of 2024 and the third quarter of 2023. As a result of the impairment tests conducted in each respective period, we determined that the fair value of our single reporting unit was lower than its carrying value and, accordingly, recorded these impairment charges.</w:t>
      </w:r>
    </w:p>
    <w:p>
      <w:pPr>
        <w:spacing w:after="0" w:line="179" w:lineRule="exact"/>
        <w:rPr>
          <w:rFonts w:ascii="Times New Roman" w:cs="Times New Roman" w:eastAsia="Times New Roman" w:hAnsi="Times New Roman"/>
          <w:sz w:val="18"/>
          <w:szCs w:val="18"/>
          <w:color w:val="auto"/>
        </w:rPr>
      </w:pPr>
    </w:p>
    <w:p>
      <w:pPr>
        <w:ind w:firstLine="8"/>
        <w:spacing w:after="0" w:line="256"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non-core items represent expenses driven by events that are typically by nature one-time, non-operational, and/or unrelated to our core operations. These expenses are comprised of non-core legal and regulatory costs isolated to unique and extraordinary litigation, legal and regulatory matters that are not considered normal and recurring business activity, including sales tax accrual adjustments inclusive of penalties and interest for sales taxes that we may have been required to collect from customers in 2024 and in certain previous years, and other non-recurring legal and regulatory matters. Other non-core items also include non-recurring consulting fees and severance costs associated with strategic transition initiatives, as well as professional fees related to financing, capital structure changes, and other non-recurring costs.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3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3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Non-core legal and regulatory</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4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Consulting and severance costs for strategic transition initiatives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non-core expenses</w:t>
            </w: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41"/>
        </w:trPr>
        <w:tc>
          <w:tcPr>
            <w:tcW w:w="5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non-core items</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4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176"/>
        </w:trPr>
        <w:tc>
          <w:tcPr>
            <w:tcW w:w="5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-959485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-959485</wp:posOffset>
            </wp:positionV>
            <wp:extent cx="603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-959485</wp:posOffset>
            </wp:positionV>
            <wp:extent cx="603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-959485</wp:posOffset>
            </wp:positionV>
            <wp:extent cx="603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1"/>
    </w:lvl>
  </w:abstractNum>
  <w:abstractNum w:abstractNumId="2">
    <w:nsid w:val="12200854"/>
    <w:multiLevelType w:val="hybridMultilevel"/>
    <w:lvl w:ilvl="0">
      <w:lvlJc w:val="left"/>
      <w:lvlText w:val="(%1)"/>
      <w:numFmt w:val="lowerLetter"/>
      <w:start w:val="2"/>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Letter"/>
      <w:start w:val="4"/>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2024-11-07T15:48:36Z</dcterms:created>
  <dcterms:modified xsi:type="dcterms:W3CDTF">2024-11-07T15:48:36Z</dcterms:modified>
</cp:coreProperties>
</file>