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153,847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1,125,157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$0.001, with 100% of the RSUs vesting on April 1, 2026, subject to the Reporting Person's continued service with the Issuer through each such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2025-04-07T15:36:21Z</dcterms:created>
  <dcterms:modified xsi:type="dcterms:W3CDTF">2025-04-07T15:36:21Z</dcterms:modified>
</cp:coreProperties>
</file>