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Winters Kathleen A</w:t>
              </w:r>
            </w:hyperlink>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Definitive Healthcare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80" w:type="dxa"/>
            <w:vAlign w:val="bottom"/>
            <w:gridSpan w:val="3"/>
            <w:vMerge w:val="continue"/>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5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vMerge w:val="restart"/>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06/05/2025</w:t>
            </w:r>
          </w:p>
        </w:tc>
        <w:tc>
          <w:tcPr>
            <w:tcW w:w="1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DEFINITIVE HEALTHCARE CORP.</w:t>
            </w:r>
          </w:p>
        </w:tc>
        <w:tc>
          <w:tcPr>
            <w:tcW w:w="252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492 OLD CONNECTICUT PATH, SUITE 401</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06/05/2025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3"/>
              </w:rPr>
              <w:t>55,911</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119,792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each representing a contingent right to receive one share of the Issuer's Class A Common Stock, par value $0.001, vesting on the earlier of June 5, 2026 or the date of the Issuer's next annual meeting of stockholders, subject to the Reporting Person's continued service through the applicable vesting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06/09/2025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68300" TargetMode="External"/><Relationship Id="rId14"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2025-06-09T16:49:01Z</dcterms:created>
  <dcterms:modified xsi:type="dcterms:W3CDTF">2025-06-09T16:49:01Z</dcterms:modified>
</cp:coreProperties>
</file>