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12, 2024</w:t>
      </w:r>
    </w:p>
    <w:p>
      <w:pPr>
        <w:spacing w:after="0" w:line="31" w:lineRule="exact"/>
        <w:rPr>
          <w:sz w:val="24"/>
          <w:szCs w:val="24"/>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Definitive Healthcare Corp.</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380" w:type="dxa"/>
        <w:tblCellMar>
          <w:top w:w="0" w:type="dxa"/>
          <w:left w:w="0" w:type="dxa"/>
          <w:bottom w:w="0" w:type="dxa"/>
          <w:right w:w="0" w:type="dxa"/>
        </w:tblCellMar>
      </w:tblPr>
      <w:tr>
        <w:trPr>
          <w:trHeight w:val="214"/>
        </w:trPr>
        <w:tc>
          <w:tcPr>
            <w:tcW w:w="6240" w:type="dxa"/>
            <w:vAlign w:val="bottom"/>
          </w:tcPr>
          <w:p>
            <w:pPr>
              <w:jc w:val="center"/>
              <w:ind w:right="33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81-3988281</w:t>
            </w:r>
          </w:p>
        </w:tc>
      </w:tr>
      <w:tr>
        <w:trPr>
          <w:trHeight w:val="148"/>
        </w:trPr>
        <w:tc>
          <w:tcPr>
            <w:tcW w:w="6240" w:type="dxa"/>
            <w:vAlign w:val="bottom"/>
          </w:tcPr>
          <w:p>
            <w:pPr>
              <w:jc w:val="center"/>
              <w:ind w:right="33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80" w:type="dxa"/>
            <w:vAlign w:val="bottom"/>
          </w:tcPr>
          <w:p>
            <w:pPr>
              <w:jc w:val="center"/>
              <w:ind w:left="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240" w:type="dxa"/>
            <w:vAlign w:val="bottom"/>
          </w:tcPr>
          <w:p>
            <w:pPr>
              <w:jc w:val="center"/>
              <w:ind w:right="33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80" w:type="dxa"/>
            <w:vAlign w:val="bottom"/>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6240" w:type="dxa"/>
            <w:vAlign w:val="bottom"/>
          </w:tcPr>
          <w:p>
            <w:pPr>
              <w:jc w:val="center"/>
              <w:ind w:right="3379"/>
              <w:spacing w:after="0"/>
              <w:rPr>
                <w:sz w:val="20"/>
                <w:szCs w:val="20"/>
                <w:color w:val="auto"/>
              </w:rPr>
            </w:pPr>
            <w:r>
              <w:rPr>
                <w:rFonts w:ascii="Times New Roman" w:cs="Times New Roman" w:eastAsia="Times New Roman" w:hAnsi="Times New Roman"/>
                <w:sz w:val="18"/>
                <w:szCs w:val="18"/>
                <w:b w:val="1"/>
                <w:bCs w:val="1"/>
                <w:color w:val="auto"/>
                <w:w w:val="99"/>
              </w:rPr>
              <w:t>492 Old Connecticut Path, Suite 401</w:t>
            </w:r>
          </w:p>
        </w:tc>
        <w:tc>
          <w:tcPr>
            <w:tcW w:w="1280" w:type="dxa"/>
            <w:vAlign w:val="bottom"/>
          </w:tcPr>
          <w:p>
            <w:pPr>
              <w:spacing w:after="0"/>
              <w:rPr>
                <w:sz w:val="24"/>
                <w:szCs w:val="24"/>
                <w:color w:val="auto"/>
              </w:rPr>
            </w:pPr>
          </w:p>
        </w:tc>
      </w:tr>
      <w:tr>
        <w:trPr>
          <w:trHeight w:val="227"/>
        </w:trPr>
        <w:tc>
          <w:tcPr>
            <w:tcW w:w="6240" w:type="dxa"/>
            <w:vAlign w:val="bottom"/>
          </w:tcPr>
          <w:p>
            <w:pPr>
              <w:jc w:val="center"/>
              <w:ind w:right="3359"/>
              <w:spacing w:after="0"/>
              <w:rPr>
                <w:sz w:val="20"/>
                <w:szCs w:val="20"/>
                <w:color w:val="auto"/>
              </w:rPr>
            </w:pPr>
            <w:r>
              <w:rPr>
                <w:rFonts w:ascii="Times New Roman" w:cs="Times New Roman" w:eastAsia="Times New Roman" w:hAnsi="Times New Roman"/>
                <w:sz w:val="18"/>
                <w:szCs w:val="18"/>
                <w:b w:val="1"/>
                <w:bCs w:val="1"/>
                <w:color w:val="auto"/>
                <w:w w:val="99"/>
              </w:rPr>
              <w:t>Framingham, MA</w:t>
            </w:r>
          </w:p>
        </w:tc>
        <w:tc>
          <w:tcPr>
            <w:tcW w:w="12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01701</w:t>
            </w:r>
          </w:p>
        </w:tc>
      </w:tr>
      <w:tr>
        <w:trPr>
          <w:trHeight w:val="190"/>
        </w:trPr>
        <w:tc>
          <w:tcPr>
            <w:tcW w:w="6240" w:type="dxa"/>
            <w:vAlign w:val="bottom"/>
          </w:tcPr>
          <w:p>
            <w:pPr>
              <w:jc w:val="center"/>
              <w:ind w:right="33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80" w:type="dxa"/>
            <w:vAlign w:val="bottom"/>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0"/>
        </w:trPr>
        <w:tc>
          <w:tcPr>
            <w:tcW w:w="6240" w:type="dxa"/>
            <w:vAlign w:val="bottom"/>
          </w:tcPr>
          <w:p>
            <w:pPr>
              <w:jc w:val="center"/>
              <w:ind w:left="1939"/>
              <w:spacing w:after="0"/>
              <w:rPr>
                <w:sz w:val="20"/>
                <w:szCs w:val="20"/>
                <w:color w:val="auto"/>
              </w:rPr>
            </w:pPr>
            <w:r>
              <w:rPr>
                <w:rFonts w:ascii="Times New Roman" w:cs="Times New Roman" w:eastAsia="Times New Roman" w:hAnsi="Times New Roman"/>
                <w:sz w:val="18"/>
                <w:szCs w:val="18"/>
                <w:b w:val="1"/>
                <w:bCs w:val="1"/>
                <w:color w:val="auto"/>
                <w:w w:val="99"/>
              </w:rPr>
              <w:t>Definitive Healthcare Corp. 2023 Inducement Plan</w:t>
            </w:r>
          </w:p>
        </w:tc>
        <w:tc>
          <w:tcPr>
            <w:tcW w:w="1280" w:type="dxa"/>
            <w:vAlign w:val="bottom"/>
          </w:tcPr>
          <w:p>
            <w:pPr>
              <w:spacing w:after="0"/>
              <w:rPr>
                <w:sz w:val="24"/>
                <w:szCs w:val="24"/>
                <w:color w:val="auto"/>
              </w:rPr>
            </w:pPr>
          </w:p>
        </w:tc>
      </w:tr>
      <w:tr>
        <w:trPr>
          <w:trHeight w:val="190"/>
        </w:trPr>
        <w:tc>
          <w:tcPr>
            <w:tcW w:w="6240" w:type="dxa"/>
            <w:vAlign w:val="bottom"/>
          </w:tcPr>
          <w:p>
            <w:pPr>
              <w:jc w:val="center"/>
              <w:ind w:left="1919"/>
              <w:spacing w:after="0"/>
              <w:rPr>
                <w:sz w:val="20"/>
                <w:szCs w:val="20"/>
                <w:color w:val="auto"/>
              </w:rPr>
            </w:pPr>
            <w:r>
              <w:rPr>
                <w:rFonts w:ascii="Times New Roman" w:cs="Times New Roman" w:eastAsia="Times New Roman" w:hAnsi="Times New Roman"/>
                <w:sz w:val="14"/>
                <w:szCs w:val="14"/>
                <w:b w:val="1"/>
                <w:bCs w:val="1"/>
                <w:color w:val="auto"/>
              </w:rPr>
              <w:t>(Full Title of Plans)</w:t>
            </w:r>
          </w:p>
        </w:tc>
        <w:tc>
          <w:tcPr>
            <w:tcW w:w="1280" w:type="dxa"/>
            <w:vAlign w:val="bottom"/>
          </w:tcPr>
          <w:p>
            <w:pPr>
              <w:spacing w:after="0"/>
              <w:rPr>
                <w:sz w:val="16"/>
                <w:szCs w:val="16"/>
                <w:color w:val="auto"/>
              </w:rPr>
            </w:pPr>
          </w:p>
        </w:tc>
      </w:tr>
    </w:tbl>
    <w:p>
      <w:pPr>
        <w:spacing w:after="0" w:line="17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Matthew W. Ruderman</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Chief Legal Officer</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492 Old Connecticut Path, Suite 401</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Framingham, MA 01701</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(508) 720-4224</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Jean Park</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Julia Boesch</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Cooley LLP</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55 Hudson Yards</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New York, NY 10001</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(212) 479-6000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205105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225" w:right="49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firstLine="4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Registration Statement is being filed for the purpose of increasing the number of securities of the same class as other securities for which a Registration Statement of Definitive Healthcare Corp. (the “Registrant”) on Form S-8 relating to the same employee benefit plan is effective. Pursuant to General Instruction E of Form S-8, the Registrant is filing this Registration Statement with the Securities and Exchange Commission (the “Commission”) to register 2,300,000 additional shares of its Class A Common Stock, par value $0.001 per share (“Common Stock”), that were added to the shares authorized for issuance under the Registrant’s 2023 Inducement Plan (“2023 Inducement Plan”) as inducement grants under Nasdaq Listing Rule 5635(c)(4) pursuant to an amendment and restatement of the 2023 Inducement Plan approved by the Board of Directors of the Registrant. The Registrant previously registered shares of its Common Stock for issuance under the 2023 Inducement Plan under a Registration Statement on Form S-8 filed with the Commission on </w:t>
      </w:r>
      <w:hyperlink r:id="rId18">
        <w:r>
          <w:rPr>
            <w:rFonts w:ascii="Times New Roman" w:cs="Times New Roman" w:eastAsia="Times New Roman" w:hAnsi="Times New Roman"/>
            <w:sz w:val="18"/>
            <w:szCs w:val="18"/>
            <w:u w:val="single" w:color="auto"/>
            <w:color w:val="0000EE"/>
          </w:rPr>
          <w:t>September 6,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333-274370) (the “Prior Registration Statement”). Pursuant to General Instruction E to Form S-8, this Registration Statement hereby incorporates by reference the contents of the Prior Registration Statement.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The following documents, which have been filed with the Commission by the Registrant, pursuant to the Securities Act, and the Securities Exchange Act of 1934, as amended (the “Exchange Act”), as applicable, are hereby incorporated by reference in, and shall be deemed to be a part of, this Registration Statement:</w:t>
      </w:r>
    </w:p>
    <w:p>
      <w:pPr>
        <w:spacing w:after="0" w:line="176" w:lineRule="exact"/>
        <w:rPr>
          <w:sz w:val="20"/>
          <w:szCs w:val="20"/>
          <w:color w:val="auto"/>
        </w:rPr>
      </w:pPr>
    </w:p>
    <w:p>
      <w:pPr>
        <w:ind w:right="60" w:firstLine="436"/>
        <w:spacing w:after="0" w:line="282" w:lineRule="auto"/>
        <w:tabs>
          <w:tab w:leader="none" w:pos="6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1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with the Commission on February 28, 2024, which includes audited financial statements for the Registrant’s latest fiscal year.</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Definitive Proxy Statement on </w:t>
      </w:r>
      <w:hyperlink r:id="rId20">
        <w:r>
          <w:rPr>
            <w:rFonts w:ascii="Times New Roman" w:cs="Times New Roman" w:eastAsia="Times New Roman" w:hAnsi="Times New Roman"/>
            <w:sz w:val="18"/>
            <w:szCs w:val="18"/>
            <w:u w:val="single" w:color="auto"/>
            <w:color w:val="0000EE"/>
          </w:rPr>
          <w:t>Schedule 14A filed with the Commission on April 9,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and Definitive Additional</w:t>
      </w:r>
    </w:p>
    <w:p>
      <w:pPr>
        <w:spacing w:after="0" w:line="27"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Materials on </w:t>
      </w:r>
      <w:hyperlink r:id="rId21">
        <w:r>
          <w:rPr>
            <w:rFonts w:ascii="Times New Roman" w:cs="Times New Roman" w:eastAsia="Times New Roman" w:hAnsi="Times New Roman"/>
            <w:sz w:val="18"/>
            <w:szCs w:val="18"/>
            <w:u w:val="single" w:color="auto"/>
            <w:color w:val="0000EE"/>
          </w:rPr>
          <w:t>Schedule 14A filed with the Commission on May 7,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(each only with respect to information specifically incorporated by reference into the Registrant’s Annual Report on Form 10-K for the year ended December 31, 2023).</w:t>
      </w:r>
    </w:p>
    <w:p>
      <w:pPr>
        <w:spacing w:after="0" w:line="18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 on </w:t>
      </w:r>
      <w:hyperlink r:id="rId22">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2024, filed with the Commission on May 7, 2024.</w:t>
      </w:r>
    </w:p>
    <w:p>
      <w:pPr>
        <w:spacing w:after="0" w:line="225" w:lineRule="exact"/>
        <w:rPr>
          <w:rFonts w:ascii="Times New Roman" w:cs="Times New Roman" w:eastAsia="Times New Roman" w:hAnsi="Times New Roman"/>
          <w:sz w:val="18"/>
          <w:szCs w:val="18"/>
          <w:color w:val="auto"/>
        </w:rPr>
      </w:pPr>
    </w:p>
    <w:p>
      <w:pPr>
        <w:ind w:right="180" w:firstLine="436"/>
        <w:spacing w:after="0" w:line="266" w:lineRule="auto"/>
        <w:tabs>
          <w:tab w:leader="none" w:pos="685" w:val="left"/>
        </w:tabs>
        <w:numPr>
          <w:ilvl w:val="0"/>
          <w:numId w:val="2"/>
        </w:numPr>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auto"/>
          </w:rPr>
          <w:t xml:space="preserve">The Registrant’s Current Reports on Form 8-K, filed with the Commission on </w:t>
        </w:r>
        <w:r>
          <w:rPr>
            <w:rFonts w:ascii="Times New Roman" w:cs="Times New Roman" w:eastAsia="Times New Roman" w:hAnsi="Times New Roman"/>
            <w:sz w:val="18"/>
            <w:szCs w:val="18"/>
            <w:u w:val="single" w:color="auto"/>
            <w:color w:val="0000EE"/>
          </w:rPr>
          <w:t>January 4, 2024 (solely with regard to Item 2.05), January 16,</w:t>
        </w:r>
      </w:hyperlink>
      <w:r>
        <w:rPr>
          <w:rFonts w:ascii="Times New Roman" w:cs="Times New Roman" w:eastAsia="Times New Roman" w:hAnsi="Times New Roman"/>
          <w:sz w:val="18"/>
          <w:szCs w:val="18"/>
          <w:color w:val="auto"/>
        </w:rPr>
        <w:t xml:space="preserve"> </w:t>
      </w:r>
      <w:hyperlink r:id="rId23">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(solely with regard to Item 5.02 and the exhibit that relates to such item), and</w:t>
        </w:r>
        <w:r>
          <w:rPr>
            <w:rFonts w:ascii="Times New Roman" w:cs="Times New Roman" w:eastAsia="Times New Roman" w:hAnsi="Times New Roman"/>
            <w:sz w:val="18"/>
            <w:szCs w:val="18"/>
            <w:color w:val="0000EE"/>
          </w:rPr>
          <w:t xml:space="preserve"> </w:t>
        </w:r>
      </w:hyperlink>
      <w:hyperlink r:id="rId24">
        <w:r>
          <w:rPr>
            <w:rFonts w:ascii="Times New Roman" w:cs="Times New Roman" w:eastAsia="Times New Roman" w:hAnsi="Times New Roman"/>
            <w:sz w:val="18"/>
            <w:szCs w:val="18"/>
            <w:u w:val="single" w:color="auto"/>
            <w:color w:val="0000EE"/>
          </w:rPr>
          <w:t xml:space="preserve">May 24, 2024 </w:t>
        </w:r>
      </w:hyperlink>
      <w:hyperlink r:id="rId23">
        <w:r>
          <w:rPr>
            <w:rFonts w:ascii="Times New Roman" w:cs="Times New Roman" w:eastAsia="Times New Roman" w:hAnsi="Times New Roman"/>
            <w:sz w:val="18"/>
            <w:szCs w:val="18"/>
            <w:color w:val="000000"/>
          </w:rPr>
          <w:t>(solely with regard to Items 5.02 and 5.07 and the</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exhibits that relate to such items).</w:t>
      </w:r>
    </w:p>
    <w:p>
      <w:pPr>
        <w:spacing w:after="0" w:line="175" w:lineRule="exact"/>
        <w:rPr>
          <w:rFonts w:ascii="Times New Roman" w:cs="Times New Roman" w:eastAsia="Times New Roman" w:hAnsi="Times New Roman"/>
          <w:sz w:val="18"/>
          <w:szCs w:val="18"/>
          <w:color w:val="0000EE"/>
        </w:rPr>
      </w:pPr>
    </w:p>
    <w:p>
      <w:pPr>
        <w:ind w:firstLine="436"/>
        <w:spacing w:after="0" w:line="261" w:lineRule="auto"/>
        <w:tabs>
          <w:tab w:leader="none" w:pos="6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Common Stock contained in the Registrant’s Registration Statement on </w:t>
      </w:r>
      <w:hyperlink r:id="rId25">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on September 15, 2021 (File No. 001-40815) under the Exchange Act, including any amendment or report filed for the purpose of updating such description, including </w:t>
      </w:r>
      <w:hyperlink r:id="rId26">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the Registrant’s Annual Report on Form 10-K for the fiscal year ended December 31, 2021, filed with the Commission on March 15, 2022, including any amendment or report filed for the purpose of updating such description.</w:t>
      </w:r>
    </w:p>
    <w:p>
      <w:pPr>
        <w:spacing w:after="0" w:line="179" w:lineRule="exact"/>
        <w:rPr>
          <w:rFonts w:ascii="Times New Roman" w:cs="Times New Roman" w:eastAsia="Times New Roman" w:hAnsi="Times New Roman"/>
          <w:sz w:val="18"/>
          <w:szCs w:val="18"/>
          <w:color w:val="auto"/>
        </w:rPr>
      </w:pPr>
    </w:p>
    <w:p>
      <w:pPr>
        <w:ind w:right="20" w:firstLine="436"/>
        <w:spacing w:after="0" w:line="254" w:lineRule="auto"/>
        <w:tabs>
          <w:tab w:leader="none" w:pos="69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other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1000"/>
          </w:cols>
          <w:pgMar w:left="440" w:top="266" w:right="45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8. Exhibits.</w:t>
      </w:r>
    </w:p>
    <w:p>
      <w:pPr>
        <w:spacing w:after="0" w:line="200" w:lineRule="exact"/>
        <w:rPr>
          <w:sz w:val="20"/>
          <w:szCs w:val="20"/>
          <w:color w:val="auto"/>
        </w:rPr>
      </w:pPr>
    </w:p>
    <w:p>
      <w:pPr>
        <w:spacing w:after="0" w:line="232"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60" w:type="dxa"/>
            <w:vAlign w:val="bottom"/>
            <w:gridSpan w:val="3"/>
          </w:tcPr>
          <w:p>
            <w:pPr>
              <w:ind w:left="43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0"/>
        </w:trPr>
        <w:tc>
          <w:tcPr>
            <w:tcW w:w="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3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660" w:type="dxa"/>
            <w:vAlign w:val="bottom"/>
            <w:gridSpan w:val="2"/>
            <w:vMerge w:val="continue"/>
          </w:tcPr>
          <w:p>
            <w:pPr>
              <w:spacing w:after="0"/>
              <w:rPr>
                <w:sz w:val="24"/>
                <w:szCs w:val="24"/>
                <w:color w:val="auto"/>
              </w:rPr>
            </w:pPr>
          </w:p>
        </w:tc>
        <w:tc>
          <w:tcPr>
            <w:tcW w:w="4320" w:type="dxa"/>
            <w:vAlign w:val="bottom"/>
          </w:tcPr>
          <w:p>
            <w:pPr>
              <w:spacing w:after="0"/>
              <w:rPr>
                <w:sz w:val="24"/>
                <w:szCs w:val="24"/>
                <w:color w:val="auto"/>
              </w:rPr>
            </w:pPr>
          </w:p>
        </w:tc>
        <w:tc>
          <w:tcPr>
            <w:tcW w:w="60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20" w:type="dxa"/>
            <w:vAlign w:val="bottom"/>
          </w:tcPr>
          <w:p>
            <w:pPr>
              <w:spacing w:after="0"/>
              <w:rPr>
                <w:sz w:val="16"/>
                <w:szCs w:val="16"/>
                <w:color w:val="auto"/>
              </w:rPr>
            </w:pPr>
          </w:p>
        </w:tc>
        <w:tc>
          <w:tcPr>
            <w:tcW w:w="4320" w:type="dxa"/>
            <w:vAlign w:val="bottom"/>
            <w:tcBorders>
              <w:bottom w:val="single" w:sz="8" w:color="auto"/>
            </w:tcBorders>
          </w:tcPr>
          <w:p>
            <w:pPr>
              <w:spacing w:after="0"/>
              <w:rPr>
                <w:sz w:val="16"/>
                <w:szCs w:val="16"/>
                <w:color w:val="auto"/>
              </w:rPr>
            </w:pPr>
          </w:p>
        </w:tc>
        <w:tc>
          <w:tcPr>
            <w:tcW w:w="60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4" w:right="120" w:hanging="664"/>
        <w:spacing w:after="0" w:line="282" w:lineRule="auto"/>
        <w:tabs>
          <w:tab w:leader="none" w:pos="93" w:val="left"/>
        </w:tabs>
        <w:numPr>
          <w:ilvl w:val="0"/>
          <w:numId w:val="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hyperlink r:id="rId28">
        <w:r>
          <w:rPr>
            <w:rFonts w:ascii="Times New Roman" w:cs="Times New Roman" w:eastAsia="Times New Roman" w:hAnsi="Times New Roman"/>
            <w:sz w:val="18"/>
            <w:szCs w:val="18"/>
            <w:u w:val="single" w:color="auto"/>
            <w:color w:val="0000EE"/>
          </w:rPr>
          <w:t>Amended and Restated Certificate of Incorporation of Definitive Healthcare Corp. (incorporated by reference to Exhibit 3.1 to the Company’s</w:t>
        </w:r>
      </w:hyperlink>
      <w:r>
        <w:rPr>
          <w:rFonts w:ascii="Times New Roman" w:cs="Times New Roman" w:eastAsia="Times New Roman" w:hAnsi="Times New Roman"/>
          <w:sz w:val="18"/>
          <w:szCs w:val="18"/>
          <w:u w:val="single" w:color="auto"/>
          <w:color w:val="0000EE"/>
        </w:rPr>
        <w:t xml:space="preserve"> </w:t>
      </w:r>
      <w:hyperlink r:id="rId28">
        <w:r>
          <w:rPr>
            <w:rFonts w:ascii="Times New Roman" w:cs="Times New Roman" w:eastAsia="Times New Roman" w:hAnsi="Times New Roman"/>
            <w:sz w:val="18"/>
            <w:szCs w:val="18"/>
            <w:u w:val="single" w:color="auto"/>
            <w:color w:val="0000EE"/>
          </w:rPr>
          <w:t>Quarterly Report on Form 10-Q (File No. 001-40815) filed with the SEC on November 8, 2021).</w:t>
        </w:r>
      </w:hyperlink>
    </w:p>
    <w:p>
      <w:pPr>
        <w:spacing w:after="0" w:line="53" w:lineRule="exact"/>
        <w:rPr>
          <w:rFonts w:ascii="Times New Roman" w:cs="Times New Roman" w:eastAsia="Times New Roman" w:hAnsi="Times New Roman"/>
          <w:sz w:val="18"/>
          <w:szCs w:val="18"/>
          <w:u w:val="single" w:color="auto"/>
          <w:color w:val="0000EE"/>
        </w:rPr>
      </w:pPr>
    </w:p>
    <w:p>
      <w:pPr>
        <w:ind w:left="664" w:right="80" w:hanging="664"/>
        <w:spacing w:after="0" w:line="282" w:lineRule="auto"/>
        <w:tabs>
          <w:tab w:leader="none" w:pos="93" w:val="left"/>
        </w:tabs>
        <w:numPr>
          <w:ilvl w:val="0"/>
          <w:numId w:val="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hyperlink r:id="rId29">
        <w:r>
          <w:rPr>
            <w:rFonts w:ascii="Times New Roman" w:cs="Times New Roman" w:eastAsia="Times New Roman" w:hAnsi="Times New Roman"/>
            <w:sz w:val="18"/>
            <w:szCs w:val="18"/>
            <w:u w:val="single" w:color="auto"/>
            <w:color w:val="0000EE"/>
          </w:rPr>
          <w:t>Amended and Restated Bylaws of Definitive Healthcare Corp. (incorporated by reference to Exhibit 3.2 to the Company’s Quarterly Report on</w:t>
        </w:r>
      </w:hyperlink>
      <w:r>
        <w:rPr>
          <w:rFonts w:ascii="Times New Roman" w:cs="Times New Roman" w:eastAsia="Times New Roman" w:hAnsi="Times New Roman"/>
          <w:sz w:val="18"/>
          <w:szCs w:val="18"/>
          <w:u w:val="single" w:color="auto"/>
          <w:color w:val="0000EE"/>
        </w:rPr>
        <w:t xml:space="preserve"> </w:t>
      </w:r>
      <w:hyperlink r:id="rId29">
        <w:r>
          <w:rPr>
            <w:rFonts w:ascii="Times New Roman" w:cs="Times New Roman" w:eastAsia="Times New Roman" w:hAnsi="Times New Roman"/>
            <w:sz w:val="18"/>
            <w:szCs w:val="18"/>
            <w:u w:val="single" w:color="auto"/>
            <w:color w:val="0000EE"/>
          </w:rPr>
          <w:t>Form 10-Q (File No. 001-40815) filed with the SEC on November 8, 2021).</w:t>
        </w:r>
      </w:hyperlink>
    </w:p>
    <w:p>
      <w:pPr>
        <w:spacing w:after="0" w:line="53" w:lineRule="exact"/>
        <w:rPr>
          <w:rFonts w:ascii="Times New Roman" w:cs="Times New Roman" w:eastAsia="Times New Roman" w:hAnsi="Times New Roman"/>
          <w:sz w:val="18"/>
          <w:szCs w:val="18"/>
          <w:u w:val="single" w:color="auto"/>
          <w:color w:val="0000EE"/>
        </w:rPr>
      </w:pPr>
    </w:p>
    <w:p>
      <w:pPr>
        <w:ind w:left="84" w:hanging="84"/>
        <w:spacing w:after="0"/>
        <w:tabs>
          <w:tab w:leader="none" w:pos="8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5.1*   </w:t>
      </w:r>
      <w:r>
        <w:rPr>
          <w:rFonts w:ascii="Times New Roman" w:cs="Times New Roman" w:eastAsia="Times New Roman" w:hAnsi="Times New Roman"/>
          <w:sz w:val="16"/>
          <w:szCs w:val="16"/>
          <w:u w:val="single" w:color="auto"/>
          <w:color w:val="0000EE"/>
        </w:rPr>
        <w:t>Legal Opinion of Cooley LLP.</w:t>
      </w:r>
    </w:p>
    <w:p>
      <w:pPr>
        <w:spacing w:after="0" w:line="140" w:lineRule="exact"/>
        <w:rPr>
          <w:rFonts w:ascii="Times New Roman" w:cs="Times New Roman" w:eastAsia="Times New Roman" w:hAnsi="Times New Roman"/>
          <w:sz w:val="18"/>
          <w:szCs w:val="18"/>
          <w:color w:val="auto"/>
        </w:rPr>
      </w:pPr>
    </w:p>
    <w:p>
      <w:pPr>
        <w:ind w:left="4"/>
        <w:spacing w:after="0"/>
        <w:tabs>
          <w:tab w:leader="none" w:pos="644"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Deloitte &amp; Touche LLP, Independent Registered Public Accounting Firm</w:t>
      </w:r>
    </w:p>
    <w:p>
      <w:pPr>
        <w:spacing w:after="0" w:line="117" w:lineRule="exact"/>
        <w:rPr>
          <w:rFonts w:ascii="Times New Roman" w:cs="Times New Roman" w:eastAsia="Times New Roman" w:hAnsi="Times New Roman"/>
          <w:sz w:val="18"/>
          <w:szCs w:val="18"/>
          <w:color w:val="auto"/>
        </w:rPr>
      </w:pPr>
    </w:p>
    <w:p>
      <w:pPr>
        <w:ind w:left="4"/>
        <w:spacing w:after="0"/>
        <w:tabs>
          <w:tab w:leader="none" w:pos="644"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EE"/>
        </w:rPr>
        <w:t>Consent of Cooley LLP (included in Exhibit No. 5.1).</w:t>
      </w:r>
    </w:p>
    <w:p>
      <w:pPr>
        <w:spacing w:after="0" w:line="117" w:lineRule="exact"/>
        <w:rPr>
          <w:rFonts w:ascii="Times New Roman" w:cs="Times New Roman" w:eastAsia="Times New Roman" w:hAnsi="Times New Roman"/>
          <w:sz w:val="18"/>
          <w:szCs w:val="18"/>
          <w:color w:val="auto"/>
        </w:rPr>
      </w:pPr>
    </w:p>
    <w:p>
      <w:pPr>
        <w:ind w:left="4"/>
        <w:spacing w:after="0"/>
        <w:tabs>
          <w:tab w:leader="none" w:pos="644"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u w:val="single" w:color="auto"/>
          <w:color w:val="0000EE"/>
        </w:rPr>
        <w:t>Power of Attorney (included on signature page to this Registration Statement).</w:t>
      </w:r>
    </w:p>
    <w:p>
      <w:pPr>
        <w:spacing w:after="0" w:line="117" w:lineRule="exact"/>
        <w:rPr>
          <w:rFonts w:ascii="Times New Roman" w:cs="Times New Roman" w:eastAsia="Times New Roman" w:hAnsi="Times New Roman"/>
          <w:sz w:val="18"/>
          <w:szCs w:val="18"/>
          <w:color w:val="auto"/>
        </w:rPr>
      </w:pPr>
    </w:p>
    <w:p>
      <w:pPr>
        <w:ind w:left="4"/>
        <w:spacing w:after="0"/>
        <w:tabs>
          <w:tab w:leader="none" w:pos="64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The Amended and Restated Definitive Healthcare Corp. 2023 Inducement Plan</w:t>
      </w:r>
    </w:p>
    <w:p>
      <w:pPr>
        <w:spacing w:after="0" w:line="117" w:lineRule="exact"/>
        <w:rPr>
          <w:rFonts w:ascii="Times New Roman" w:cs="Times New Roman" w:eastAsia="Times New Roman" w:hAnsi="Times New Roman"/>
          <w:sz w:val="18"/>
          <w:szCs w:val="18"/>
          <w:color w:val="auto"/>
        </w:rPr>
      </w:pPr>
    </w:p>
    <w:p>
      <w:pPr>
        <w:ind w:left="4"/>
        <w:spacing w:after="0"/>
        <w:tabs>
          <w:tab w:leader="none" w:pos="644"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0000EE"/>
        </w:rPr>
        <w:t>Filing Fee Table</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0</wp:posOffset>
            </wp:positionH>
            <wp:positionV relativeFrom="paragraph">
              <wp:posOffset>266065</wp:posOffset>
            </wp:positionV>
            <wp:extent cx="77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color w:val="auto"/>
        </w:rPr>
      </w:pPr>
    </w:p>
    <w:p>
      <w:pPr>
        <w:spacing w:after="0" w:line="221" w:lineRule="exact"/>
        <w:rPr>
          <w:rFonts w:ascii="Times New Roman" w:cs="Times New Roman" w:eastAsia="Times New Roman" w:hAnsi="Times New Roman"/>
          <w:sz w:val="18"/>
          <w:szCs w:val="18"/>
          <w:color w:val="auto"/>
        </w:rPr>
      </w:pPr>
    </w:p>
    <w:p>
      <w:pPr>
        <w:ind w:left="4"/>
        <w:spacing w:after="0"/>
        <w:rPr>
          <w:sz w:val="20"/>
          <w:szCs w:val="20"/>
          <w:color w:val="auto"/>
        </w:rPr>
      </w:pPr>
      <w:r>
        <w:rPr>
          <w:rFonts w:ascii="Times New Roman" w:cs="Times New Roman" w:eastAsia="Times New Roman" w:hAnsi="Times New Roman"/>
          <w:sz w:val="18"/>
          <w:szCs w:val="18"/>
          <w:color w:val="auto"/>
        </w:rPr>
        <w:t>*  Filed herewith</w:t>
      </w:r>
    </w:p>
    <w:p>
      <w:pPr>
        <w:spacing w:after="0" w:line="158" w:lineRule="exact"/>
        <w:rPr>
          <w:rFonts w:ascii="Times New Roman" w:cs="Times New Roman" w:eastAsia="Times New Roman" w:hAnsi="Times New Roman"/>
          <w:sz w:val="18"/>
          <w:szCs w:val="18"/>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66"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Framingham, Commonwealth of Massachusetts, on June 12, 2024.</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Richard Booth</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Richard Booth</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of the undersigned constitutes and appoints each of Jason Krantz or Richard Booth, or any of them, each acting alone, his or her true and lawful attorney-in-fact and agent, with full power of substitution and resubstitution, for such person and in his or her name, place and stead, in any and all capacities, to sign this Registration Statement on Form S-8 (including all pre-effective and post-effective amendments and registration statements filed pursuant to Rule 462(b) under the Securities Act of 1933),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or she might or could do in person, hereby ratifying and confirming that any such attorney-in-fact and agent, or his substitute or substitutes, may lawfully do or cause to be done by virtue hereof.</w:t>
      </w:r>
    </w:p>
    <w:p>
      <w:pPr>
        <w:spacing w:after="0" w:line="192"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20" w:type="dxa"/>
            <w:vAlign w:val="bottom"/>
          </w:tcPr>
          <w:p>
            <w:pPr>
              <w:spacing w:after="0"/>
              <w:rPr>
                <w:sz w:val="16"/>
                <w:szCs w:val="16"/>
                <w:color w:val="auto"/>
              </w:rPr>
            </w:pPr>
          </w:p>
        </w:tc>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Jason Krantz</w:t>
            </w:r>
          </w:p>
        </w:tc>
        <w:tc>
          <w:tcPr>
            <w:tcW w:w="120" w:type="dxa"/>
            <w:vAlign w:val="bottom"/>
          </w:tcPr>
          <w:p>
            <w:pPr>
              <w:spacing w:after="0"/>
              <w:rPr>
                <w:sz w:val="24"/>
                <w:szCs w:val="24"/>
                <w:color w:val="auto"/>
              </w:rPr>
            </w:pP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Executive Chairman, Interim Chief Executive Officer and 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12,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Jason Krantz</w:t>
            </w:r>
          </w:p>
        </w:tc>
        <w:tc>
          <w:tcPr>
            <w:tcW w:w="120" w:type="dxa"/>
            <w:vAlign w:val="bottom"/>
          </w:tcPr>
          <w:p>
            <w:pPr>
              <w:spacing w:after="0"/>
              <w:rPr>
                <w:sz w:val="19"/>
                <w:szCs w:val="19"/>
                <w:color w:val="auto"/>
              </w:rPr>
            </w:pP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Richard Booth</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12,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Richard Booth</w:t>
            </w:r>
          </w:p>
        </w:tc>
        <w:tc>
          <w:tcPr>
            <w:tcW w:w="120" w:type="dxa"/>
            <w:vAlign w:val="bottom"/>
          </w:tcPr>
          <w:p>
            <w:pPr>
              <w:spacing w:after="0"/>
              <w:rPr>
                <w:sz w:val="19"/>
                <w:szCs w:val="19"/>
                <w:color w:val="auto"/>
              </w:rPr>
            </w:pP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Sastry Chilukuri</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12,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Sastry Chilukuri</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 Egan</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12,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Chris Egan</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Samuel Allen Hamood</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12,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Samuel Allen Hamood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Jeff Haywood</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12,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Jeff Haywood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Jill Larsen</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12,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Jill Larsen</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60"/>
        </w:trPr>
        <w:tc>
          <w:tcPr>
            <w:tcW w:w="4180" w:type="dxa"/>
            <w:vAlign w:val="bottom"/>
          </w:tcPr>
          <w:p>
            <w:pPr>
              <w:spacing w:after="0"/>
              <w:rPr>
                <w:sz w:val="24"/>
                <w:szCs w:val="24"/>
                <w:color w:val="auto"/>
              </w:rPr>
            </w:pPr>
          </w:p>
        </w:tc>
        <w:tc>
          <w:tcPr>
            <w:tcW w:w="4960" w:type="dxa"/>
            <w:vAlign w:val="bottom"/>
            <w:gridSpan w:val="2"/>
          </w:tcPr>
          <w:p>
            <w:pPr>
              <w:jc w:val="right"/>
              <w:ind w:right="351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20" w:type="dxa"/>
            <w:vAlign w:val="bottom"/>
          </w:tcPr>
          <w:p>
            <w:pPr>
              <w:spacing w:after="0"/>
              <w:rPr>
                <w:sz w:val="16"/>
                <w:szCs w:val="16"/>
                <w:color w:val="auto"/>
              </w:rPr>
            </w:pPr>
          </w:p>
        </w:tc>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Scott Stephenson</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12,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Scott Stephenson</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Kathleen A. Winters</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12,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Kathleen A. Winters</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Lauren Young</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12,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Lauren Young</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60"/>
        </w:trPr>
        <w:tc>
          <w:tcPr>
            <w:tcW w:w="4180" w:type="dxa"/>
            <w:vAlign w:val="bottom"/>
          </w:tcPr>
          <w:p>
            <w:pPr>
              <w:spacing w:after="0"/>
              <w:rPr>
                <w:sz w:val="24"/>
                <w:szCs w:val="24"/>
                <w:color w:val="auto"/>
              </w:rPr>
            </w:pPr>
          </w:p>
        </w:tc>
        <w:tc>
          <w:tcPr>
            <w:tcW w:w="4960" w:type="dxa"/>
            <w:vAlign w:val="bottom"/>
            <w:gridSpan w:val="2"/>
          </w:tcPr>
          <w:p>
            <w:pPr>
              <w:jc w:val="right"/>
              <w:ind w:right="3515"/>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020"/>
          </w:cols>
          <w:pgMar w:left="440" w:top="263"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Julia Boesch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+1 415 693 2326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jboesch@cooley.com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12,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Definitive Healthcare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492 Old Connecticut Path, Suite 401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Framingham, MA 01701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We have acted as counsel to Definitive Healthcare Corp.,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filing by the Company of a Registration Statement on Form S-8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xml:space="preserve">”), covering the offering of up to 2,300,000 shares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of the Company’s Class A Common Stock, $0.001 par value per share, pursuant to the Company’s 2023 Inducement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(a) the Registration Statement and the related prospectus, (b) the Company’s certificate of incorporation and bylaws, each as currently in effect, (c) the Plan and (d)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 the basis of the foregoing, and in reliance thereon, we are of the opinion that the Shares, when sold and issued in accordance with the Plan, the Registration Statement and the related prospectus, will be validly issued, fully paid and nonassessable (except as to shares issued pursuant to deferred payment arrangements, which will be fully paid and nonassessable when such deferred payments are made in full).</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Cooley LLP 3 Embarcadero Center 20th Floor San Francisco, California 94111-4004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 (414) 693-2000 f: (415) 693-2222 cooley.com</w:t>
      </w:r>
    </w:p>
    <w:p>
      <w:pPr>
        <w:sectPr>
          <w:pgSz w:w="11900" w:h="16838" w:orient="portrait"/>
          <w:cols w:equalWidth="0" w:num="1">
            <w:col w:w="11020"/>
          </w:cols>
          <w:pgMar w:left="440" w:top="117"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June 12,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Two</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OOLEY</w:t>
      </w:r>
      <w:r>
        <w:rPr>
          <w:rFonts w:ascii="Times New Roman" w:cs="Times New Roman" w:eastAsia="Times New Roman" w:hAnsi="Times New Roman"/>
          <w:sz w:val="18"/>
          <w:szCs w:val="18"/>
          <w:color w:val="auto"/>
        </w:rPr>
        <w:t xml:space="preserv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Julia Boesch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Julia Boesch</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Cooley LLP 3 Embarcadero Center 20th Floor San Francisco, California 94111-4004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 (414) 693-2000 f: (415) 693-2222 cooley.com</w:t>
      </w:r>
    </w:p>
    <w:p>
      <w:pPr>
        <w:sectPr>
          <w:pgSz w:w="11900" w:h="16838" w:orient="portrait"/>
          <w:cols w:equalWidth="0" w:num="1">
            <w:col w:w="11000"/>
          </w:cols>
          <w:pgMar w:left="440" w:top="1080" w:right="45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our reports dated February 28, 2024 relating to the financial statements of Definitive Healthcare Corp. and the effectiveness of Definitive Healthcare Corp.’s internal control over financial reporting, appearing in the Annual Report on Form 10-K of Definitive Healthcare Corp. for the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12, 2024</w:t>
      </w:r>
    </w:p>
    <w:p>
      <w:pPr>
        <w:sectPr>
          <w:pgSz w:w="11900" w:h="16838" w:orient="portrait"/>
          <w:cols w:equalWidth="0" w:num="1">
            <w:col w:w="11020"/>
          </w:cols>
          <w:pgMar w:left="440" w:top="117" w:right="4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2023 INDUCEMENT PLAN</w:t>
      </w:r>
    </w:p>
    <w:p>
      <w:pPr>
        <w:spacing w:after="0" w:line="229" w:lineRule="exact"/>
        <w:rPr>
          <w:sz w:val="20"/>
          <w:szCs w:val="20"/>
          <w:color w:val="auto"/>
        </w:rPr>
      </w:pPr>
    </w:p>
    <w:p>
      <w:pPr>
        <w:ind w:left="620" w:hanging="184"/>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The purpose of the Definitive Healthcare Corp. 2023 Inducement Plan is to further align the interests of eligible participants with those of the Company’s stockholders by providing incentive compensation opportunities tied to the performance of the Company and its Common Stock. The Plan is intended to (a) provide an inducement material for certain individuals to enter into employment with the Company within the meaning of Rule 5635(c)(4) of the Nasdaq Marketplace Rules, and (b) advance the interests of the Company and increase stockholder value by attracting, retaining and motivating eligible key personnel upon whose judgment, initiative and effort the successful conduct of the Company’s business is largely dependent.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Eligible Award Recipients</w:t>
      </w:r>
      <w:r>
        <w:rPr>
          <w:rFonts w:ascii="Times New Roman" w:cs="Times New Roman" w:eastAsia="Times New Roman" w:hAnsi="Times New Roman"/>
          <w:sz w:val="18"/>
          <w:szCs w:val="18"/>
          <w:color w:val="auto"/>
        </w:rPr>
        <w:t>. The only persons eligible to receive grants of Awards under this Plan are individuals who satisfy the standards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inducement grants under Nasdaq Marketplace Rule 5635(c)(4) or 5635(c)(3), if applicable, and the related guidance under Nasdaq IM 5635-1. A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 previously served as an Employee or Director will not be eligible to receive Awards under the Plan, other than following a bona fide period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non-employment. Persons eligible to receive grants of Awards under this Plan are referred to in this Plan as “</w:t>
      </w:r>
      <w:r>
        <w:rPr>
          <w:rFonts w:ascii="Times New Roman" w:cs="Times New Roman" w:eastAsia="Times New Roman" w:hAnsi="Times New Roman"/>
          <w:sz w:val="18"/>
          <w:szCs w:val="18"/>
          <w:i w:val="1"/>
          <w:iCs w:val="1"/>
          <w:color w:val="auto"/>
        </w:rPr>
        <w:t>Eligible Employees</w:t>
      </w:r>
      <w:r>
        <w:rPr>
          <w:rFonts w:ascii="Times New Roman" w:cs="Times New Roman" w:eastAsia="Times New Roman" w:hAnsi="Times New Roman"/>
          <w:sz w:val="18"/>
          <w:szCs w:val="18"/>
          <w:color w:val="auto"/>
        </w:rPr>
        <w:t>.” These Awards must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approved by either a majority of the Company’s “Independent Directors” (as such term is defined in Nasdaq Marketplace Rule 5605(a)(2))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Independent Directors</w:t>
      </w:r>
      <w:r>
        <w:rPr>
          <w:rFonts w:ascii="Times New Roman" w:cs="Times New Roman" w:eastAsia="Times New Roman" w:hAnsi="Times New Roman"/>
          <w:sz w:val="18"/>
          <w:szCs w:val="18"/>
          <w:color w:val="auto"/>
        </w:rPr>
        <w:t>”) or the Company’s compensation committee, provided such committee is comprised solely of Independent Directors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(the “</w:t>
      </w:r>
      <w:r>
        <w:rPr>
          <w:rFonts w:ascii="Times New Roman" w:cs="Times New Roman" w:eastAsia="Times New Roman" w:hAnsi="Times New Roman"/>
          <w:sz w:val="18"/>
          <w:szCs w:val="18"/>
          <w:i w:val="1"/>
          <w:iCs w:val="1"/>
          <w:color w:val="auto"/>
        </w:rPr>
        <w:t>Independent Compensation Committee</w:t>
      </w:r>
      <w:r>
        <w:rPr>
          <w:rFonts w:ascii="Times New Roman" w:cs="Times New Roman" w:eastAsia="Times New Roman" w:hAnsi="Times New Roman"/>
          <w:sz w:val="18"/>
          <w:szCs w:val="18"/>
          <w:color w:val="auto"/>
        </w:rPr>
        <w:t>”) in order to comply with the exemption from the stockholder approval requirement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“inducement grants” provided under Rule 5635(c)(4) of the Nasdaq Marketplace Rules. Nasdaq Marketplace Rule 5635(c)(4) and the related guidance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Nasdaq IM 5635-1 (and any analogous rules or guidance effective after the date hereof) are referred to in the Plan as the “</w:t>
      </w:r>
      <w:r>
        <w:rPr>
          <w:rFonts w:ascii="Times New Roman" w:cs="Times New Roman" w:eastAsia="Times New Roman" w:hAnsi="Times New Roman"/>
          <w:sz w:val="18"/>
          <w:szCs w:val="18"/>
          <w:i w:val="1"/>
          <w:iCs w:val="1"/>
          <w:color w:val="auto"/>
        </w:rPr>
        <w:t>Inducement Award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below:</w:t>
      </w:r>
    </w:p>
    <w:p>
      <w:pPr>
        <w:spacing w:after="0" w:line="115" w:lineRule="exact"/>
        <w:rPr>
          <w:sz w:val="20"/>
          <w:szCs w:val="20"/>
          <w:color w:val="auto"/>
        </w:rPr>
      </w:pPr>
    </w:p>
    <w:p>
      <w:pPr>
        <w:ind w:right="36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means, with respect to a Person, any other Person directly or indirectly controlling, controlled by, or under common control with such first Person.</w:t>
      </w:r>
    </w:p>
    <w:p>
      <w:pPr>
        <w:spacing w:after="0" w:line="158" w:lineRule="exact"/>
        <w:rPr>
          <w:sz w:val="20"/>
          <w:szCs w:val="20"/>
          <w:color w:val="auto"/>
        </w:rPr>
      </w:pPr>
    </w:p>
    <w:p>
      <w:pPr>
        <w:ind w:right="12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Award</w:t>
      </w:r>
      <w:r>
        <w:rPr>
          <w:rFonts w:ascii="Times New Roman" w:cs="Times New Roman" w:eastAsia="Times New Roman" w:hAnsi="Times New Roman"/>
          <w:sz w:val="18"/>
          <w:szCs w:val="18"/>
          <w:color w:val="auto"/>
        </w:rPr>
        <w:t>” means a Stock Option, Stock Appreciation Right, Restricted Stock Award, Restricted Stock Unit, or Stock-Based Award granted under the Plan.</w:t>
      </w:r>
    </w:p>
    <w:p>
      <w:pPr>
        <w:spacing w:after="0" w:line="158" w:lineRule="exact"/>
        <w:rPr>
          <w:sz w:val="20"/>
          <w:szCs w:val="20"/>
          <w:color w:val="auto"/>
        </w:rPr>
      </w:pPr>
    </w:p>
    <w:p>
      <w:pPr>
        <w:ind w:right="4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Award Agreement</w:t>
      </w:r>
      <w:r>
        <w:rPr>
          <w:rFonts w:ascii="Times New Roman" w:cs="Times New Roman" w:eastAsia="Times New Roman" w:hAnsi="Times New Roman"/>
          <w:sz w:val="18"/>
          <w:szCs w:val="18"/>
          <w:color w:val="auto"/>
        </w:rPr>
        <w:t>” means a notice or an agreement entered into between the Company and a Participant or provided by the Company to a Participant setting forth the terms and conditions of an Award granted to a Participant as provided in Section 14.2 hereof.</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means the Board of Directors of the Company.</w:t>
      </w:r>
    </w:p>
    <w:p>
      <w:pPr>
        <w:sectPr>
          <w:pgSz w:w="11900" w:h="16838" w:orient="portrait"/>
          <w:cols w:equalWidth="0" w:num="1">
            <w:col w:w="11020"/>
          </w:cols>
          <w:pgMar w:left="440" w:top="117" w:right="439" w:bottom="1440" w:gutter="0" w:footer="0" w:header="0"/>
        </w:sectPr>
      </w:pPr>
    </w:p>
    <w:bookmarkStart w:id="9" w:name="page10"/>
    <w:bookmarkEnd w:id="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Cause</w:t>
      </w:r>
      <w:r>
        <w:rPr>
          <w:rFonts w:ascii="Times New Roman" w:cs="Times New Roman" w:eastAsia="Times New Roman" w:hAnsi="Times New Roman"/>
          <w:sz w:val="18"/>
          <w:szCs w:val="18"/>
          <w:color w:val="auto"/>
        </w:rPr>
        <w:t>” has the meaning set forth in Section 12.2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has the meaning set forth in Section 11.4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right="46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Committee</w:t>
      </w:r>
      <w:r>
        <w:rPr>
          <w:rFonts w:ascii="Times New Roman" w:cs="Times New Roman" w:eastAsia="Times New Roman" w:hAnsi="Times New Roman"/>
          <w:sz w:val="18"/>
          <w:szCs w:val="18"/>
          <w:color w:val="auto"/>
        </w:rPr>
        <w:t>” means a committee of no fewer than two Independent Directors to whom authority has been delegated by the Board in accordance with Section 3.1 hereof.</w:t>
      </w:r>
    </w:p>
    <w:p>
      <w:pPr>
        <w:spacing w:after="0" w:line="158" w:lineRule="exact"/>
        <w:rPr>
          <w:sz w:val="20"/>
          <w:szCs w:val="20"/>
          <w:color w:val="auto"/>
        </w:rPr>
      </w:pPr>
    </w:p>
    <w:p>
      <w:pPr>
        <w:ind w:right="18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means the Class A common shares of the Company, par value $0.001 per share (and any shares or other securities into which such Common Stock may be converted or into which it may be exchanged).</w:t>
      </w:r>
    </w:p>
    <w:p>
      <w:pPr>
        <w:spacing w:after="0" w:line="158" w:lineRule="exact"/>
        <w:rPr>
          <w:sz w:val="20"/>
          <w:szCs w:val="20"/>
          <w:color w:val="auto"/>
        </w:rPr>
      </w:pPr>
    </w:p>
    <w:p>
      <w:pPr>
        <w:ind w:right="42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means Definitive Healthcare Corp., a corporation organized and existing under the laws of the State of Delaware, or any successor thereto.</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Consultant</w:t>
      </w:r>
      <w:r>
        <w:rPr>
          <w:rFonts w:ascii="Times New Roman" w:cs="Times New Roman" w:eastAsia="Times New Roman" w:hAnsi="Times New Roman"/>
          <w:sz w:val="18"/>
          <w:szCs w:val="18"/>
          <w:color w:val="auto"/>
        </w:rPr>
        <w:t>” means any natural person who is a consultant or other personal service provider of the Company or any of its Subsidiaries.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Consultants are not eligible to receive Awards under the Plan with respect to their service in such capacity.</w:t>
      </w:r>
    </w:p>
    <w:p>
      <w:pPr>
        <w:spacing w:after="0" w:line="205" w:lineRule="exact"/>
        <w:rPr>
          <w:sz w:val="20"/>
          <w:szCs w:val="20"/>
          <w:color w:val="auto"/>
        </w:rPr>
      </w:pPr>
    </w:p>
    <w:p>
      <w:pPr>
        <w:ind w:right="14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Date of Grant</w:t>
      </w:r>
      <w:r>
        <w:rPr>
          <w:rFonts w:ascii="Times New Roman" w:cs="Times New Roman" w:eastAsia="Times New Roman" w:hAnsi="Times New Roman"/>
          <w:sz w:val="18"/>
          <w:szCs w:val="18"/>
          <w:color w:val="auto"/>
        </w:rPr>
        <w:t>” means the date on which an Award under the Plan is granted by the Committee or such later date as the Committee may specify to be the effective date of an Award.</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Director</w:t>
      </w:r>
      <w:r>
        <w:rPr>
          <w:rFonts w:ascii="Times New Roman" w:cs="Times New Roman" w:eastAsia="Times New Roman" w:hAnsi="Times New Roman"/>
          <w:sz w:val="18"/>
          <w:szCs w:val="18"/>
          <w:color w:val="auto"/>
        </w:rPr>
        <w:t>” means a member of the Board. Directors are not eligible to receive Awards under the Plan with respect to their service in such</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capacity.</w:t>
      </w:r>
    </w:p>
    <w:p>
      <w:pPr>
        <w:spacing w:after="0" w:line="205" w:lineRule="exact"/>
        <w:rPr>
          <w:sz w:val="20"/>
          <w:szCs w:val="20"/>
          <w:color w:val="auto"/>
        </w:rPr>
      </w:pPr>
    </w:p>
    <w:p>
      <w:pPr>
        <w:ind w:right="1200" w:firstLine="991"/>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Disability</w:t>
      </w:r>
      <w:r>
        <w:rPr>
          <w:rFonts w:ascii="Times New Roman" w:cs="Times New Roman" w:eastAsia="Times New Roman" w:hAnsi="Times New Roman"/>
          <w:sz w:val="17"/>
          <w:szCs w:val="17"/>
          <w:color w:val="auto"/>
        </w:rPr>
        <w:t>” means, unless otherwise defined in an Award Agreement, a disability described in Treasury Regulations Section 1.409A-3(i)(4)(i)(A). A Disability shall be deemed to occur at the time of the determination by the Committee of the Disability.</w:t>
      </w:r>
    </w:p>
    <w:p>
      <w:pPr>
        <w:spacing w:after="0" w:line="13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means September 5, 2023.</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Eligible Employee</w:t>
      </w:r>
      <w:r>
        <w:rPr>
          <w:rFonts w:ascii="Times New Roman" w:cs="Times New Roman" w:eastAsia="Times New Roman" w:hAnsi="Times New Roman"/>
          <w:sz w:val="18"/>
          <w:szCs w:val="18"/>
          <w:color w:val="auto"/>
        </w:rPr>
        <w:t>” shall have the meaning set forth in Section 1.2 hereof.</w:t>
      </w:r>
    </w:p>
    <w:p>
      <w:pPr>
        <w:spacing w:after="0" w:line="225" w:lineRule="exact"/>
        <w:rPr>
          <w:sz w:val="20"/>
          <w:szCs w:val="20"/>
          <w:color w:val="auto"/>
        </w:rPr>
      </w:pPr>
    </w:p>
    <w:p>
      <w:pPr>
        <w:ind w:right="20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Employee</w:t>
      </w:r>
      <w:r>
        <w:rPr>
          <w:rFonts w:ascii="Times New Roman" w:cs="Times New Roman" w:eastAsia="Times New Roman" w:hAnsi="Times New Roman"/>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158" w:lineRule="exact"/>
        <w:rPr>
          <w:sz w:val="20"/>
          <w:szCs w:val="20"/>
          <w:color w:val="auto"/>
        </w:rPr>
      </w:pPr>
    </w:p>
    <w:p>
      <w:pPr>
        <w:ind w:right="28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 as the same may be amended from time to time.</w:t>
      </w:r>
    </w:p>
    <w:p>
      <w:pPr>
        <w:spacing w:after="0" w:line="158"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Fair Market Value</w:t>
      </w:r>
      <w:r>
        <w:rPr>
          <w:rFonts w:ascii="Times New Roman" w:cs="Times New Roman" w:eastAsia="Times New Roman" w:hAnsi="Times New Roman"/>
          <w:sz w:val="18"/>
          <w:szCs w:val="18"/>
          <w:color w:val="auto"/>
        </w:rPr>
        <w:t>” means, as applied to a specific date, the price of a share of Common Stock that is based on the opening, closing, actual, high, low or average selling prices of a share of Common Stock reported on any established stock exchange or national market system including without limitation the National Association of Securities Dealers, Inc. Automated Quotation System (“</w:t>
      </w: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the New York Stock Exchange and the National Market System on the applicable date, the preceding trading day, the next succeeding trading</w:t>
      </w:r>
    </w:p>
    <w:p>
      <w:pPr>
        <w:spacing w:after="0" w:line="1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68" w:right="499" w:bottom="1440" w:gutter="0" w:footer="0" w:header="0"/>
        </w:sectPr>
      </w:pPr>
    </w:p>
    <w:bookmarkStart w:id="10" w:name="page11"/>
    <w:bookmarkEnd w:id="10"/>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day, or an average of trading days, as determined by the Committee in its discretion. Unless the Committee determines otherwise or unless otherwise specified in an Award Agreement, Fair Market Value shall be deemed to be equal to the closing price of a share of Common Stock on the date as of which Fair Market Value is to be determined, or if shares of Common Stock are not publicly traded on such date, as of the most recent date on which shares of Common Stock were publicly traded. Notwithstanding the foregoing, if the Common Stock is not traded on any established stock exchange or national market system, the Fair Market Value means the price of a share of Common Stock as established by the Committee.</w:t>
      </w:r>
    </w:p>
    <w:p>
      <w:pPr>
        <w:spacing w:after="0" w:line="1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Independent Compensation Committee</w:t>
      </w:r>
      <w:r>
        <w:rPr>
          <w:rFonts w:ascii="Times New Roman" w:cs="Times New Roman" w:eastAsia="Times New Roman" w:hAnsi="Times New Roman"/>
          <w:sz w:val="18"/>
          <w:szCs w:val="18"/>
          <w:color w:val="auto"/>
        </w:rPr>
        <w:t>” has the meaning set forth in Section 1.2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Independent Directors</w:t>
      </w:r>
      <w:r>
        <w:rPr>
          <w:rFonts w:ascii="Times New Roman" w:cs="Times New Roman" w:eastAsia="Times New Roman" w:hAnsi="Times New Roman"/>
          <w:sz w:val="18"/>
          <w:szCs w:val="18"/>
          <w:color w:val="auto"/>
        </w:rPr>
        <w:t>” has the meaning set forth in Section 1.2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Inducement Award Rules</w:t>
      </w:r>
      <w:r>
        <w:rPr>
          <w:rFonts w:ascii="Times New Roman" w:cs="Times New Roman" w:eastAsia="Times New Roman" w:hAnsi="Times New Roman"/>
          <w:sz w:val="18"/>
          <w:szCs w:val="18"/>
          <w:color w:val="auto"/>
        </w:rPr>
        <w:t>” has the meaning set forth in Section 1.2 hereof.</w:t>
      </w:r>
    </w:p>
    <w:p>
      <w:pPr>
        <w:spacing w:after="0" w:line="225" w:lineRule="exact"/>
        <w:rPr>
          <w:sz w:val="20"/>
          <w:szCs w:val="20"/>
          <w:color w:val="auto"/>
        </w:rPr>
      </w:pPr>
    </w:p>
    <w:p>
      <w:pPr>
        <w:ind w:right="80" w:firstLine="99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Non-Employee Director</w:t>
      </w:r>
      <w:r>
        <w:rPr>
          <w:rFonts w:ascii="Times New Roman" w:cs="Times New Roman" w:eastAsia="Times New Roman" w:hAnsi="Times New Roman"/>
          <w:sz w:val="18"/>
          <w:szCs w:val="18"/>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18"/>
          <w:szCs w:val="18"/>
          <w:i w:val="1"/>
          <w:iCs w:val="1"/>
          <w:color w:val="auto"/>
        </w:rPr>
        <w:t>Regulation S-K</w:t>
      </w:r>
      <w:r>
        <w:rPr>
          <w:rFonts w:ascii="Times New Roman" w:cs="Times New Roman" w:eastAsia="Times New Roman" w:hAnsi="Times New Roman"/>
          <w:sz w:val="18"/>
          <w:szCs w:val="18"/>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Participant</w:t>
      </w:r>
      <w:r>
        <w:rPr>
          <w:rFonts w:ascii="Times New Roman" w:cs="Times New Roman" w:eastAsia="Times New Roman" w:hAnsi="Times New Roman"/>
          <w:sz w:val="18"/>
          <w:szCs w:val="18"/>
          <w:color w:val="auto"/>
        </w:rPr>
        <w:t>” means any Eligible Employee who holds an outstanding Award under the Plan.</w:t>
      </w:r>
    </w:p>
    <w:p>
      <w:pPr>
        <w:spacing w:after="0" w:line="225" w:lineRule="exact"/>
        <w:rPr>
          <w:sz w:val="20"/>
          <w:szCs w:val="20"/>
          <w:color w:val="auto"/>
        </w:rPr>
      </w:pPr>
    </w:p>
    <w:p>
      <w:pPr>
        <w:ind w:right="2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 individual, corporation, partnership, association, trust, unincorporated organization, limited liability company or other legal entity. All references to Person shall include an individual Person or a group (as defined in Rule 13d-5 under the Exchange Act) of Persons.</w:t>
      </w:r>
    </w:p>
    <w:p>
      <w:pPr>
        <w:spacing w:after="0" w:line="158" w:lineRule="exact"/>
        <w:rPr>
          <w:sz w:val="20"/>
          <w:szCs w:val="20"/>
          <w:color w:val="auto"/>
        </w:rPr>
      </w:pPr>
    </w:p>
    <w:p>
      <w:pPr>
        <w:ind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means the Definitive Healthcare Corp. 2023 Inducement Plan as set forth herein, effective as of the Effective Date and as may be amended from time to time, as provided herein, and includes any sub-plan or appendix that may be created and approved by the Board to allow Eligible Employees of Subsidiaries to participate in the Plan.</w:t>
      </w:r>
    </w:p>
    <w:p>
      <w:pPr>
        <w:spacing w:after="0" w:line="173" w:lineRule="exact"/>
        <w:rPr>
          <w:sz w:val="20"/>
          <w:szCs w:val="20"/>
          <w:color w:val="auto"/>
        </w:rPr>
      </w:pPr>
    </w:p>
    <w:p>
      <w:pPr>
        <w:ind w:right="46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Stock Award</w:t>
      </w:r>
      <w:r>
        <w:rPr>
          <w:rFonts w:ascii="Times New Roman" w:cs="Times New Roman" w:eastAsia="Times New Roman" w:hAnsi="Times New Roman"/>
          <w:sz w:val="18"/>
          <w:szCs w:val="18"/>
          <w:color w:val="auto"/>
        </w:rPr>
        <w:t>” means a grant of shares of Common Stock to an Eligible Employee under Section 8 hereof that are issued subject to such vesting and transfer restrictions as the Committee shall determine, and such other conditions, as are set forth in the Plan and the applicable Award Agreement.</w:t>
      </w:r>
    </w:p>
    <w:p>
      <w:pPr>
        <w:spacing w:after="0" w:line="173" w:lineRule="exact"/>
        <w:rPr>
          <w:sz w:val="20"/>
          <w:szCs w:val="20"/>
          <w:color w:val="auto"/>
        </w:rPr>
      </w:pPr>
    </w:p>
    <w:p>
      <w:pPr>
        <w:ind w:right="16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Stock Unit</w:t>
      </w:r>
      <w:r>
        <w:rPr>
          <w:rFonts w:ascii="Times New Roman" w:cs="Times New Roman" w:eastAsia="Times New Roman" w:hAnsi="Times New Roman"/>
          <w:sz w:val="18"/>
          <w:szCs w:val="18"/>
          <w:color w:val="auto"/>
        </w:rPr>
        <w:t>” means a contractual right granted to an Eligible Employee under Section 9 hereof representing notional unit interests equal in value to a share of Common Stock to be paid or distributed at such times, and subject to such conditions, as set forth in the Plan and the applicable Award Agreement.</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440" w:top="270" w:right="539" w:bottom="1440" w:gutter="0" w:footer="0" w:header="0"/>
        </w:sectPr>
      </w:pPr>
    </w:p>
    <w:bookmarkStart w:id="11" w:name="page12"/>
    <w:bookmarkEnd w:id="11"/>
    <w:p>
      <w:pPr>
        <w:ind w:right="20" w:firstLine="991"/>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 as the same may be amended from time to time.</w:t>
      </w:r>
    </w:p>
    <w:p>
      <w:pPr>
        <w:spacing w:after="0" w:line="158" w:lineRule="exact"/>
        <w:rPr>
          <w:sz w:val="20"/>
          <w:szCs w:val="20"/>
          <w:color w:val="auto"/>
        </w:rPr>
      </w:pPr>
    </w:p>
    <w:p>
      <w:pPr>
        <w:ind w:right="10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Service</w:t>
      </w:r>
      <w:r>
        <w:rPr>
          <w:rFonts w:ascii="Times New Roman" w:cs="Times New Roman" w:eastAsia="Times New Roman" w:hAnsi="Times New Roman"/>
          <w:sz w:val="18"/>
          <w:szCs w:val="18"/>
          <w:color w:val="auto"/>
        </w:rPr>
        <w:t>” means a Participant’s employment with the Company or any Subsidiary or a Participant’s service as a Non-Employee Director, Consultant or other service provider with the Company or any Subsidiary, as applicable.</w:t>
      </w:r>
    </w:p>
    <w:p>
      <w:pPr>
        <w:spacing w:after="0" w:line="158" w:lineRule="exact"/>
        <w:rPr>
          <w:sz w:val="20"/>
          <w:szCs w:val="20"/>
          <w:color w:val="auto"/>
        </w:rPr>
      </w:pPr>
    </w:p>
    <w:p>
      <w:pPr>
        <w:ind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 Appreciation Right</w:t>
      </w:r>
      <w:r>
        <w:rPr>
          <w:rFonts w:ascii="Times New Roman" w:cs="Times New Roman" w:eastAsia="Times New Roman" w:hAnsi="Times New Roman"/>
          <w:sz w:val="18"/>
          <w:szCs w:val="18"/>
          <w:color w:val="auto"/>
        </w:rPr>
        <w:t>” means a contractual right granted to an Eligible Employee under Section 7 hereof entitling such Eligible Employee to receive a payment, representing the excess of the Fair Market Value of a share of Common Stock over the base price per share of the right, at such time, and subject to such conditions, as are set forth in the Plan and the applicable Award Agreement.</w:t>
      </w:r>
    </w:p>
    <w:p>
      <w:pPr>
        <w:spacing w:after="0" w:line="173" w:lineRule="exact"/>
        <w:rPr>
          <w:sz w:val="20"/>
          <w:szCs w:val="20"/>
          <w:color w:val="auto"/>
        </w:rPr>
      </w:pPr>
    </w:p>
    <w:p>
      <w:pPr>
        <w:ind w:right="14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Stock-Based Award</w:t>
      </w:r>
      <w:r>
        <w:rPr>
          <w:rFonts w:ascii="Times New Roman" w:cs="Times New Roman" w:eastAsia="Times New Roman" w:hAnsi="Times New Roman"/>
          <w:sz w:val="18"/>
          <w:szCs w:val="18"/>
          <w:color w:val="auto"/>
        </w:rPr>
        <w:t>” means a grant of shares of Common Stock or any award that is valued by reference to shares of Common Stock to an Eligible Employee under Section 10 hereof.</w:t>
      </w:r>
    </w:p>
    <w:p>
      <w:pPr>
        <w:spacing w:after="0" w:line="158" w:lineRule="exact"/>
        <w:rPr>
          <w:sz w:val="20"/>
          <w:szCs w:val="20"/>
          <w:color w:val="auto"/>
        </w:rPr>
      </w:pPr>
    </w:p>
    <w:p>
      <w:pPr>
        <w:jc w:val="both"/>
        <w:ind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 Option</w:t>
      </w:r>
      <w:r>
        <w:rPr>
          <w:rFonts w:ascii="Times New Roman" w:cs="Times New Roman" w:eastAsia="Times New Roman" w:hAnsi="Times New Roman"/>
          <w:sz w:val="18"/>
          <w:szCs w:val="18"/>
          <w:color w:val="auto"/>
        </w:rPr>
        <w:t>” means a contractual right granted to an Eligible Employee under Section 6 hereof to purchase shares of Common Stock at such time and price, and subject to such conditions, as are set forth in the Plan and the applicable Award Agreement. No Stock Option granted under the Plan shall qualify as an “incentive stock option” within the meaning of Section 422 of the Code.</w:t>
      </w:r>
    </w:p>
    <w:p>
      <w:pPr>
        <w:spacing w:after="0" w:line="173" w:lineRule="exact"/>
        <w:rPr>
          <w:sz w:val="20"/>
          <w:szCs w:val="20"/>
          <w:color w:val="auto"/>
        </w:rPr>
      </w:pPr>
    </w:p>
    <w:p>
      <w:pPr>
        <w:ind w:right="100" w:firstLine="991"/>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Subsidiary</w:t>
      </w:r>
      <w:r>
        <w:rPr>
          <w:rFonts w:ascii="Times New Roman" w:cs="Times New Roman" w:eastAsia="Times New Roman" w:hAnsi="Times New Roman"/>
          <w:sz w:val="17"/>
          <w:szCs w:val="17"/>
          <w:color w:val="auto"/>
        </w:rPr>
        <w:t>” means an entity (whether or not a corporation) that is wholly or majority owned or controlled, directly or indirectly, by the Company or any other Affiliate of the Company that is so designated, from time to time, by the Committee, during the period of such Affiliated status.</w:t>
      </w:r>
    </w:p>
    <w:p>
      <w:pPr>
        <w:spacing w:after="0" w:line="13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Regulations</w:t>
      </w:r>
      <w:r>
        <w:rPr>
          <w:rFonts w:ascii="Times New Roman" w:cs="Times New Roman" w:eastAsia="Times New Roman" w:hAnsi="Times New Roman"/>
          <w:sz w:val="18"/>
          <w:szCs w:val="18"/>
          <w:color w:val="auto"/>
        </w:rPr>
        <w:t>” means regulations promulgated by the United States Treasury Department.</w:t>
      </w:r>
    </w:p>
    <w:p>
      <w:pPr>
        <w:spacing w:after="0" w:line="227" w:lineRule="exact"/>
        <w:rPr>
          <w:sz w:val="20"/>
          <w:szCs w:val="20"/>
          <w:color w:val="auto"/>
        </w:rPr>
      </w:pPr>
    </w:p>
    <w:p>
      <w:pPr>
        <w:ind w:left="620" w:hanging="184"/>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i w:val="1"/>
          <w:iCs w:val="1"/>
          <w:color w:val="auto"/>
        </w:rPr>
        <w:t>Committee Members</w:t>
      </w:r>
      <w:r>
        <w:rPr>
          <w:rFonts w:ascii="Times New Roman" w:cs="Times New Roman" w:eastAsia="Times New Roman" w:hAnsi="Times New Roman"/>
          <w:sz w:val="18"/>
          <w:szCs w:val="18"/>
          <w:color w:val="auto"/>
        </w:rPr>
        <w:t xml:space="preserve">. The Plan shall be administered by the Committee, subject to those constraints set forth in the Plan and the other constraints of the Inducement Award Rules. Each Committee member shall satisfy the requirements for (i) an “independent director” under rules adopted by the Nasdaq or other principal exchange on which the Common Stock is then listed and (ii) a “nonemployee director” within the meaning of Rule 16b-3 under the Exchange Act. The Board may exercise all powers of the Committee hereunder and may directly administer the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Awards may only be granted by either (i) a majority of the Company’s Independent Directors or (ii) the Independent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Neither the Company nor any member of the Board or Committee shall be liable for any action or determination made in good faith by the Board or Committee with respect to the Plan or any Award thereunder.</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440" w:top="268" w:right="519" w:bottom="1440" w:gutter="0" w:footer="0" w:header="0"/>
        </w:sectPr>
      </w:pPr>
    </w:p>
    <w:bookmarkStart w:id="12" w:name="page13"/>
    <w:bookmarkEnd w:id="12"/>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3.2 </w:t>
      </w:r>
      <w:r>
        <w:rPr>
          <w:rFonts w:ascii="Times New Roman" w:cs="Times New Roman" w:eastAsia="Times New Roman" w:hAnsi="Times New Roman"/>
          <w:sz w:val="18"/>
          <w:szCs w:val="18"/>
          <w:i w:val="1"/>
          <w:iCs w:val="1"/>
          <w:color w:val="auto"/>
        </w:rPr>
        <w:t>Committee Authority</w:t>
      </w:r>
      <w:r>
        <w:rPr>
          <w:rFonts w:ascii="Times New Roman" w:cs="Times New Roman" w:eastAsia="Times New Roman" w:hAnsi="Times New Roman"/>
          <w:sz w:val="18"/>
          <w:szCs w:val="18"/>
          <w:color w:val="auto"/>
        </w:rPr>
        <w:t xml:space="preserve">. Subject to, and within the limitations of, the express provisions of the Plan and the Inducement Award Rules, the Committee shall have all powers and discretion necessary or appropriate to administer the Plan and to control its operation, including, but not limited to, the power to (i) determine the Eligible Employees to whom Awards shall be granted under the Plan;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Awards may only be granted by either (a) a majority of the Company’s Independent Directors or (b) the Independent Compensation Committee, (ii) prescribe the restrictions, terms and conditions of all Awards, (iii) interpret the Plan and terms of the Awards, (iv) adopt rules for the administration, interpretation and application of the Plan as are consistent therewith, and interpret, amend or revoke any such rules, (v) make all determinations with respect to a Participant’s Service and the termination of such Service for purposes of any Award, (vi) correct any defect(s) or omission(s) or reconcile any ambiguity(ies) or inconsistency(ies) in the Plan or any Award thereunder, (vii) make all determinations it deems advisable for the administration of the Plan, (viii) decide all disputes arising in connection with the Plan and to otherwise supervise the administration of the Plan, (ix) subject to the terms of the Plan, amend the terms of an Award in any manner that is not inconsistent with the Plan, (x) accelerate the vesting or, to the extent applicable, exercisability of any Award at any time (including, but not limited to, upon a Change in Control or upon termination of Service of a Participant under certain circumstances (including, without limitation, upon retirement)) and (xi) adopt such procedures, modifications or subplans as are necessary or appropriate to permit participation in the Plan by Eligible Employees who are foreign nationals or provide services outside of the United States. The Committee’s determinations under the Plan need not be uniform and may be made by the Committee selectively among Participants and Eligible Employees, whether or not such Persons are similarly situated. The Committee shall, in its discretion, consider such factors as it deems relevant in making its interpretations, determinations and actions under the Plan including, without limitation, the recommendations or advice of any officer or Employee of the Company or board of directors of a Subsidiary or such attorneys, consultants, accountants or other advisors as it may select. All interpretations, determinations, and actions by the Committee shall be final, conclusive, and binding upon all parties.</w:t>
      </w:r>
    </w:p>
    <w:p>
      <w:pPr>
        <w:spacing w:after="0" w:line="194"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Rule 16b-3 Compliance</w:t>
      </w:r>
      <w:r>
        <w:rPr>
          <w:rFonts w:ascii="Times New Roman" w:cs="Times New Roman" w:eastAsia="Times New Roman" w:hAnsi="Times New Roman"/>
          <w:sz w:val="18"/>
          <w:szCs w:val="18"/>
          <w:color w:val="auto"/>
        </w:rPr>
        <w:t>. To the extent an Award is intended to qualify for the exemption from Section 16(b) of the Exchange Act that is available under Rule 16b-3 of the Exchange Act, the Award will be granted by a Committee that consists solely of two or more Non-Employee Directors, as determined under Rule 16b-3(b)(3) of the Exchange Act and thereafter any action establishing or modifying the terms of the Award will be approved by a Committee meeting such requirements to the extent necessary for such exemption to remain available.</w:t>
      </w:r>
    </w:p>
    <w:p>
      <w:pPr>
        <w:spacing w:after="0" w:line="180" w:lineRule="exact"/>
        <w:rPr>
          <w:sz w:val="20"/>
          <w:szCs w:val="20"/>
          <w:color w:val="auto"/>
        </w:rPr>
      </w:pPr>
    </w:p>
    <w:p>
      <w:pPr>
        <w:ind w:left="620" w:hanging="184"/>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Subject to the Plan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i w:val="1"/>
          <w:iCs w:val="1"/>
          <w:color w:val="auto"/>
        </w:rPr>
        <w:t>Number of Shares Reserved</w:t>
      </w:r>
      <w:r>
        <w:rPr>
          <w:rFonts w:ascii="Times New Roman" w:cs="Times New Roman" w:eastAsia="Times New Roman" w:hAnsi="Times New Roman"/>
          <w:sz w:val="18"/>
          <w:szCs w:val="18"/>
          <w:color w:val="auto"/>
        </w:rPr>
        <w:t>. Subject to adjustment as provided in Section 4.3 hereof, the total number of shares of Common Stock that are available for issuance under the Plan (the “</w:t>
      </w:r>
      <w:r>
        <w:rPr>
          <w:rFonts w:ascii="Times New Roman" w:cs="Times New Roman" w:eastAsia="Times New Roman" w:hAnsi="Times New Roman"/>
          <w:sz w:val="18"/>
          <w:szCs w:val="18"/>
          <w:i w:val="1"/>
          <w:iCs w:val="1"/>
          <w:color w:val="auto"/>
        </w:rPr>
        <w:t>Share Reserve</w:t>
      </w:r>
      <w:r>
        <w:rPr>
          <w:rFonts w:ascii="Times New Roman" w:cs="Times New Roman" w:eastAsia="Times New Roman" w:hAnsi="Times New Roman"/>
          <w:sz w:val="18"/>
          <w:szCs w:val="18"/>
          <w:color w:val="auto"/>
        </w:rPr>
        <w:t>”) shall equal 4,400,000 shares. Each share of Common Stock subject to an Award shall reduce the Share Reserve by one share. Any shares of Common Stock delivered under the Plan shall consist of authorized and unissued shares or treasury shares.</w:t>
      </w:r>
    </w:p>
    <w:p>
      <w:pPr>
        <w:spacing w:after="0" w:line="180" w:lineRule="exact"/>
        <w:rPr>
          <w:sz w:val="20"/>
          <w:szCs w:val="20"/>
          <w:color w:val="auto"/>
        </w:rPr>
      </w:pPr>
    </w:p>
    <w:p>
      <w:pPr>
        <w:ind w:right="2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i w:val="1"/>
          <w:iCs w:val="1"/>
          <w:color w:val="auto"/>
        </w:rPr>
        <w:t>Share Replenishment</w:t>
      </w:r>
      <w:r>
        <w:rPr>
          <w:rFonts w:ascii="Times New Roman" w:cs="Times New Roman" w:eastAsia="Times New Roman" w:hAnsi="Times New Roman"/>
          <w:sz w:val="18"/>
          <w:szCs w:val="18"/>
          <w:color w:val="auto"/>
        </w:rPr>
        <w:t>. Following the Effective Date, to the extent that an Award granted under this Plan is canceled, expired, repurchased, forfeited, surrendered, exchanged for cash, settled in cash or by delivery of fewer shares of Common Stock than the number underlying the Award, or otherwise terminated without delivery of the shares of Common Stock</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68" w:right="479" w:bottom="1440" w:gutter="0" w:footer="0" w:header="0"/>
        </w:sectPr>
      </w:pPr>
    </w:p>
    <w:bookmarkStart w:id="13" w:name="page14"/>
    <w:bookmarkEnd w:id="13"/>
    <w:p>
      <w:pPr>
        <w:ind w:left="4"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Participant under the Plan, the unissued shares of Common Stock will (i) not be deemed to have been delivered under the Plan, (ii) be available for future Awards under the Plan, and (iii) increase the Share Reserve by one share for each share that is retained by or returned to the Company. Shares of Common Stock that are withheld from any Award granted under this Plan in payment of the exercise, base or purchase price or taxes relating to such an Award shall be available for future Awards under the Plan, and shall increase the Share Reserve by one share for each share that is retained by or returned to the Company. Shares of Common Stock repurchased by the Company on the open market with the proceeds of a Stock Option, will be deemed to have been delivered under the Plan and will not be available for future Awards under the Plan. The payment of dividend equivalents in cash in conjunction with any outstanding Award shall not count against the Share Reserve.</w:t>
      </w:r>
    </w:p>
    <w:p>
      <w:pPr>
        <w:spacing w:after="0" w:line="187" w:lineRule="exact"/>
        <w:rPr>
          <w:sz w:val="20"/>
          <w:szCs w:val="20"/>
          <w:color w:val="auto"/>
        </w:rPr>
      </w:pPr>
    </w:p>
    <w:p>
      <w:pPr>
        <w:ind w:left="4"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 If there shall occur any change with respect to the outstanding shares of Common Stock by reason of any recapitalization, reclassification, stock dividend, extraordinary cash dividend, stock split, reverse stock split or other distribution with respect to the shares of Common Stock or any merger, reorganization, consolidation, combination, spin-off or other corporate event or transaction or any other change affecting the Common Stock (other than regular cash dividends to stockholders of the Company), the Committee shall, in the manner and to the extent it considers appropriate and equitable to the Participants and consistent with the terms of the Plan, cause an adjustment to be made to (i) the maximum number and kind of shares of Common Stock or other securities provided in Section 4.1 hereof, (ii) the number and kind of shares of Common Stock, units or other securities or rights subject to then outstanding Awards, (iii) the exercise, base or purchase price for each share or unit or other security or right subject to then outstanding Awards, (iv) other value determinations applicable to the Plan and/or outstanding Awards, and/or (v) any other terms of an Award that are affected by the event. Notwithstanding the foregoing, any such adjustments shall, to the extent necessary to avoid additional taxes, be made in a manner consistent with the requirements of Section 409A of the Code, unless otherwise determined by the Committee.</w:t>
      </w:r>
    </w:p>
    <w:p>
      <w:pPr>
        <w:spacing w:after="0" w:line="187" w:lineRule="exact"/>
        <w:rPr>
          <w:sz w:val="20"/>
          <w:szCs w:val="20"/>
          <w:color w:val="auto"/>
        </w:rPr>
      </w:pPr>
    </w:p>
    <w:p>
      <w:pPr>
        <w:ind w:left="624" w:hanging="184"/>
        <w:spacing w:after="0"/>
        <w:tabs>
          <w:tab w:leader="none" w:pos="6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 and Awards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 w:right="80" w:firstLine="440"/>
        <w:spacing w:after="0" w:line="277" w:lineRule="auto"/>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i w:val="1"/>
          <w:iCs w:val="1"/>
          <w:color w:val="auto"/>
        </w:rPr>
        <w:t>Designation of Participants</w:t>
      </w:r>
      <w:r>
        <w:rPr>
          <w:rFonts w:ascii="Times New Roman" w:cs="Times New Roman" w:eastAsia="Times New Roman" w:hAnsi="Times New Roman"/>
          <w:sz w:val="17"/>
          <w:szCs w:val="17"/>
          <w:color w:val="auto"/>
        </w:rPr>
        <w:t>. Awards may only be granted to persons who are Eligible Employees described in Section 1.1 of the Plan, where the Award is an inducement material to the individual’s entering into employment with the Company or an Affiliate within the meaning of Rule 5635(c)</w:t>
      </w:r>
    </w:p>
    <w:p>
      <w:pPr>
        <w:spacing w:after="0" w:line="1" w:lineRule="exact"/>
        <w:rPr>
          <w:sz w:val="20"/>
          <w:szCs w:val="20"/>
          <w:color w:val="auto"/>
        </w:rPr>
      </w:pPr>
    </w:p>
    <w:p>
      <w:pPr>
        <w:ind w:left="4" w:hanging="4"/>
        <w:spacing w:after="0" w:line="252" w:lineRule="auto"/>
        <w:tabs>
          <w:tab w:leader="none" w:pos="25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Nasdaq Marketplace Rules or is otherwise permitted pursuant to Rule 5635(c) of the Nasdaq Marketplace Rules The Committee has the authority, in its discretion, to determine and designate from time to time those Eligible Employees who are to be granted Awards, the types of Awards to be granted, the number of shares of Common Stock or units subject to Awards to be granted and the terms and conditions of such Awards consistent with the terms of the Plan;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Awards may only be granted by either (a) a majority of the Company’s Independent Directors or (b) the Independent Compensation Committee. In selecting Eligible Employees to be Participants, and in determining the type and amount of Awards to be granted under the Plan, the Committee shall consider any and all factors that it deems relevant or appropriate.</w:t>
      </w:r>
    </w:p>
    <w:p>
      <w:pPr>
        <w:spacing w:after="0" w:line="188" w:lineRule="exact"/>
        <w:rPr>
          <w:sz w:val="20"/>
          <w:szCs w:val="20"/>
          <w:color w:val="auto"/>
        </w:rPr>
      </w:pPr>
    </w:p>
    <w:p>
      <w:pPr>
        <w:ind w:left="4" w:right="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i w:val="1"/>
          <w:iCs w:val="1"/>
          <w:color w:val="auto"/>
        </w:rPr>
        <w:t>Determination of Awards</w:t>
      </w:r>
      <w:r>
        <w:rPr>
          <w:rFonts w:ascii="Times New Roman" w:cs="Times New Roman" w:eastAsia="Times New Roman" w:hAnsi="Times New Roman"/>
          <w:sz w:val="18"/>
          <w:szCs w:val="18"/>
          <w:color w:val="auto"/>
        </w:rPr>
        <w:t>. The Committee shall determine the terms and conditions of all Awards granted to Participants in accordance with its authority under Section 3.2 hereof. An Award may consist of one type of right or benefit hereunder or of two or more such rights or benefits granted in tandem.</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4"/>
          </w:cols>
          <w:pgMar w:left="436" w:top="270" w:right="439" w:bottom="1440" w:gutter="0" w:footer="0" w:header="0"/>
        </w:sectPr>
      </w:pPr>
    </w:p>
    <w:bookmarkStart w:id="14" w:name="page15"/>
    <w:bookmarkEnd w:id="14"/>
    <w:p>
      <w:pPr>
        <w:ind w:right="32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5.3 </w:t>
      </w:r>
      <w:r>
        <w:rPr>
          <w:rFonts w:ascii="Times New Roman" w:cs="Times New Roman" w:eastAsia="Times New Roman" w:hAnsi="Times New Roman"/>
          <w:sz w:val="18"/>
          <w:szCs w:val="18"/>
          <w:i w:val="1"/>
          <w:iCs w:val="1"/>
          <w:color w:val="auto"/>
        </w:rPr>
        <w:t>Award Agreements</w:t>
      </w:r>
      <w:r>
        <w:rPr>
          <w:rFonts w:ascii="Times New Roman" w:cs="Times New Roman" w:eastAsia="Times New Roman" w:hAnsi="Times New Roman"/>
          <w:sz w:val="18"/>
          <w:szCs w:val="18"/>
          <w:color w:val="auto"/>
        </w:rPr>
        <w:t>. Each Award granted to an Eligible Employee shall be represented by an Award Agreement. The terms of the Award, as determined by the Committee, will be set forth in the applicable Award Agreements as described in Section 14.2 hereof.</w:t>
      </w:r>
    </w:p>
    <w:p>
      <w:pPr>
        <w:spacing w:after="0" w:line="158" w:lineRule="exact"/>
        <w:rPr>
          <w:sz w:val="20"/>
          <w:szCs w:val="20"/>
          <w:color w:val="auto"/>
        </w:rPr>
      </w:pPr>
    </w:p>
    <w:p>
      <w:pPr>
        <w:ind w:right="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i w:val="1"/>
          <w:iCs w:val="1"/>
          <w:color w:val="auto"/>
        </w:rPr>
        <w:t>Limitations on Stock Options and Stock Appreciation Rights</w:t>
      </w:r>
      <w:r>
        <w:rPr>
          <w:rFonts w:ascii="Times New Roman" w:cs="Times New Roman" w:eastAsia="Times New Roman" w:hAnsi="Times New Roman"/>
          <w:sz w:val="18"/>
          <w:szCs w:val="18"/>
          <w:color w:val="auto"/>
        </w:rPr>
        <w:t>. Stock Options and Stock Appreciation Rights may not be granted to Employees unless the stock underlying such Awards is treated as “service recipient stock” under Section 409A of the Code or unless such Awards otherwise comply with the requirements of Section 409A of the Code.</w:t>
      </w:r>
    </w:p>
    <w:p>
      <w:pPr>
        <w:spacing w:after="0" w:line="173" w:lineRule="exact"/>
        <w:rPr>
          <w:sz w:val="20"/>
          <w:szCs w:val="20"/>
          <w:color w:val="auto"/>
        </w:rPr>
      </w:pPr>
    </w:p>
    <w:p>
      <w:pPr>
        <w:ind w:right="700" w:firstLine="440"/>
        <w:spacing w:after="0" w:line="284"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i w:val="1"/>
          <w:iCs w:val="1"/>
          <w:color w:val="auto"/>
        </w:rPr>
        <w:t>Approval Requirements</w:t>
      </w:r>
      <w:r>
        <w:rPr>
          <w:rFonts w:ascii="Times New Roman" w:cs="Times New Roman" w:eastAsia="Times New Roman" w:hAnsi="Times New Roman"/>
          <w:sz w:val="18"/>
          <w:szCs w:val="18"/>
          <w:color w:val="auto"/>
        </w:rPr>
        <w:t>. All Awards must be granted either by a majority of the Company’s Independent Directors or the Independent Compensation Committee.</w:t>
      </w:r>
    </w:p>
    <w:p>
      <w:pPr>
        <w:spacing w:after="0" w:line="160" w:lineRule="exact"/>
        <w:rPr>
          <w:sz w:val="20"/>
          <w:szCs w:val="20"/>
          <w:color w:val="auto"/>
        </w:rPr>
      </w:pPr>
    </w:p>
    <w:p>
      <w:pPr>
        <w:ind w:left="620" w:hanging="184"/>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440"/>
        <w:spacing w:after="0" w:line="284"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i w:val="1"/>
          <w:iCs w:val="1"/>
          <w:color w:val="auto"/>
        </w:rPr>
        <w:t>Grant of Stock Options</w:t>
      </w:r>
      <w:r>
        <w:rPr>
          <w:rFonts w:ascii="Times New Roman" w:cs="Times New Roman" w:eastAsia="Times New Roman" w:hAnsi="Times New Roman"/>
          <w:sz w:val="18"/>
          <w:szCs w:val="18"/>
          <w:color w:val="auto"/>
        </w:rPr>
        <w:t>. A Stock Option may be granted to any Eligible Employee selected by the Committee. All Stock Options granted under the Plan are intended to comply with or be exempt from the requirements of Section 409A of the Code, to the extent applicable.</w:t>
      </w:r>
    </w:p>
    <w:p>
      <w:pPr>
        <w:spacing w:after="0" w:line="158"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i w:val="1"/>
          <w:iCs w:val="1"/>
          <w:color w:val="auto"/>
        </w:rPr>
        <w:t>Exercise Price.</w:t>
      </w:r>
      <w:r>
        <w:rPr>
          <w:rFonts w:ascii="Times New Roman" w:cs="Times New Roman" w:eastAsia="Times New Roman" w:hAnsi="Times New Roman"/>
          <w:sz w:val="18"/>
          <w:szCs w:val="18"/>
          <w:color w:val="auto"/>
        </w:rPr>
        <w:t xml:space="preserve"> Unless otherwise determined by the Committee, the exercise price per share of a Stock Option (other than a Stock Option substituted or assumed under Section 14.10) shall not be less than one hundred percent (100%) of the Fair Market Value of a share of Common Stock on the Date of Grant. The Committee may in its discretion specify an exercise price per share that is higher than the Fair Market Value of a share of Common Stock on the Date of Grant.</w:t>
      </w:r>
    </w:p>
    <w:p>
      <w:pPr>
        <w:spacing w:after="0" w:line="180"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i w:val="1"/>
          <w:iCs w:val="1"/>
          <w:color w:val="auto"/>
        </w:rPr>
        <w:t>Vesting of Stock Options</w:t>
      </w:r>
      <w:r>
        <w:rPr>
          <w:rFonts w:ascii="Times New Roman" w:cs="Times New Roman" w:eastAsia="Times New Roman" w:hAnsi="Times New Roman"/>
          <w:sz w:val="18"/>
          <w:szCs w:val="18"/>
          <w:color w:val="auto"/>
        </w:rPr>
        <w:t>. The Committee shall, in its discretion, prescribe in an award agreement the time or times at which or the conditions upon which, a Stock Option or portion thereof shall become vested and/or exercisable. The requirements for vesting and exercisability of a Stock Option may be based on the continued Service of the Participant with the Company or a Subsidiary for a specified time period (or periods), on the attainment of a specified performance goal(s) and/or on such other terms and conditions as approved by the Committee in its discretion. If the vesting requirements of a Stock Option are not satisfied, the Award shall be forfeited.</w:t>
      </w:r>
    </w:p>
    <w:p>
      <w:pPr>
        <w:spacing w:after="0" w:line="183"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i w:val="1"/>
          <w:iCs w:val="1"/>
          <w:color w:val="auto"/>
        </w:rPr>
        <w:t>Term of Stock Options</w:t>
      </w:r>
      <w:r>
        <w:rPr>
          <w:rFonts w:ascii="Times New Roman" w:cs="Times New Roman" w:eastAsia="Times New Roman" w:hAnsi="Times New Roman"/>
          <w:sz w:val="18"/>
          <w:szCs w:val="18"/>
          <w:color w:val="auto"/>
        </w:rPr>
        <w:t xml:space="preserve">. The Committee shall in its discretion prescribe in an Award Agreement the period during which a vested Stock Option may be exercised;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maximum term of a Stock Option shall be ten (10) years from the Date of Grant. If the Fair Market Value of a share of Common Stock exceeds the Exercise Price on the last day that the Stock Option may be exercised under an Award Agreement, the affected Participant shall be deemed to have exercised the vested portion of such Stock Option in a net exercise under Section 6.5(ii)(C) below and net share withholding for taxes (unless otherwise agreed) without the requirement of any further action. The Committee may provide that a Stock Option will cease to be exercisable upon or at the end of a specified time period following a termination of Service for any reason as set forth in the Award Agreement or otherwise. A Stock</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68" w:right="439" w:bottom="1440" w:gutter="0" w:footer="0" w:header="0"/>
        </w:sectPr>
      </w:pPr>
    </w:p>
    <w:bookmarkStart w:id="15" w:name="page16"/>
    <w:bookmarkEnd w:id="15"/>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Option may be earlier terminated as specified by the Committee and set forth in an Award Agreement upon or following the termination of a Participant’s Service with the Company or any Subsidiary, including by reason of voluntary resignation, death, Disability, termination for Cause or any other reason. Subject to compliance with Section 409A of the Code, as applicable, and the provisions of this Section 6, the Committee may extend at any time the period in which a Stock Option may be exercised, but not beyond ten (10) years from the Date of Grant.</w:t>
      </w:r>
    </w:p>
    <w:p>
      <w:pPr>
        <w:spacing w:after="0" w:line="178"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i w:val="1"/>
          <w:iCs w:val="1"/>
          <w:color w:val="auto"/>
        </w:rPr>
        <w:t>Stock Option Exercise; Tax Withholding</w:t>
      </w:r>
      <w:r>
        <w:rPr>
          <w:rFonts w:ascii="Times New Roman" w:cs="Times New Roman" w:eastAsia="Times New Roman" w:hAnsi="Times New Roman"/>
          <w:sz w:val="18"/>
          <w:szCs w:val="18"/>
          <w:color w:val="auto"/>
        </w:rPr>
        <w:t>. Subject to such terms and conditions as specified in an Award Agreement (including applicable vesting requirements), a Stock Option may be exercised in whole or in part at any time during the term thereof by notice in the form required by the Company, together with payment of the aggregate exercise price and applicable withholding tax. Payment of the exercise price may be made: (i) in cash or by cash equivalent acceptable to the Committee, or, (ii) to the extent permitted by the Committee in its sole discretion in an Award Agreement or otherwise (A) in shares of Common Stock valued at the Fair Market Value of such shares on the date of exercise, (B) through an open-market, broker-assisted sales transaction pursuant to which the Company is promptly delivered the amount of proceeds necessary to satisfy the exercise price, (C) by reducing the number of shares of Common Stock otherwise deliverable upon the exercise of the Stock Option by the number of shares of Common Stock having a Fair Market Value on the date of exercise equal to the exercise price, (D) by a combination of the methods described above or (E) by such other method as may be approved by the Committee. In accordance with Section 14.11 hereof, and in addition to and at the time of payment of the exercise price, the Participant shall pay to the Company the full amount of any and all applicable income tax, employment tax and other amounts required to be withheld in connection with such exercise, payable under such of the methods described above for the payment of the exercise price as may be approved by the Committee and set forth in the Award Agreement.</w:t>
      </w:r>
    </w:p>
    <w:p>
      <w:pPr>
        <w:spacing w:after="0" w:line="19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i w:val="1"/>
          <w:iCs w:val="1"/>
          <w:color w:val="auto"/>
        </w:rPr>
        <w:t>Limited Transferability of Stock Options</w:t>
      </w:r>
      <w:r>
        <w:rPr>
          <w:rFonts w:ascii="Times New Roman" w:cs="Times New Roman" w:eastAsia="Times New Roman" w:hAnsi="Times New Roman"/>
          <w:sz w:val="18"/>
          <w:szCs w:val="18"/>
          <w:color w:val="auto"/>
        </w:rPr>
        <w:t>. All Stock Options shall be nontransferable except (i) upon the Participant’s death, in accordance with Section 14.3 hereof or (ii) for the transfer of all or part of the Stock Option to a Participant’s “family member” (as defined for purposes of the Form S-8 registration statement under the Securities Act), or as otherwise permitted by the Committee to the extent also permitted by the general instructions of the Form S-8 registration statement, as may be amended from time to time, in each case as may be approved by the Committee in its discretion at the time of proposed transfer; provided, in each case, that any permitted transfer shall be for no consideration. The transfer of a Stock Option may be subject to such terms and conditions as the Committee may in its discretion impose from time to time. Subsequent transfers of a Stock Option shall be prohibited other than in accordance with Section 14.3 hereof.</w:t>
      </w:r>
    </w:p>
    <w:p>
      <w:pPr>
        <w:spacing w:after="0" w:line="183" w:lineRule="exact"/>
        <w:rPr>
          <w:sz w:val="20"/>
          <w:szCs w:val="20"/>
          <w:color w:val="auto"/>
        </w:rPr>
      </w:pPr>
    </w:p>
    <w:p>
      <w:pPr>
        <w:ind w:righ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i w:val="1"/>
          <w:iCs w:val="1"/>
          <w:color w:val="auto"/>
        </w:rPr>
        <w:t>Repricing Prohibited.</w:t>
      </w:r>
      <w:r>
        <w:rPr>
          <w:rFonts w:ascii="Times New Roman" w:cs="Times New Roman" w:eastAsia="Times New Roman" w:hAnsi="Times New Roman"/>
          <w:sz w:val="18"/>
          <w:szCs w:val="18"/>
          <w:color w:val="auto"/>
        </w:rPr>
        <w:t xml:space="preserve"> Subject to the adjustment provisions contained in Section 4.3 hereof and other than in connection with a Change in Control, without the prior approval of the Company’s stockholders, neither the Committee nor the Board shall cancel a Stock Option when the exercise price per share exceeds the Fair Market Value of one share of Common Stock in exchange for cash or another Award or cause the cancellation, substitution or amendment of a Stock Option that would have the effect of reducing the exercise price of such a Stock Option previously granted under the Plan or otherwise approve any modification to such a Stock Option, that would be treated as a “repricing” under the then applicable rules, regulations or listing requirements adopted by the Nasdaq or other principal exchange on which the Common Stock is then listed.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6" w:name="page17"/>
    <w:bookmarkEnd w:id="16"/>
    <w:p>
      <w:pPr>
        <w:ind w:right="8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6.8 </w:t>
      </w:r>
      <w:r>
        <w:rPr>
          <w:rFonts w:ascii="Times New Roman" w:cs="Times New Roman" w:eastAsia="Times New Roman" w:hAnsi="Times New Roman"/>
          <w:sz w:val="18"/>
          <w:szCs w:val="18"/>
          <w:i w:val="1"/>
          <w:iCs w:val="1"/>
          <w:color w:val="auto"/>
        </w:rPr>
        <w:t>No Rights as Stockholder</w:t>
      </w:r>
      <w:r>
        <w:rPr>
          <w:rFonts w:ascii="Times New Roman" w:cs="Times New Roman" w:eastAsia="Times New Roman" w:hAnsi="Times New Roman"/>
          <w:sz w:val="18"/>
          <w:szCs w:val="18"/>
          <w:color w:val="auto"/>
        </w:rPr>
        <w:t>. The Participant shall not have any rights as a stockholder with respect to the shares underlying a Stock Option until such time as shares or Common Stock are delivered to the Participant pursuant to the terms of the Award Agreement.</w:t>
      </w:r>
    </w:p>
    <w:p>
      <w:pPr>
        <w:spacing w:after="0" w:line="160" w:lineRule="exact"/>
        <w:rPr>
          <w:sz w:val="20"/>
          <w:szCs w:val="20"/>
          <w:color w:val="auto"/>
        </w:rPr>
      </w:pPr>
    </w:p>
    <w:p>
      <w:pPr>
        <w:ind w:left="620" w:hanging="184"/>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Appreciation Rights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i w:val="1"/>
          <w:iCs w:val="1"/>
          <w:color w:val="auto"/>
        </w:rPr>
        <w:t>Grant of Stock Appreciation Rights</w:t>
      </w:r>
      <w:r>
        <w:rPr>
          <w:rFonts w:ascii="Times New Roman" w:cs="Times New Roman" w:eastAsia="Times New Roman" w:hAnsi="Times New Roman"/>
          <w:sz w:val="18"/>
          <w:szCs w:val="18"/>
          <w:color w:val="auto"/>
        </w:rPr>
        <w:t>. Stock Appreciation Rights may be granted to any Eligible Employee selected by the Committee. Stock Appreciation Rights may be granted on a basis that allows for the exercise of the right by the Participant, or that provides for the automatic exercise or payment of the right upon a specified date or event. Stock Appreciation Rights shall be non-transferable, except as provided in Section 14.3 hereof. All Stock Appreciation Rights granted under the Plan are intended to comply with or otherwise be exempt from the requirements of Section 409A of the Code, to the extent applicable.</w:t>
      </w:r>
    </w:p>
    <w:p>
      <w:pPr>
        <w:spacing w:after="0" w:line="183"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i w:val="1"/>
          <w:iCs w:val="1"/>
          <w:color w:val="auto"/>
        </w:rPr>
        <w:t>Terms of Stock Appreciation Rights</w:t>
      </w:r>
      <w:r>
        <w:rPr>
          <w:rFonts w:ascii="Times New Roman" w:cs="Times New Roman" w:eastAsia="Times New Roman" w:hAnsi="Times New Roman"/>
          <w:sz w:val="18"/>
          <w:szCs w:val="18"/>
          <w:color w:val="auto"/>
        </w:rPr>
        <w:t xml:space="preserve">. The Committee shall in its discretion provide in an Award Agreement the time or times at which or the conditions upon which, a Stock Appreciation Right or portion thereof shall become vested and/or exercisable. If the Fair Market Value of a share of Common Stock exceeds the base price on the last day that the Stock Appreciation Right may be exercised under an Award Agreement, the affected Participant shall be deemed to have exercised the vested portion of such Stock Appreciation Right and net share withholding for taxes (unless otherwise agreed) without the requirement of any further action. The requirements for vesting and exercisability of a Stock Appreciation Right may be based on the continued Service of a Participant with the Company or a Subsidiary for a specified time period (or periods), on the attainment of a specified performance goal(s) and/or on such other terms and conditions as approved by the Committee in its discretion. If the vesting requirements of a Stock Appreciation Right are not satisfied, the Award shall be forfeited. A Stock Appreciation Right will be exercisable or payable at such time or times as determined by the Committee;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maximum term of a Stock Appreciation Right shall be ten (10) years from the Date of Grant. Subject to compliance with Section 409A of the Code, as applicable, and the provisions of this Section 7.2, the Committee may extend at any time the period in which a Stock Appreciation Right may be exercised, but not beyond ten (10) years from the Date of Grant. The Committee may provide that a Stock Appreciation Right will cease to be exercisable upon or at the end of a period following a termination of Service for any reason. The base price of a Stock Appreciation Right shall be determined by the Committee in its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base price per share shall not be less than one hundred percent (100%) of the Fair Market Value of a share of Common Stock on the Date of Grant (other than with respect to a Stock Appreciation Right substituted or assumed under Section 14.10).</w:t>
      </w:r>
    </w:p>
    <w:p>
      <w:pPr>
        <w:spacing w:after="0" w:line="196"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i w:val="1"/>
          <w:iCs w:val="1"/>
          <w:color w:val="auto"/>
        </w:rPr>
        <w:t>Payment of Stock Appreciation Rights</w:t>
      </w:r>
      <w:r>
        <w:rPr>
          <w:rFonts w:ascii="Times New Roman" w:cs="Times New Roman" w:eastAsia="Times New Roman" w:hAnsi="Times New Roman"/>
          <w:sz w:val="18"/>
          <w:szCs w:val="18"/>
          <w:color w:val="auto"/>
        </w:rPr>
        <w:t>. A Stock Appreciation Right will entitle the holder, upon exercise or other payment of the Stock Appreciation Right, as applicable, to receive an amount determined by multiplying: (i) the excess of the Fair Market Value of a share of Common Stock on the date of exercise or payment of the Stock Appreciation Right over the base price of such Stock Appreciation Right, by (ii) the number of shares as to which such Stock</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8" w:right="459" w:bottom="1440" w:gutter="0" w:footer="0" w:header="0"/>
        </w:sectPr>
      </w:pPr>
    </w:p>
    <w:bookmarkStart w:id="17" w:name="page18"/>
    <w:bookmarkEnd w:id="17"/>
    <w:p>
      <w:pPr>
        <w:ind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Appreciation Right is exercised or paid. Payment of the amount determined under the foregoing may be made, as approved by the Committee and set forth in the Award Agreement, in shares of Common Stock valued at their Fair Market Value on the date of exercise or payment, in cash or in a combination of shares of Common Stock and cash, subject to applicable tax withholding requirements.</w:t>
      </w:r>
    </w:p>
    <w:p>
      <w:pPr>
        <w:spacing w:after="0" w:line="174"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i w:val="1"/>
          <w:iCs w:val="1"/>
          <w:color w:val="auto"/>
        </w:rPr>
        <w:t>Repricing Prohibited</w:t>
      </w:r>
      <w:r>
        <w:rPr>
          <w:rFonts w:ascii="Times New Roman" w:cs="Times New Roman" w:eastAsia="Times New Roman" w:hAnsi="Times New Roman"/>
          <w:sz w:val="18"/>
          <w:szCs w:val="18"/>
          <w:color w:val="auto"/>
        </w:rPr>
        <w:t>. Subject to the adjustment provisions contained in Section 4.3 hereof and other than in connection with a Change in Control, without the prior approval of the Company’s stockholders, neither the Committee nor the Board shall cancel a Stock Appreciation Right when the base price per share exceeds the Fair Market Value of one share of Common Stock in exchange for cash or another Award or cause the cancellation, substitution or amendment of a Stock Appreciation Right that would have the effect of reducing the base price of such a Stock Appreciation Right previously granted under the Plan or otherwise approve any modification to such Stock Appreciation Right that would be treated as a “repricing” under the then applicable rules, regulations or listing requirements adopted by the Nasdaq or other principal exchange on which the Common Stock is then listed.</w:t>
      </w:r>
    </w:p>
    <w:p>
      <w:pPr>
        <w:spacing w:after="0" w:line="183" w:lineRule="exact"/>
        <w:rPr>
          <w:sz w:val="20"/>
          <w:szCs w:val="20"/>
          <w:color w:val="auto"/>
        </w:rPr>
      </w:pPr>
    </w:p>
    <w:p>
      <w:pPr>
        <w:ind w:firstLine="440"/>
        <w:spacing w:after="0" w:line="315" w:lineRule="auto"/>
        <w:rPr>
          <w:sz w:val="20"/>
          <w:szCs w:val="20"/>
          <w:color w:val="auto"/>
        </w:rPr>
      </w:pPr>
      <w:r>
        <w:rPr>
          <w:rFonts w:ascii="Times New Roman" w:cs="Times New Roman" w:eastAsia="Times New Roman" w:hAnsi="Times New Roman"/>
          <w:sz w:val="17"/>
          <w:szCs w:val="17"/>
          <w:color w:val="auto"/>
        </w:rPr>
        <w:t xml:space="preserve">7.5 </w:t>
      </w:r>
      <w:r>
        <w:rPr>
          <w:rFonts w:ascii="Times New Roman" w:cs="Times New Roman" w:eastAsia="Times New Roman" w:hAnsi="Times New Roman"/>
          <w:sz w:val="17"/>
          <w:szCs w:val="17"/>
          <w:i w:val="1"/>
          <w:iCs w:val="1"/>
          <w:color w:val="auto"/>
        </w:rPr>
        <w:t>No Rights as Stockholder</w:t>
      </w:r>
      <w:r>
        <w:rPr>
          <w:rFonts w:ascii="Times New Roman" w:cs="Times New Roman" w:eastAsia="Times New Roman" w:hAnsi="Times New Roman"/>
          <w:sz w:val="17"/>
          <w:szCs w:val="17"/>
          <w:color w:val="auto"/>
        </w:rPr>
        <w:t>. The Participant shall not have any rights as a stockholder with respect to the shares underlying a Stock Appreciation Right unless and until such time as shares or Common Stock are delivered to the Participant pursuant to the terms of the Award Agreement.</w:t>
      </w:r>
    </w:p>
    <w:p>
      <w:pPr>
        <w:spacing w:after="0" w:line="137" w:lineRule="exact"/>
        <w:rPr>
          <w:sz w:val="20"/>
          <w:szCs w:val="20"/>
          <w:color w:val="auto"/>
        </w:rPr>
      </w:pPr>
    </w:p>
    <w:p>
      <w:pPr>
        <w:ind w:left="620" w:hanging="184"/>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Awards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5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i w:val="1"/>
          <w:iCs w:val="1"/>
          <w:color w:val="auto"/>
        </w:rPr>
        <w:t>Grant of Restricted Stock Awards</w:t>
      </w:r>
      <w:r>
        <w:rPr>
          <w:rFonts w:ascii="Times New Roman" w:cs="Times New Roman" w:eastAsia="Times New Roman" w:hAnsi="Times New Roman"/>
          <w:sz w:val="18"/>
          <w:szCs w:val="18"/>
          <w:color w:val="auto"/>
        </w:rPr>
        <w:t>. A Restricted Stock Award may be granted to any Eligible Employee selected by the Committee. The Committee may require the payment by the Participant of a specified purchase price in connection with any Restricted Stock Award.</w:t>
      </w:r>
    </w:p>
    <w:p>
      <w:pPr>
        <w:spacing w:after="0" w:line="158" w:lineRule="exact"/>
        <w:rPr>
          <w:sz w:val="20"/>
          <w:szCs w:val="20"/>
          <w:color w:val="auto"/>
        </w:rPr>
      </w:pPr>
    </w:p>
    <w:p>
      <w:pPr>
        <w:ind w:right="200" w:firstLine="440"/>
        <w:spacing w:after="0" w:line="257"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i w:val="1"/>
          <w:iCs w:val="1"/>
          <w:color w:val="auto"/>
        </w:rPr>
        <w:t>Vesting Requirements</w:t>
      </w:r>
      <w:r>
        <w:rPr>
          <w:rFonts w:ascii="Times New Roman" w:cs="Times New Roman" w:eastAsia="Times New Roman" w:hAnsi="Times New Roman"/>
          <w:sz w:val="18"/>
          <w:szCs w:val="18"/>
          <w:color w:val="auto"/>
        </w:rPr>
        <w:t>. The restrictions imposed on shares granted under a Restricted Stock Award shall lapse in accordance with the vesting requirements specified by the Committee in the Award Agreement. The requirements for vesting of a Restricted Stock Award may be based on the continued Service of the Participant with the Company or a Subsidiary for a specified time period (or periods), on the attainment of a specified performance goal(s) and/or on such other terms and conditions as approved by the Committee in its discretion. If the vesting requirements of a Restricted Stock Award are not satisfied, the Award shall be forfeited and the shares of Common Stock subject to the Award shall be returned to the Company.</w:t>
      </w:r>
    </w:p>
    <w:p>
      <w:pPr>
        <w:spacing w:after="0" w:line="182"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i w:val="1"/>
          <w:iCs w:val="1"/>
          <w:color w:val="auto"/>
        </w:rPr>
        <w:t>Transfer Restrictions</w:t>
      </w:r>
      <w:r>
        <w:rPr>
          <w:rFonts w:ascii="Times New Roman" w:cs="Times New Roman" w:eastAsia="Times New Roman" w:hAnsi="Times New Roman"/>
          <w:sz w:val="18"/>
          <w:szCs w:val="18"/>
          <w:color w:val="auto"/>
        </w:rPr>
        <w:t>. Shares granted under any Restricted Stock Award may not be transferred, assigned or subject to any encumbrance, pledge or charge until all applicable restrictions are removed or have expired, except as provided in Section 14.3 hereof. Failure to satisfy any applicable restrictions shall result in the subject shares of the Restricted Stock Award being forfeited and returned to the Company. The Committee may require in an Award Agreement that certificates (if any) representing the shares granted under a Restricted Stock Award bear a legend making appropriate reference to the restrictions imposed, and that certificates (if any) representing the shares granted or sold under a Restricted Stock Award will remain in the physical custody of an escrow holder until all restrictions are removed or have expired.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18" w:name="page19"/>
    <w:bookmarkEnd w:id="18"/>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8.4 </w:t>
      </w:r>
      <w:r>
        <w:rPr>
          <w:rFonts w:ascii="Times New Roman" w:cs="Times New Roman" w:eastAsia="Times New Roman" w:hAnsi="Times New Roman"/>
          <w:sz w:val="18"/>
          <w:szCs w:val="18"/>
          <w:i w:val="1"/>
          <w:iCs w:val="1"/>
          <w:color w:val="auto"/>
        </w:rPr>
        <w:t>Rights as Stockholder</w:t>
      </w:r>
      <w:r>
        <w:rPr>
          <w:rFonts w:ascii="Times New Roman" w:cs="Times New Roman" w:eastAsia="Times New Roman" w:hAnsi="Times New Roman"/>
          <w:sz w:val="18"/>
          <w:szCs w:val="18"/>
          <w:color w:val="auto"/>
        </w:rPr>
        <w:t>. Subject to the foregoing provisions of this Section 8 and the applicable Award Agreement, the Participant shall have all rights of a stockholder with respect to the shares granted to the Participant under a Restricted Stock Award, including the right to vote the shares and receive all dividends and other distributions paid or made with respect thereto, unless the Committee determines otherwise at the time the Restricted Stock Award is granted. The Committee shall determine and set forth in a Participant’s Award Agreement whether or not a Participant holding a Restricted Stock Award granted hereunder shall have the right to exercise voting rights with respect to the period during which the Restricted Stock Award is subject to forfeiture (the “</w:t>
      </w:r>
      <w:r>
        <w:rPr>
          <w:rFonts w:ascii="Times New Roman" w:cs="Times New Roman" w:eastAsia="Times New Roman" w:hAnsi="Times New Roman"/>
          <w:sz w:val="18"/>
          <w:szCs w:val="18"/>
          <w:i w:val="1"/>
          <w:iCs w:val="1"/>
          <w:color w:val="auto"/>
        </w:rPr>
        <w:t>Restriction Period</w:t>
      </w:r>
      <w:r>
        <w:rPr>
          <w:rFonts w:ascii="Times New Roman" w:cs="Times New Roman" w:eastAsia="Times New Roman" w:hAnsi="Times New Roman"/>
          <w:sz w:val="18"/>
          <w:szCs w:val="18"/>
          <w:color w:val="auto"/>
        </w:rPr>
        <w:t xml:space="preserve">”), and have the right to receive dividends on the Restricted Stock Award during the Restriction Period (and, if so, on what terms)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 Participant has the right to receive dividends paid with respect to the Restricted Stock Award, such dividends shall be subject to the same vesting terms as the related Restricted Stock Award.</w:t>
      </w:r>
    </w:p>
    <w:p>
      <w:pPr>
        <w:spacing w:after="0" w:line="185" w:lineRule="exact"/>
        <w:rPr>
          <w:sz w:val="20"/>
          <w:szCs w:val="20"/>
          <w:color w:val="auto"/>
        </w:rPr>
      </w:pPr>
    </w:p>
    <w:p>
      <w:pPr>
        <w:ind w:right="20" w:firstLine="440"/>
        <w:spacing w:after="0" w:line="281" w:lineRule="auto"/>
        <w:rPr>
          <w:sz w:val="20"/>
          <w:szCs w:val="20"/>
          <w:color w:val="auto"/>
        </w:rPr>
      </w:pPr>
      <w:r>
        <w:rPr>
          <w:rFonts w:ascii="Times New Roman" w:cs="Times New Roman" w:eastAsia="Times New Roman" w:hAnsi="Times New Roman"/>
          <w:sz w:val="17"/>
          <w:szCs w:val="17"/>
          <w:color w:val="auto"/>
        </w:rPr>
        <w:t xml:space="preserve">8.5 </w:t>
      </w:r>
      <w:r>
        <w:rPr>
          <w:rFonts w:ascii="Times New Roman" w:cs="Times New Roman" w:eastAsia="Times New Roman" w:hAnsi="Times New Roman"/>
          <w:sz w:val="17"/>
          <w:szCs w:val="17"/>
          <w:i w:val="1"/>
          <w:iCs w:val="1"/>
          <w:color w:val="auto"/>
        </w:rPr>
        <w:t>Section 83(b) Election</w:t>
      </w:r>
      <w:r>
        <w:rPr>
          <w:rFonts w:ascii="Times New Roman" w:cs="Times New Roman" w:eastAsia="Times New Roman" w:hAnsi="Times New Roman"/>
          <w:sz w:val="17"/>
          <w:szCs w:val="17"/>
          <w:color w:val="auto"/>
        </w:rPr>
        <w:t>. If a Participant makes an election pursuant to Section 83(b) of the Code with respect to a Restricted Stock Award, the Participant shall file, within thirty (30) days following the Date of Grant, a copy of such election with the Company and with the Internal Revenue Service, in accordance with the regulations under Section 83 of the Code. The Committee may provide in an Award Agreement that the Restricted Stock Award is conditioned upon the Participant’s making or refraining from making an election with respect to the Award under Section 83(b) of the Code.</w:t>
      </w:r>
    </w:p>
    <w:p>
      <w:pPr>
        <w:spacing w:after="0" w:line="166" w:lineRule="exact"/>
        <w:rPr>
          <w:sz w:val="20"/>
          <w:szCs w:val="20"/>
          <w:color w:val="auto"/>
        </w:rPr>
      </w:pPr>
    </w:p>
    <w:p>
      <w:pPr>
        <w:ind w:left="620" w:hanging="184"/>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i w:val="1"/>
          <w:iCs w:val="1"/>
          <w:color w:val="auto"/>
        </w:rPr>
        <w:t>Grant of Restricted Stock Units</w:t>
      </w:r>
      <w:r>
        <w:rPr>
          <w:rFonts w:ascii="Times New Roman" w:cs="Times New Roman" w:eastAsia="Times New Roman" w:hAnsi="Times New Roman"/>
          <w:sz w:val="18"/>
          <w:szCs w:val="18"/>
          <w:color w:val="auto"/>
        </w:rPr>
        <w:t>. A Restricted Stock Unit may be granted to any Eligible Employee selected by the Committee. The value of each Restricted Stock Unit is equal to the Fair Market Value of a share of Common Stock on the applicable date or time period of determination, as specified by the Committee. Restricted Stock Units shall be subject to such restrictions and conditions as the Committee shall determine. Restricted Stock Units shall be non-transferable, except as provided in Section 14.3 hereof.</w:t>
      </w:r>
    </w:p>
    <w:p>
      <w:pPr>
        <w:spacing w:after="0" w:line="180" w:lineRule="exact"/>
        <w:rPr>
          <w:sz w:val="20"/>
          <w:szCs w:val="20"/>
          <w:color w:val="auto"/>
        </w:rPr>
      </w:pPr>
    </w:p>
    <w:p>
      <w:pPr>
        <w:jc w:val="both"/>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i w:val="1"/>
          <w:iCs w:val="1"/>
          <w:color w:val="auto"/>
        </w:rPr>
        <w:t>Vesting of Restricted Stock Units</w:t>
      </w:r>
      <w:r>
        <w:rPr>
          <w:rFonts w:ascii="Times New Roman" w:cs="Times New Roman" w:eastAsia="Times New Roman" w:hAnsi="Times New Roman"/>
          <w:sz w:val="18"/>
          <w:szCs w:val="18"/>
          <w:color w:val="auto"/>
        </w:rPr>
        <w:t>. The Committee shall, in its discretion, determine any vesting requirements with respect to Restricted Stock Units, which shall be set forth in the Award Agreement. The requirements for vesting of a Restricted Stock Unit may be based on the continued Service of the Participant with the Company or a Subsidiary for a specified time period (or periods), on the attainment of a specified performance goal(s) and/or on such other terms and conditions as approved by the Committee in its discretion. If the vesting requirements of a Restricted Stock Unit Award are not satisfied, the Award shall be forfeited.</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i w:val="1"/>
          <w:iCs w:val="1"/>
          <w:color w:val="auto"/>
        </w:rPr>
        <w:t>Payment of Restricted Stock Units</w:t>
      </w:r>
      <w:r>
        <w:rPr>
          <w:rFonts w:ascii="Times New Roman" w:cs="Times New Roman" w:eastAsia="Times New Roman" w:hAnsi="Times New Roman"/>
          <w:sz w:val="18"/>
          <w:szCs w:val="18"/>
          <w:color w:val="auto"/>
        </w:rPr>
        <w:t>. Restricted Stock Units shall become payable to a Participant at the time or times determined by the Committee and set forth in the Award Agreement, which may be upon or following the vesting of the Award. Payment of a Restricted Stock Unit may be made, as approved by the Committee and set forth in the Award Agreement, in cash or in shares of Common Stock or in a combination thereof, subject to applicable tax withholding requirements. Any cash payment of a Restricted Stock Unit shall be made based upon the Fair Market Value of a share of Common Stock, determined on such date or over such time period as determined by the Committee.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8" w:right="459" w:bottom="1440" w:gutter="0" w:footer="0" w:header="0"/>
        </w:sectPr>
      </w:pPr>
    </w:p>
    <w:bookmarkStart w:id="19" w:name="page20"/>
    <w:bookmarkEnd w:id="19"/>
    <w:p>
      <w:pPr>
        <w:ind w:left="4" w:right="160" w:firstLine="44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9.4 </w:t>
      </w:r>
      <w:r>
        <w:rPr>
          <w:rFonts w:ascii="Times New Roman" w:cs="Times New Roman" w:eastAsia="Times New Roman" w:hAnsi="Times New Roman"/>
          <w:sz w:val="18"/>
          <w:szCs w:val="18"/>
          <w:i w:val="1"/>
          <w:iCs w:val="1"/>
          <w:color w:val="auto"/>
        </w:rPr>
        <w:t>Dividend Equivalent Rights.</w:t>
      </w:r>
      <w:r>
        <w:rPr>
          <w:rFonts w:ascii="Times New Roman" w:cs="Times New Roman" w:eastAsia="Times New Roman" w:hAnsi="Times New Roman"/>
          <w:sz w:val="18"/>
          <w:szCs w:val="18"/>
          <w:color w:val="auto"/>
        </w:rPr>
        <w:t xml:space="preserve"> Dividends shall not be paid with respect to Restricted Stock Units. Dividend equivalent rights may be granted with respect to the Shares subject to Restricted Stock Units to the extent permitted by the Committee and set forth in the applicable Award Agreement; provided that any dividend equivalent rights granted shall be subject to the same vesting terms as the related Restricted Stock Units.</w:t>
      </w:r>
    </w:p>
    <w:p>
      <w:pPr>
        <w:spacing w:after="0" w:line="173" w:lineRule="exact"/>
        <w:rPr>
          <w:sz w:val="20"/>
          <w:szCs w:val="20"/>
          <w:color w:val="auto"/>
        </w:rPr>
      </w:pPr>
    </w:p>
    <w:p>
      <w:pPr>
        <w:ind w:left="4" w:right="3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i w:val="1"/>
          <w:iCs w:val="1"/>
          <w:color w:val="auto"/>
        </w:rPr>
        <w:t>No Rights as Stockholder</w:t>
      </w:r>
      <w:r>
        <w:rPr>
          <w:rFonts w:ascii="Times New Roman" w:cs="Times New Roman" w:eastAsia="Times New Roman" w:hAnsi="Times New Roman"/>
          <w:sz w:val="18"/>
          <w:szCs w:val="18"/>
          <w:color w:val="auto"/>
        </w:rPr>
        <w:t>. The Participant shall not have any rights as a stockholder with respect to the shares subject to a Restricted Stock Unit until such time as shares of Common Stock are delivered to the Participant pursuant to the terms of the Award Agreement.</w:t>
      </w:r>
    </w:p>
    <w:p>
      <w:pPr>
        <w:spacing w:after="0" w:line="160" w:lineRule="exact"/>
        <w:rPr>
          <w:sz w:val="20"/>
          <w:szCs w:val="20"/>
          <w:color w:val="auto"/>
        </w:rPr>
      </w:pPr>
    </w:p>
    <w:p>
      <w:pPr>
        <w:ind w:left="704" w:hanging="264"/>
        <w:spacing w:after="0"/>
        <w:tabs>
          <w:tab w:leader="none" w:pos="70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Stock-Based Awards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i w:val="1"/>
          <w:iCs w:val="1"/>
          <w:color w:val="auto"/>
        </w:rPr>
        <w:t>Grant of Stock-Based Awards</w:t>
      </w:r>
      <w:r>
        <w:rPr>
          <w:rFonts w:ascii="Times New Roman" w:cs="Times New Roman" w:eastAsia="Times New Roman" w:hAnsi="Times New Roman"/>
          <w:sz w:val="18"/>
          <w:szCs w:val="18"/>
          <w:color w:val="auto"/>
        </w:rPr>
        <w:t>. A Stock-Based Award may be granted to any Eligible Employee selected by the Committee. A Stock-Based Award may be granted for past Services, in lieu of bonus or other cash compensation, as directors’ compensation or for any other valid purpose as determined by the Committee, and shall be based upon or calculated by reference to the Common Stock. The Committee shall determine the terms and conditions of such Awards, and such Awards may be made without vesting requirements. In addition, the Committee may, in connection with any Stock-Based Award, require the payment of a specified purchase price.</w:t>
      </w:r>
    </w:p>
    <w:p>
      <w:pPr>
        <w:spacing w:after="0" w:line="183"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i w:val="1"/>
          <w:iCs w:val="1"/>
          <w:color w:val="auto"/>
        </w:rPr>
        <w:t>Rights as Stockholder</w:t>
      </w:r>
      <w:r>
        <w:rPr>
          <w:rFonts w:ascii="Times New Roman" w:cs="Times New Roman" w:eastAsia="Times New Roman" w:hAnsi="Times New Roman"/>
          <w:sz w:val="18"/>
          <w:szCs w:val="18"/>
          <w:color w:val="auto"/>
        </w:rPr>
        <w:t>. The Participant shall not have any rights as a stockholder with respect to the shares of Common Stock, including the right to vote the shares and receive all dividends and other distributions paid or made with respect thereto, until such time as shares of Common Stock, if any, are issued to the Participant pursuant to the terms of the Award Agreement. If a Participant has the right to receive dividends paid with respect to the Stock-Based Award, such dividends shall be subject to the same vesting terms as the related Stock-Based Award, if applicable.</w:t>
      </w:r>
    </w:p>
    <w:p>
      <w:pPr>
        <w:spacing w:after="0" w:line="182" w:lineRule="exact"/>
        <w:rPr>
          <w:sz w:val="20"/>
          <w:szCs w:val="20"/>
          <w:color w:val="auto"/>
        </w:rPr>
      </w:pPr>
    </w:p>
    <w:p>
      <w:pPr>
        <w:ind w:left="704" w:hanging="264"/>
        <w:spacing w:after="0"/>
        <w:tabs>
          <w:tab w:leader="none" w:pos="7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 w:right="40" w:firstLine="440"/>
        <w:spacing w:after="0" w:line="269" w:lineRule="auto"/>
        <w:rPr>
          <w:sz w:val="20"/>
          <w:szCs w:val="20"/>
          <w:color w:val="auto"/>
        </w:rPr>
      </w:pPr>
      <w:r>
        <w:rPr>
          <w:rFonts w:ascii="Times New Roman" w:cs="Times New Roman" w:eastAsia="Times New Roman" w:hAnsi="Times New Roman"/>
          <w:sz w:val="17"/>
          <w:szCs w:val="17"/>
          <w:color w:val="auto"/>
        </w:rPr>
        <w:t xml:space="preserve">11.1 </w:t>
      </w:r>
      <w:r>
        <w:rPr>
          <w:rFonts w:ascii="Times New Roman" w:cs="Times New Roman" w:eastAsia="Times New Roman" w:hAnsi="Times New Roman"/>
          <w:sz w:val="17"/>
          <w:szCs w:val="17"/>
          <w:i w:val="1"/>
          <w:iCs w:val="1"/>
          <w:color w:val="auto"/>
        </w:rPr>
        <w:t>Effect on Awards</w:t>
      </w:r>
      <w:r>
        <w:rPr>
          <w:rFonts w:ascii="Times New Roman" w:cs="Times New Roman" w:eastAsia="Times New Roman" w:hAnsi="Times New Roman"/>
          <w:sz w:val="17"/>
          <w:szCs w:val="17"/>
          <w:color w:val="auto"/>
        </w:rPr>
        <w:t>. Upon the occurrence of a Change in Control, all outstanding Awards shall either be (a) continued or assumed by the Company (if it is the surviving company or corporation) or by the surviving company or corporation or its parent (with such continuation or assumption including conversion into the right to receive securities, cash or a combination of both), or (b) substituted by the surviving company or corporation or its parent for awards (with such substitution including conversion into the right to receive securities, cash or a combination of both), with substantially similar terms for outstanding Awards (with appropriate adjustments to the type of consideration payable upon settlement of the Awards or other relevant factors, and with any applicable performance conditions deemed achieved (i) for any completed performance period, based on actual performance, or</w:t>
      </w:r>
    </w:p>
    <w:p>
      <w:pPr>
        <w:spacing w:after="0" w:line="2" w:lineRule="exact"/>
        <w:rPr>
          <w:sz w:val="20"/>
          <w:szCs w:val="20"/>
          <w:color w:val="auto"/>
        </w:rPr>
      </w:pPr>
    </w:p>
    <w:p>
      <w:pPr>
        <w:ind w:left="4" w:right="300" w:hanging="4"/>
        <w:spacing w:after="0" w:line="260" w:lineRule="auto"/>
        <w:tabs>
          <w:tab w:leader="none" w:pos="26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partial or future performance period, at the greater of the target level or actual performance, in each case as determined by the Committee (with the Award remaining subject only to time vesting), unless otherwise provided in an Award Agreement).</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68" w:right="459" w:bottom="1440" w:gutter="0" w:footer="0" w:header="0"/>
        </w:sectPr>
      </w:pPr>
    </w:p>
    <w:bookmarkStart w:id="20" w:name="page21"/>
    <w:bookmarkEnd w:id="20"/>
    <w:p>
      <w:pPr>
        <w:ind w:right="60" w:firstLine="44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11.2 </w:t>
      </w:r>
      <w:r>
        <w:rPr>
          <w:rFonts w:ascii="Times New Roman" w:cs="Times New Roman" w:eastAsia="Times New Roman" w:hAnsi="Times New Roman"/>
          <w:sz w:val="18"/>
          <w:szCs w:val="18"/>
          <w:i w:val="1"/>
          <w:iCs w:val="1"/>
          <w:color w:val="auto"/>
        </w:rPr>
        <w:t>Certain Adjustments</w:t>
      </w:r>
      <w:r>
        <w:rPr>
          <w:rFonts w:ascii="Times New Roman" w:cs="Times New Roman" w:eastAsia="Times New Roman" w:hAnsi="Times New Roman"/>
          <w:sz w:val="18"/>
          <w:szCs w:val="18"/>
          <w:color w:val="auto"/>
        </w:rPr>
        <w:t>. Notwithstanding Section 11.1, to the extent that outstanding Awards are not continued, assumed or substituted pursuant to Section 11.1 upon the occurrence of a Change in Control, the Committee is authorized (but not obligated) to make adjustments in the terms and conditions of outstanding Awards, including without limitation the following (or any combination thereof):</w:t>
      </w:r>
    </w:p>
    <w:p>
      <w:pPr>
        <w:spacing w:after="0" w:line="67" w:lineRule="exact"/>
        <w:rPr>
          <w:sz w:val="20"/>
          <w:szCs w:val="20"/>
          <w:color w:val="auto"/>
        </w:rPr>
      </w:pPr>
    </w:p>
    <w:p>
      <w:pPr>
        <w:ind w:right="20" w:firstLine="987"/>
        <w:spacing w:after="0" w:line="282" w:lineRule="auto"/>
        <w:tabs>
          <w:tab w:leader="none" w:pos="12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exercisability, vesting and/or payment of outstanding Awards immediately prior to the occurrence of such event or upon or following such event;</w:t>
      </w:r>
    </w:p>
    <w:p>
      <w:pPr>
        <w:spacing w:after="0" w:line="161" w:lineRule="exact"/>
        <w:rPr>
          <w:rFonts w:ascii="Times New Roman" w:cs="Times New Roman" w:eastAsia="Times New Roman" w:hAnsi="Times New Roman"/>
          <w:sz w:val="18"/>
          <w:szCs w:val="18"/>
          <w:color w:val="auto"/>
        </w:rPr>
      </w:pPr>
    </w:p>
    <w:p>
      <w:pPr>
        <w:ind w:right="280" w:firstLine="987"/>
        <w:spacing w:after="0" w:line="261" w:lineRule="auto"/>
        <w:tabs>
          <w:tab w:leader="none" w:pos="124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written notice, providing that any outstanding Stock Options and Stock Appreciation Rights are exercisable during a period of time immediately prior to the scheduled consummation of the event or such other period as determined by the Committee (contingent upon the consummation of the event), and at the end of such period, such Stock Options and Stock Appreciation Rights shall terminate to the extent not so exercised within the relevant period; and</w:t>
      </w:r>
    </w:p>
    <w:p>
      <w:pPr>
        <w:spacing w:after="0" w:line="179" w:lineRule="exact"/>
        <w:rPr>
          <w:rFonts w:ascii="Times New Roman" w:cs="Times New Roman" w:eastAsia="Times New Roman" w:hAnsi="Times New Roman"/>
          <w:sz w:val="18"/>
          <w:szCs w:val="18"/>
          <w:color w:val="auto"/>
        </w:rPr>
      </w:pPr>
    </w:p>
    <w:p>
      <w:pPr>
        <w:ind w:right="120" w:firstLine="987"/>
        <w:spacing w:after="0" w:line="254" w:lineRule="auto"/>
        <w:tabs>
          <w:tab w:leader="none" w:pos="12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cancellation of all or any portion of outstanding Awards for fair value (in the form of cash, Common Shares, other property or any combination thereof) as determined in the sole discretion of the Committee;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case of Stock Options and Stock Appreciation Rights or similar Awards, the fair value may equal the excess, if any, of the value or amount of the consideration to be paid in the Change in Control transaction to holders of shares of Common Stock (or, if no such consideration is paid, Fair Market Value of the shares of Common Stock) over the aggregate exercise or base price, as applicable, with respect to such Awards or portion thereof being canceled, or if there is no such excess, zero;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any payments or other consideration are deferred and/or contingent as a result of escrows, earn outs, holdbacks or any other contingencies, payments under this provision may be made on substantially the same terms and conditions applicable to, and only to the extent actually paid to, the holders of Common Shares in connection with the Change in Control.</w:t>
      </w:r>
    </w:p>
    <w:p>
      <w:pPr>
        <w:spacing w:after="0" w:line="190"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i w:val="1"/>
          <w:iCs w:val="1"/>
          <w:color w:val="auto"/>
        </w:rPr>
        <w:t>Certain Terminations of Service</w:t>
      </w:r>
      <w:r>
        <w:rPr>
          <w:rFonts w:ascii="Times New Roman" w:cs="Times New Roman" w:eastAsia="Times New Roman" w:hAnsi="Times New Roman"/>
          <w:sz w:val="18"/>
          <w:szCs w:val="18"/>
          <w:color w:val="auto"/>
        </w:rPr>
        <w:t>. Notwithstanding the provisions of Section 11.1, if a Participant’s Service with the Company and its Subsidiaries is terminated upon or within twenty four (24) months following a Change in Control by the Company without Cause or upon such other circumstances as determined by the Committee, the unvested portion (if any) of all outstanding Awards held by the Participant shall immediately vest (and, to the extent applicable, become exercisable) and be paid in full upon such termination, with any applicable performance conditions deemed achieved (i) for any completed performance period, based on actual performance, or (ii) for any partial or future performance period, at the greater of the target level or actual performance, in each case as determined by the Committee, unless otherwise provided in an Award Agreement.</w:t>
      </w:r>
    </w:p>
    <w:p>
      <w:pPr>
        <w:spacing w:after="0" w:line="182" w:lineRule="exact"/>
        <w:rPr>
          <w:sz w:val="20"/>
          <w:szCs w:val="20"/>
          <w:color w:val="auto"/>
        </w:rPr>
      </w:pPr>
    </w:p>
    <w:p>
      <w:pPr>
        <w:ind w:right="180" w:firstLine="440"/>
        <w:spacing w:after="0" w:line="284"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i w:val="1"/>
          <w:iCs w:val="1"/>
          <w:color w:val="auto"/>
        </w:rPr>
        <w:t>Definition of Change in Control.</w:t>
      </w:r>
      <w:r>
        <w:rPr>
          <w:rFonts w:ascii="Times New Roman" w:cs="Times New Roman" w:eastAsia="Times New Roman" w:hAnsi="Times New Roman"/>
          <w:sz w:val="18"/>
          <w:szCs w:val="18"/>
          <w:color w:val="auto"/>
        </w:rPr>
        <w:t xml:space="preserve"> Unless otherwise defined in an Award Agreement or other written agreement approved by the Committee, “Change in Control” means, and shall occur, if:</w:t>
      </w:r>
    </w:p>
    <w:p>
      <w:pPr>
        <w:spacing w:after="0" w:line="52" w:lineRule="exact"/>
        <w:rPr>
          <w:sz w:val="20"/>
          <w:szCs w:val="20"/>
          <w:color w:val="auto"/>
        </w:rPr>
      </w:pPr>
    </w:p>
    <w:p>
      <w:pPr>
        <w:ind w:firstLine="987"/>
        <w:spacing w:after="0" w:line="261" w:lineRule="auto"/>
        <w:tabs>
          <w:tab w:leader="none" w:pos="12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(other than the Company, any trustee or other fiduciary holding securities under any employee benefit plan of the Company, or any company owned, directly or indirectly, by the stockholders of the Company in substantially the same proportions as their ownership of shares of Common Stock), is or becomes the “beneficial owner” (as defined in Rule 13d-3 under the Exchange Act), directly or indirectly, of securities of the Company representing more than 50% of the combined voting power of the Company’s then outstanding securities;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8" w:right="459" w:bottom="1440" w:gutter="0" w:footer="0" w:header="0"/>
        </w:sectPr>
      </w:pPr>
    </w:p>
    <w:bookmarkStart w:id="21" w:name="page22"/>
    <w:bookmarkEnd w:id="21"/>
    <w:p>
      <w:pPr>
        <w:ind w:firstLine="987"/>
        <w:spacing w:after="0" w:line="256" w:lineRule="auto"/>
        <w:tabs>
          <w:tab w:leader="none" w:pos="12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during any period of two consecutive years (the “</w:t>
      </w:r>
      <w:r>
        <w:rPr>
          <w:rFonts w:ascii="Times New Roman" w:cs="Times New Roman" w:eastAsia="Times New Roman" w:hAnsi="Times New Roman"/>
          <w:sz w:val="18"/>
          <w:szCs w:val="18"/>
          <w:i w:val="1"/>
          <w:iCs w:val="1"/>
          <w:color w:val="auto"/>
        </w:rPr>
        <w:t>Board Measurement Period</w:t>
      </w:r>
      <w:r>
        <w:rPr>
          <w:rFonts w:ascii="Times New Roman" w:cs="Times New Roman" w:eastAsia="Times New Roman" w:hAnsi="Times New Roman"/>
          <w:sz w:val="18"/>
          <w:szCs w:val="18"/>
          <w:color w:val="auto"/>
        </w:rPr>
        <w:t>”) individuals who at the beginning of such period constitute the Board and any new director (other than a director designated by a Person who has entered into an agreement with the Company to effect a transaction described in paragraph (a), (c), or (d) of this section, or a director initially elected or nominated as a result of an actual or threatened election contest with respect to directors or as a result of any other actual or threatened solicitation of proxies by or on behalf of any Person other than the Board) whose election by the Board or nomination for election by the Company’s stockholders was approved by a vote of at least two-thirds of the directors then still in office who either were directors at the beginning of the Board Measurement Period or whose election or nomination for election was previously so approved, cease for any reason to constitute at least a majority of the Board;</w:t>
      </w:r>
    </w:p>
    <w:p>
      <w:pPr>
        <w:spacing w:after="0" w:line="184" w:lineRule="exact"/>
        <w:rPr>
          <w:rFonts w:ascii="Times New Roman" w:cs="Times New Roman" w:eastAsia="Times New Roman" w:hAnsi="Times New Roman"/>
          <w:sz w:val="18"/>
          <w:szCs w:val="18"/>
          <w:color w:val="auto"/>
        </w:rPr>
      </w:pPr>
    </w:p>
    <w:p>
      <w:pPr>
        <w:ind w:right="20" w:firstLine="987"/>
        <w:spacing w:after="0" w:line="256" w:lineRule="auto"/>
        <w:tabs>
          <w:tab w:leader="none" w:pos="12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provided, however, that a merger or consolidation effected to implement a recapitalization of the Company (or similar transaction) in which no Person (other than those covered by the exceptions in (i) above) acquires more than 50% of the combined voting power of the Company’s then outstanding securities shall not constitute a Change in Control of the Company; or</w:t>
      </w:r>
    </w:p>
    <w:p>
      <w:pPr>
        <w:spacing w:after="0" w:line="187" w:lineRule="exact"/>
        <w:rPr>
          <w:rFonts w:ascii="Times New Roman" w:cs="Times New Roman" w:eastAsia="Times New Roman" w:hAnsi="Times New Roman"/>
          <w:sz w:val="18"/>
          <w:szCs w:val="18"/>
          <w:color w:val="auto"/>
        </w:rPr>
      </w:pPr>
    </w:p>
    <w:p>
      <w:pPr>
        <w:ind w:right="60" w:firstLine="987"/>
        <w:spacing w:after="0" w:line="261" w:lineRule="auto"/>
        <w:tabs>
          <w:tab w:leader="none" w:pos="12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approve the consummation of the sale or disposition by the Company of all or substantially all of the Company’s assets other than (i) the sale or disposition of all or substantially all of the assets of the Company to a Person or Persons who beneficially own, directly or indirectly, more than 50% of the combined voting power of the outstanding voting securities of the Company at the time of the sale or disposition or (ii) pursuant to a spinoff type transaction, directly or indirectly, of such assets to the stockholders of the Company.</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Notwithstanding the foregoing, to the extent necessary to comply with Section 409A of the Code with respect to the payment of “nonqualified deferred compensation,” “Change in Control” shall be limited to a “change in control event” as defined under Section 409A of the Code.</w:t>
      </w:r>
    </w:p>
    <w:p>
      <w:pPr>
        <w:spacing w:after="0" w:line="162" w:lineRule="exact"/>
        <w:rPr>
          <w:sz w:val="20"/>
          <w:szCs w:val="20"/>
          <w:color w:val="auto"/>
        </w:rPr>
      </w:pPr>
    </w:p>
    <w:p>
      <w:pPr>
        <w:ind w:left="700" w:hanging="264"/>
        <w:spacing w:after="0"/>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Events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The Committee may specify in an Award Agreement that the Participant’s rights, payments and benefits with respect to an Award are subject to reduction, cancellation, forfeiture or recoupment upon the occurrence of certain specified events, in addition to any otherwise applicable vesting or performance conditions of an Award. Such events may include, without limitation, termination of Service for Cause, violation of laws, regulations or material Company policies, breach of noncompetition, non-solicitation, confidentiality or other restrictive covenants that may apply to the Participant, application of a Company clawback policy relating to financial restatement, or other conduct by the Participant that is detrimental to the business or reputation of the Company.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68" w:right="479" w:bottom="1440" w:gutter="0" w:footer="0" w:header="0"/>
        </w:sectPr>
      </w:pPr>
    </w:p>
    <w:bookmarkStart w:id="22" w:name="page23"/>
    <w:bookmarkEnd w:id="22"/>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12.2 </w:t>
      </w:r>
      <w:r>
        <w:rPr>
          <w:rFonts w:ascii="Times New Roman" w:cs="Times New Roman" w:eastAsia="Times New Roman" w:hAnsi="Times New Roman"/>
          <w:sz w:val="18"/>
          <w:szCs w:val="18"/>
          <w:i w:val="1"/>
          <w:iCs w:val="1"/>
          <w:color w:val="auto"/>
        </w:rPr>
        <w:t>Termination for Cause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87"/>
        <w:spacing w:after="0" w:line="253" w:lineRule="auto"/>
        <w:tabs>
          <w:tab w:leader="none" w:pos="12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 of Awards</w:t>
      </w:r>
      <w:r>
        <w:rPr>
          <w:rFonts w:ascii="Times New Roman" w:cs="Times New Roman" w:eastAsia="Times New Roman" w:hAnsi="Times New Roman"/>
          <w:sz w:val="18"/>
          <w:szCs w:val="18"/>
          <w:color w:val="auto"/>
        </w:rPr>
        <w:t>. Unless otherwise provided by the Committee and set forth in an Award Agreement, if (i) a Participant’s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Company or any Subsidiary shall be terminated for Cause or (ii) after termination of Service for any other reason, the Committee determines in its discretion either that, (1) during the Participant’s period of Service, the Participant engaged in an act or omission which would have warranted termination of Service for Cause or (2) after termination, the Participant engages in conduct that violates any continuing obligation or duty of the Participant in respect of the Company or any Subsidiary, such Participant’s rights, payments and benefits with respect to an Award shall be subject to cancellation, forfeiture and/or recoupment, as provided in Section 12.3 below. The Company shall have the power to determine whether the Participant has been terminated for Cause, the date upon which such termination for Cause occurs, whether the Participant engaged in an act or omission which would have warranted termination of Service for Cause or engaged in conduct that violated any continuing obligation or duty of the Participant in respect of the Company or any Subsidiary. Any such determination shall be final, conclusive and binding upon all Persons. In addition, if the Company shall reasonably determine that a Participant has committed or may have committed any act which could constitute the basis for a termination of such Participant’s Service for Cause or violates any continuing obligation or duty of the Participant in respect of the Company or any Subsidiary, the Company may suspend the Participant’s rights to exercise any Stock Option or Stock Appreciation Right, receive any payment or vest in any right with respect to any Award pending a determination by the Company of whether an act or omission could constitute the basis for a termination for Cause as provided in this Section 12.2.</w:t>
      </w:r>
    </w:p>
    <w:p>
      <w:pPr>
        <w:spacing w:after="0" w:line="185" w:lineRule="exact"/>
        <w:rPr>
          <w:rFonts w:ascii="Times New Roman" w:cs="Times New Roman" w:eastAsia="Times New Roman" w:hAnsi="Times New Roman"/>
          <w:sz w:val="18"/>
          <w:szCs w:val="18"/>
          <w:color w:val="auto"/>
        </w:rPr>
      </w:pPr>
    </w:p>
    <w:p>
      <w:pPr>
        <w:ind w:left="4" w:right="40" w:firstLine="987"/>
        <w:spacing w:after="0" w:line="253" w:lineRule="auto"/>
        <w:tabs>
          <w:tab w:leader="none" w:pos="125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Definition of Cause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Cause</w:t>
      </w:r>
      <w:r>
        <w:rPr>
          <w:rFonts w:ascii="Times New Roman" w:cs="Times New Roman" w:eastAsia="Times New Roman" w:hAnsi="Times New Roman"/>
          <w:sz w:val="18"/>
          <w:szCs w:val="18"/>
          <w:color w:val="auto"/>
        </w:rPr>
        <w:t>” means with respect to a Participant’s termination of Service, the following: (a) in the case where there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employment agreement, consulting agreement, change in control agreement or similar agreement in effect between the Company or an Affiliate and the Participant (or where there is such an agreement but it does not define “cause” (or words of like import, which shall include but not be limited to “gross misconduct”)), termination due to a Participant’s (1) failure to substantially perform Participant’s duties or obey lawful directives that continues after receipt of written notice from the Company and a 10-day opportunity to cure; (2) gross misconduct or gross negligence in the performance of Participant’s duties; (3) fraud, embezzlement, theft, or any other act of material dishonesty or misconduct; (4) conviction of, indictment for, or plea of guilty or nolo contendere to, a felony or any crime involving moral turpitude; (5) material breach or violation of any agreement with the Company or its Affiliates, any restrictive covenant applicable to Participant, or any Company policy (including, without limitation, with respect to harassment); or</w:t>
      </w:r>
    </w:p>
    <w:p>
      <w:pPr>
        <w:spacing w:after="0" w:line="2" w:lineRule="exact"/>
        <w:rPr>
          <w:rFonts w:ascii="Times New Roman" w:cs="Times New Roman" w:eastAsia="Times New Roman" w:hAnsi="Times New Roman"/>
          <w:sz w:val="18"/>
          <w:szCs w:val="18"/>
          <w:color w:val="auto"/>
        </w:rPr>
      </w:pPr>
    </w:p>
    <w:p>
      <w:pPr>
        <w:ind w:left="4" w:hanging="4"/>
        <w:spacing w:after="0" w:line="252" w:lineRule="auto"/>
        <w:tabs>
          <w:tab w:leader="none" w:pos="25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conduct, acts or omissions that, in the good faith judgment of the Company, are likely to materially injure the reputation, business or a business relationship of the Company or any of its Affiliates; or (b) in the case where there is an employment agreement, consulting agreement, change in control agreement or similar agreement in effect between the Company or an Affiliate and the Participant that defines “cause” (or words of like import, which shall include but not be limited to “gross misconduct”), “cause” as defined under such agreement. With respect to a termination of Service for a Non-Employee Director, Cause means an act or failure to act that constitutes cause for removal of a director under applicable law. Any voluntary termination of Service by the Participant in anticipation of an involuntary termination of the Participant’s Service for Cause shall be deemed to be a termination for Cause.</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4"/>
          </w:cols>
          <w:pgMar w:left="436" w:top="268" w:right="479" w:bottom="1440" w:gutter="0" w:footer="0" w:header="0"/>
        </w:sectPr>
      </w:pPr>
    </w:p>
    <w:bookmarkStart w:id="23" w:name="page24"/>
    <w:bookmarkEnd w:id="2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12.3 </w:t>
      </w:r>
      <w:r>
        <w:rPr>
          <w:rFonts w:ascii="Times New Roman" w:cs="Times New Roman" w:eastAsia="Times New Roman" w:hAnsi="Times New Roman"/>
          <w:sz w:val="18"/>
          <w:szCs w:val="18"/>
          <w:i w:val="1"/>
          <w:iCs w:val="1"/>
          <w:color w:val="auto"/>
        </w:rPr>
        <w:t>Right of Recapture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2" w:lineRule="auto"/>
        <w:tabs>
          <w:tab w:leader="none" w:pos="12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If at any time within one year (or such longer time specified in an Award Agreement or other agreement with a Participant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policy applicable to the Participant) after the date on which a Participant exercises a Stock Option or Stock Appreciation Right or on which a Stock-Based Award, Restricted Stock Award or Restricted Stock Unit vests, is settled in shares or otherwise becomes payable, or on which income otherwise is realized or property is received by a Participant in connection with an Award, (i) a Participant’s Service is terminated for Cause, (ii) the Committee determines in its discretion that the Participant is subject to any recoupment of benefits pursuant to the Company’s compensation recovery, “clawback” or similar policy, as may be in effect from time to time, or (iii) after a Participant’s Service terminates for any other reason, the Committee determines in its discretion either that, (1) during the Participant’s period of Service, the Participant engaged in an act or omission which would have warranted termination of the Participant’s Service for Cause or (2) after a Participant’s termination of Service, the Participant engaged in conduct that violated any continuing obligation or duty of the Participant in respect of the Company or any Subsidiary, then, at the sole discretion of the Committee, any gain realized by the Participant from the exercise, vesting, payment, settlement or other realization of income or receipt of property by the Participant in connection with an Award, shall be repaid by the Participant to the Company upon notice from the Company, subject to applicable law. Such gain shall be determined as of the date or dates on which the gain is realized by the Participant, without regard to any subsequent change in the Fair Market Value of a share of Common Stock. To the extent not otherwise prohibited by law, the Company shall have the right to offset the amount of such repayment obligation against any amounts otherwise owed to the Participant by the Company (whether as wages, vacation pay or pursuant to any benefit plan or other compensatory arrangement).</w:t>
      </w:r>
    </w:p>
    <w:p>
      <w:pPr>
        <w:spacing w:after="0" w:line="195"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Accounting Restatement</w:t>
      </w:r>
      <w:r>
        <w:rPr>
          <w:rFonts w:ascii="Times New Roman" w:cs="Times New Roman" w:eastAsia="Times New Roman" w:hAnsi="Times New Roman"/>
          <w:sz w:val="18"/>
          <w:szCs w:val="18"/>
          <w:color w:val="auto"/>
        </w:rPr>
        <w:t>. If a Participant receives compensation pursuant to an Award under the Plan based on financial statements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subsequently restated in a way that would decrease the value of such compensation, the Participant will, to the extent not otherwise prohibited by law, upon the written request of the Company, forfeit and repay to the Company the difference between what the Participant received and what the Participant should have received based on the accounting restatement, in accordance with (i) any compensation recovery, “clawback” or similar policy, as may be in effect from time to time to which such Participant is subject and (ii) any compensation recovery, “clawback” or similar policy made applicable by law including the provisions of Section 954 of the Dodd-Frank Wall Street Reform and Consumer Protection Act and the rules, regulations and requirements adopted thereunder by the Securities and Exchange Commission and/or any national securities exchange on which the Company’s equity securities may be listed (the “</w:t>
      </w:r>
      <w:r>
        <w:rPr>
          <w:rFonts w:ascii="Times New Roman" w:cs="Times New Roman" w:eastAsia="Times New Roman" w:hAnsi="Times New Roman"/>
          <w:sz w:val="18"/>
          <w:szCs w:val="18"/>
          <w:i w:val="1"/>
          <w:iCs w:val="1"/>
          <w:color w:val="auto"/>
        </w:rPr>
        <w:t>Policy</w:t>
      </w:r>
      <w:r>
        <w:rPr>
          <w:rFonts w:ascii="Times New Roman" w:cs="Times New Roman" w:eastAsia="Times New Roman" w:hAnsi="Times New Roman"/>
          <w:sz w:val="18"/>
          <w:szCs w:val="18"/>
          <w:color w:val="auto"/>
        </w:rPr>
        <w:t>”). By accepting an Award hereunder, the Participant acknowledges and agrees that the Policy, whenever adopted, shall apply to such Award, and all incentive-based compensation payable pursuant to such Award shall be subject to forfeiture and repayment pursuant to the terms of the Policy.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68" w:right="459" w:bottom="1440" w:gutter="0" w:footer="0" w:header="0"/>
        </w:sectPr>
      </w:pPr>
    </w:p>
    <w:bookmarkStart w:id="24" w:name="page25"/>
    <w:bookmarkEnd w:id="24"/>
    <w:p>
      <w:pPr>
        <w:ind w:firstLine="436"/>
        <w:spacing w:after="0" w:line="258" w:lineRule="auto"/>
        <w:tabs>
          <w:tab w:leader="none" w:pos="71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 Leave of Absence, Etc</w:t>
      </w:r>
      <w:r>
        <w:rPr>
          <w:rFonts w:ascii="Times New Roman" w:cs="Times New Roman" w:eastAsia="Times New Roman" w:hAnsi="Times New Roman"/>
          <w:sz w:val="18"/>
          <w:szCs w:val="18"/>
          <w:color w:val="auto"/>
        </w:rPr>
        <w:t>. For purposes of the Plan, except as otherwise determined by the Committee, the following events shall not be deemed a termination of Service: (a) a transfer to the service of the Company from a Subsidiary or from the Company to a Subsidiary, or from one Subsidiary to another; or (b) an approved leave of absence for military service or sickness, a leave of absence where the Participant’s right to re-employment is protected either by a statute or by contract or under the policy pursuant to which the leave of absence was granted, a leave of absence for any other purpose approved by the Company or if the Committee otherwise so provides in writing.</w:t>
      </w:r>
    </w:p>
    <w:p>
      <w:pPr>
        <w:spacing w:after="0" w:line="1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440"/>
        <w:spacing w:after="0" w:line="284"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i w:val="1"/>
          <w:iCs w:val="1"/>
          <w:color w:val="auto"/>
        </w:rPr>
        <w:t>Status of Plan</w:t>
      </w:r>
      <w:r>
        <w:rPr>
          <w:rFonts w:ascii="Times New Roman" w:cs="Times New Roman" w:eastAsia="Times New Roman" w:hAnsi="Times New Roman"/>
          <w:sz w:val="18"/>
          <w:szCs w:val="18"/>
          <w:color w:val="auto"/>
        </w:rPr>
        <w:t>. The Committee may authorize the creation of trusts or other arrangements to meet the Company’s obligations to deliver shares of Common Stock or make payments with respect to Awards.</w:t>
      </w:r>
    </w:p>
    <w:p>
      <w:pPr>
        <w:spacing w:after="0" w:line="158"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i w:val="1"/>
          <w:iCs w:val="1"/>
          <w:color w:val="auto"/>
        </w:rPr>
        <w:t>Award Agreement</w:t>
      </w:r>
      <w:r>
        <w:rPr>
          <w:rFonts w:ascii="Times New Roman" w:cs="Times New Roman" w:eastAsia="Times New Roman" w:hAnsi="Times New Roman"/>
          <w:sz w:val="18"/>
          <w:szCs w:val="18"/>
          <w:color w:val="auto"/>
        </w:rPr>
        <w:t>. An Award under the Plan shall be evidenced by an Award Agreement in a written or electronic form approved by the Committee setting forth the number of shares of Common Stock or other amounts or securities subject to the Award, the exercise price, base price or purchase price of the Award, the time or times at which an Award will become vested, exercisable or payable and the term of the Award. The Award Agreement also may set forth the effect on an Award of a Change in Control and/or a termination of Service under certain circumstances. The Award Agreement shall be subject to and incorporate, by reference or otherwise, all of the applicable terms and conditions of the Plan, and also may set forth other terms and conditions applicable to the Award as determined by the Committee consistent with the limitations of the Plan. The grant of an Award under the Plan shall not confer any rights upon the Participant holding such Award other than such terms, and subject to such conditions, as are specified in the Plan as being applicable to such type of Award (or to all Awards) or as are expressly set forth in the Award Agreement. The Committee need not require the execution of an Award Agreement by a Participant, in which case, acceptance of the Award by the Participant shall constitute agreement by the Participant to the terms, conditions, restrictions and limitations set forth in the Plan and the Award Agreement as well as the administrative guidelines of the Company in effect from time to time. In the event of any conflict between the provisions of the Plan and any Award Agreement, the provisions of the Plan shall prevail.</w:t>
      </w:r>
    </w:p>
    <w:p>
      <w:pPr>
        <w:spacing w:after="0" w:line="190" w:lineRule="exact"/>
        <w:rPr>
          <w:sz w:val="20"/>
          <w:szCs w:val="20"/>
          <w:color w:val="auto"/>
        </w:rPr>
      </w:pPr>
    </w:p>
    <w:p>
      <w:pPr>
        <w:jc w:val="both"/>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14.3 </w:t>
      </w:r>
      <w:r>
        <w:rPr>
          <w:rFonts w:ascii="Times New Roman" w:cs="Times New Roman" w:eastAsia="Times New Roman" w:hAnsi="Times New Roman"/>
          <w:sz w:val="18"/>
          <w:szCs w:val="18"/>
          <w:i w:val="1"/>
          <w:iCs w:val="1"/>
          <w:color w:val="auto"/>
        </w:rPr>
        <w:t>No Assignment or Transfer; Beneficiaries</w:t>
      </w:r>
      <w:r>
        <w:rPr>
          <w:rFonts w:ascii="Times New Roman" w:cs="Times New Roman" w:eastAsia="Times New Roman" w:hAnsi="Times New Roman"/>
          <w:sz w:val="18"/>
          <w:szCs w:val="18"/>
          <w:color w:val="auto"/>
        </w:rPr>
        <w:t>. Except as provided in Section 6.6 hereof or as otherwise provided by the Committee to the extent not prohibited under Section A.1.(5) of the general instructions of Form S-8, as may be amended from time to time, Awards under the Plan shall not be assignable or transferable by the Participant, and shall not be subject in any manner to assignment, alienation, pledge, encumbrance or charge.</w:t>
      </w:r>
    </w:p>
    <w:p>
      <w:pPr>
        <w:spacing w:after="0" w:line="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Notwithstanding the foregoing, in the event of the death of a Participant, except as otherwise provided by the Committee, an outstanding Award may be exercised by or shall become payable to the Participant’s beneficiary as determined under the Company 401(k) retirement plan or other applicable retirement or pension plan. In lieu of such determination, a Participant may, from time to time, name any beneficiary or beneficiaries to receive any benefit in case of the Participant’s death before the Participant receives any or all of such benefit. Each such designation shall revoke all prior designations by the same Participant and will be effective only when filed by the Participant in writing (in such form or manner as may be prescribed by the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5" w:name="page26"/>
    <w:bookmarkEnd w:id="25"/>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Committee) with the Company during the Participant’s lifetime. In the absence of a valid designation as provided above, if no validly designated beneficiary survives the Participant or if each surviving validly designated beneficiary is legally impaired or prohibited from receiving the benefits under an Award, the Participant’s beneficiary shall be the legatee or legatees of such Award designated under the Participant’s last will or by such Participant’s executors, personal representatives or distributees of such Award in accordance with the Participant’s will or the laws of descent and distribution. The Committee may provide in the terms of an Award Agreement or in any other manner prescribed by the Committee that the Participant shall have the right to designate a beneficiary or beneficiaries who shall be entitled to any rights, payments or other benefits specified under an Award following the Participant’s death. Any transfer permitted under this Section 14.3 shall be for no consideration.</w:t>
      </w:r>
    </w:p>
    <w:p>
      <w:pPr>
        <w:spacing w:after="0" w:line="187"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14.4 </w:t>
      </w:r>
      <w:r>
        <w:rPr>
          <w:rFonts w:ascii="Times New Roman" w:cs="Times New Roman" w:eastAsia="Times New Roman" w:hAnsi="Times New Roman"/>
          <w:sz w:val="18"/>
          <w:szCs w:val="18"/>
          <w:i w:val="1"/>
          <w:iCs w:val="1"/>
          <w:color w:val="auto"/>
        </w:rPr>
        <w:t>No Right to Employment or Continued Service</w:t>
      </w:r>
      <w:r>
        <w:rPr>
          <w:rFonts w:ascii="Times New Roman" w:cs="Times New Roman" w:eastAsia="Times New Roman" w:hAnsi="Times New Roman"/>
          <w:sz w:val="18"/>
          <w:szCs w:val="18"/>
          <w:color w:val="auto"/>
        </w:rPr>
        <w:t>. Nothing in the Plan, in the grant of any Award or in any Award Agreement shall confer upon any Eligible Employee or any Participant any right to continue in the Service of the Company or any of its Subsidiaries or interfere in any way with the right of the Company or any of its Subsidiaries to terminate the employment or other service relationship of an Eligible Employee or a Participant for any reason or no reason at any time.</w:t>
      </w:r>
    </w:p>
    <w:p>
      <w:pPr>
        <w:spacing w:after="0" w:line="180"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14.5 </w:t>
      </w:r>
      <w:r>
        <w:rPr>
          <w:rFonts w:ascii="Times New Roman" w:cs="Times New Roman" w:eastAsia="Times New Roman" w:hAnsi="Times New Roman"/>
          <w:sz w:val="18"/>
          <w:szCs w:val="18"/>
          <w:i w:val="1"/>
          <w:iCs w:val="1"/>
          <w:color w:val="auto"/>
        </w:rPr>
        <w:t>Rights as Stockholder</w:t>
      </w:r>
      <w:r>
        <w:rPr>
          <w:rFonts w:ascii="Times New Roman" w:cs="Times New Roman" w:eastAsia="Times New Roman" w:hAnsi="Times New Roman"/>
          <w:sz w:val="18"/>
          <w:szCs w:val="18"/>
          <w:color w:val="auto"/>
        </w:rPr>
        <w:t>. A Participant shall have no rights as a holder of shares of Common Stock with respect to any unissued securities covered by an Award until the date the Participant becomes the holder of record of such securities. Except as provided in Section 4.3 hereof, no adjustment or other provision shall be made for dividends or other stockholder rights, except to the extent that the Award Agreement provides for dividend payments or dividend equivalent rights. The Committee may determine in its discretion the manner of delivery of Common Stock to be issued under the Plan, which may be by delivery of stock certificates, electronic account entry into new or existing accounts or any other means as the Committee, in its discretion, deems appropriate. The Committee may require that the stock certificates (if any) be held in escrow by the Company for any shares of Common Stock or cause the shares to be legended in order to comply with the securities laws or other applicable restrictions. Should the shares of Common Stock be represented by book or electronic account entry rather than a certificate, the Committee may take such steps to restrict transfer of the shares of Common Stock as the Committee considers necessary or advisable.</w:t>
      </w:r>
    </w:p>
    <w:p>
      <w:pPr>
        <w:spacing w:after="0" w:line="188" w:lineRule="exact"/>
        <w:rPr>
          <w:sz w:val="20"/>
          <w:szCs w:val="20"/>
          <w:color w:val="auto"/>
        </w:rPr>
      </w:pPr>
    </w:p>
    <w:p>
      <w:pPr>
        <w:ind w:right="200" w:firstLine="440"/>
        <w:spacing w:after="0" w:line="284" w:lineRule="auto"/>
        <w:rPr>
          <w:sz w:val="20"/>
          <w:szCs w:val="20"/>
          <w:color w:val="auto"/>
        </w:rPr>
      </w:pPr>
      <w:r>
        <w:rPr>
          <w:rFonts w:ascii="Times New Roman" w:cs="Times New Roman" w:eastAsia="Times New Roman" w:hAnsi="Times New Roman"/>
          <w:sz w:val="18"/>
          <w:szCs w:val="18"/>
          <w:color w:val="auto"/>
        </w:rPr>
        <w:t xml:space="preserve">14.6 </w:t>
      </w:r>
      <w:r>
        <w:rPr>
          <w:rFonts w:ascii="Times New Roman" w:cs="Times New Roman" w:eastAsia="Times New Roman" w:hAnsi="Times New Roman"/>
          <w:sz w:val="18"/>
          <w:szCs w:val="18"/>
          <w:i w:val="1"/>
          <w:iCs w:val="1"/>
          <w:color w:val="auto"/>
        </w:rPr>
        <w:t>Trading Policy and Other Restrictions</w:t>
      </w:r>
      <w:r>
        <w:rPr>
          <w:rFonts w:ascii="Times New Roman" w:cs="Times New Roman" w:eastAsia="Times New Roman" w:hAnsi="Times New Roman"/>
          <w:sz w:val="18"/>
          <w:szCs w:val="18"/>
          <w:color w:val="auto"/>
        </w:rPr>
        <w:t>. Transactions involving Awards under the Plan shall be subject to the Company’s insider trading and other restrictions, terms, conditions and policies, established by the Committee from time to time or by applicable law.</w:t>
      </w:r>
    </w:p>
    <w:p>
      <w:pPr>
        <w:spacing w:after="0" w:line="158"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 xml:space="preserve">14.7 </w:t>
      </w:r>
      <w:r>
        <w:rPr>
          <w:rFonts w:ascii="Times New Roman" w:cs="Times New Roman" w:eastAsia="Times New Roman" w:hAnsi="Times New Roman"/>
          <w:sz w:val="18"/>
          <w:szCs w:val="18"/>
          <w:i w:val="1"/>
          <w:iCs w:val="1"/>
          <w:color w:val="auto"/>
        </w:rPr>
        <w:t>Section 409A Compliance</w:t>
      </w:r>
      <w:r>
        <w:rPr>
          <w:rFonts w:ascii="Times New Roman" w:cs="Times New Roman" w:eastAsia="Times New Roman" w:hAnsi="Times New Roman"/>
          <w:sz w:val="18"/>
          <w:szCs w:val="18"/>
          <w:color w:val="auto"/>
        </w:rPr>
        <w:t>. To the extent applicable, it is intended that the Plan and all Awards hereunder comply with, or be exempt from, the requirements of Section 409A of the Code and the Treasury Regulations and other guidance issued thereunder, and that the Plan and all Award Agreements shall be interpreted and applied by the Committee in a manner consistent with this intent in order to avoid the imposition of any additional tax under Section 409A of the Code. In the event that any (i) provision of the Plan or an Award Agreement, (ii) Award, payment, transaction or (iii) other action or arrangement contemplated by the provisions of the Plan is determined by the Committee to not comply with the applicable requirements of Section 409A of the Code and the Treasury Regulations and other guidance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70" w:right="439" w:bottom="1440" w:gutter="0" w:footer="0" w:header="0"/>
        </w:sectPr>
      </w:pPr>
    </w:p>
    <w:bookmarkStart w:id="26" w:name="page27"/>
    <w:bookmarkEnd w:id="26"/>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issued thereunder, the Committee shall have the authority to take such actions and to make such changes to the Plan or an Award Agreement as the Committee deems necessary to comply with such requirements. No payment that constitutes deferred compensation under Section 409A of the Code that would otherwise be made under the Plan or an Award Agreement upon a termination of Service will be made or provided unless and until such termination is also a “separation from service,” as determined in accordance with Section 409A of the Code. Notwithstanding the foregoing or anything elsewhere in the Plan or an Award Agreement to the contrary, if a Participant is a “specified employee” as defined in Section 409A of the Code at the time of termination of Service with respect to an Award, then solely to the extent necessary to avoid the imposition of any additional tax under Section 409A of the Code, the commencement of any payments or benefits under the Award shall be deferred until the date that is six (6) months plus one (1) day following the date of the Participant’s termination of Service or, if earlier, the Participant’s death (or such other period as required to comply with Section 409A). For purposes of Section 409A of the Code, a Participant’s right to receive any installment payments pursuant to this Plan or any Award granted hereunder shall be treated as a right to receive a series of separate and distinct payments. For the avoidance of doubt, each applicable tranche of Common Shares subject to vesting under any Award shall be considered a right to receive a series of separate and distinct payments. In no event whatsoever shall the Company be liable for any additional tax, interest or penalties that may be imposed on a Participant by Section 409A of the Code or any damages for failing to comply with Section 409A of the Code.</w:t>
      </w:r>
    </w:p>
    <w:p>
      <w:pPr>
        <w:spacing w:after="0" w:line="18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14.8 </w:t>
      </w:r>
      <w:r>
        <w:rPr>
          <w:rFonts w:ascii="Times New Roman" w:cs="Times New Roman" w:eastAsia="Times New Roman" w:hAnsi="Times New Roman"/>
          <w:sz w:val="18"/>
          <w:szCs w:val="18"/>
          <w:i w:val="1"/>
          <w:iCs w:val="1"/>
          <w:color w:val="auto"/>
        </w:rPr>
        <w:t>Section 457A Compliance.</w:t>
      </w:r>
      <w:r>
        <w:rPr>
          <w:rFonts w:ascii="Times New Roman" w:cs="Times New Roman" w:eastAsia="Times New Roman" w:hAnsi="Times New Roman"/>
          <w:sz w:val="18"/>
          <w:szCs w:val="18"/>
          <w:color w:val="auto"/>
        </w:rPr>
        <w:t xml:space="preserve"> In the event any Award is subject to Section 457A of the Code (“</w:t>
      </w:r>
      <w:r>
        <w:rPr>
          <w:rFonts w:ascii="Times New Roman" w:cs="Times New Roman" w:eastAsia="Times New Roman" w:hAnsi="Times New Roman"/>
          <w:sz w:val="18"/>
          <w:szCs w:val="18"/>
          <w:i w:val="1"/>
          <w:iCs w:val="1"/>
          <w:color w:val="auto"/>
        </w:rPr>
        <w:t>Section 457A</w:t>
      </w:r>
      <w:r>
        <w:rPr>
          <w:rFonts w:ascii="Times New Roman" w:cs="Times New Roman" w:eastAsia="Times New Roman" w:hAnsi="Times New Roman"/>
          <w:sz w:val="18"/>
          <w:szCs w:val="18"/>
          <w:color w:val="auto"/>
        </w:rPr>
        <w:t>”), the Committee may, in its sole discretion and without a Participant’s prior consent, amend the Plan and/or Awards, adopt policies and procedures, or take any other actions (including amendments, policies, procedures and actions with retroactive effect) as are necessary or appropriate to (i) exempt the Plan and/or any Award from the application of Section 457A, (ii) preserve the intended tax treatment of any such Award, or (iii) comply with the requirements of Section 457A, including without limitation any such regulations, guidance, compliance programs and other interpretative authority that may be issued after the date of the grant. To the extent that an Award constitutes deferred compensation subject to Section 457A, such Award will be subject to taxation in accordance with Section 457A. In no event whatsoever shall the Company be liable for any additional tax, interest or penalties that may be imposed on a Participant by Section 457A of the Code or any damages for failing to comply with Section 457A of the Code.</w:t>
      </w:r>
    </w:p>
    <w:p>
      <w:pPr>
        <w:spacing w:after="0" w:line="18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14.9 </w:t>
      </w:r>
      <w:r>
        <w:rPr>
          <w:rFonts w:ascii="Times New Roman" w:cs="Times New Roman" w:eastAsia="Times New Roman" w:hAnsi="Times New Roman"/>
          <w:sz w:val="18"/>
          <w:szCs w:val="18"/>
          <w:i w:val="1"/>
          <w:iCs w:val="1"/>
          <w:color w:val="auto"/>
        </w:rPr>
        <w:t>Securities Law Compliance</w:t>
      </w:r>
      <w:r>
        <w:rPr>
          <w:rFonts w:ascii="Times New Roman" w:cs="Times New Roman" w:eastAsia="Times New Roman" w:hAnsi="Times New Roman"/>
          <w:sz w:val="18"/>
          <w:szCs w:val="18"/>
          <w:color w:val="auto"/>
        </w:rPr>
        <w:t>. No shares of Common Stock will be issued or transferred pursuant to an Award unless and until all then applicable requirements imposed by Federal and state securities and other laws, rules and regulations and by any regulatory agencies having jurisdiction, and by any exchanges upon which the shares of Common Stock may be listed, have been fully met. As a condition precedent to the issuance of shares of Common Stock pursuant to the grant or exercise of an Award, the Company may require the Participant to take any action that the Company determines is necessary or advisable to meet such requirements. The Committee may impose such conditions on any shares of Common Stock issuable under the Plan as it may deem advisable, including, without limitation, restrictions under the Securities Act, under the requirements of any exchange upon which such shares of the same class are then listed, and under any blue sky or other securities laws applicable to such shares. The Committee may also require the Participant to represent and warrant at the time of issuance or transfer that the shares of Common Stock are being acquired solely for investment purposes and without any current intention to sell or distribute such shares.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27" w:name="page28"/>
    <w:bookmarkEnd w:id="27"/>
    <w:p>
      <w:pPr>
        <w:ind w:right="14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14.10 </w:t>
      </w:r>
      <w:r>
        <w:rPr>
          <w:rFonts w:ascii="Times New Roman" w:cs="Times New Roman" w:eastAsia="Times New Roman" w:hAnsi="Times New Roman"/>
          <w:sz w:val="18"/>
          <w:szCs w:val="18"/>
          <w:i w:val="1"/>
          <w:iCs w:val="1"/>
          <w:color w:val="auto"/>
        </w:rPr>
        <w:t>Substitution or Assumption of Awards in Corporate Transactions</w:t>
      </w:r>
      <w:r>
        <w:rPr>
          <w:rFonts w:ascii="Times New Roman" w:cs="Times New Roman" w:eastAsia="Times New Roman" w:hAnsi="Times New Roman"/>
          <w:sz w:val="18"/>
          <w:szCs w:val="18"/>
          <w:color w:val="auto"/>
        </w:rPr>
        <w:t>. The Committee may grant Awards under the Plan in connection with the acquisition, whether by purchase, merger, consolidation or other corporate transaction, of the business or assets of any corporation or other entity, in substitution for awards previously granted by such corporation or other entity or otherwise. The Committee may also assume any previously granted awards of a former employee or a current employee, director, consultant or other service provider of another corporation or entity that becomes an Eligible Employee by reason of such corporation transaction. The terms and conditions of the substituted or assumed awards may vary from the terms and conditions that would otherwise be required by the Plan solely to the extent the Committee deems necessary for such purpose. To the extent permitted by applicable law and the listing requirements of the Nasdaq or other exchange or securities market on which the Common Shares are listed, any such substituted or assumed awards shall not reduce the Share Reserve.</w:t>
      </w:r>
    </w:p>
    <w:p>
      <w:pPr>
        <w:spacing w:after="0" w:line="18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14.11 </w:t>
      </w:r>
      <w:r>
        <w:rPr>
          <w:rFonts w:ascii="Times New Roman" w:cs="Times New Roman" w:eastAsia="Times New Roman" w:hAnsi="Times New Roman"/>
          <w:sz w:val="18"/>
          <w:szCs w:val="18"/>
          <w:i w:val="1"/>
          <w:iCs w:val="1"/>
          <w:color w:val="auto"/>
        </w:rPr>
        <w:t>Tax Withholding</w:t>
      </w:r>
      <w:r>
        <w:rPr>
          <w:rFonts w:ascii="Times New Roman" w:cs="Times New Roman" w:eastAsia="Times New Roman" w:hAnsi="Times New Roman"/>
          <w:sz w:val="18"/>
          <w:szCs w:val="18"/>
          <w:color w:val="auto"/>
        </w:rPr>
        <w:t>. The Participant shall be responsible for payment of any taxes or similar charges required by law to be paid or withheld from an Award or an amount paid in satisfaction of an Award. Any required withholdings shall be paid by the Participant on or prior to the payment or other event that results in taxable income in respect of an Award. The Award Agreement may specify the manner in which the withholding obligation shall be satisfied with respect to the particular type of Award, which may include permitting the Participant to elect to satisfy the withholding obligation by tendering shares of Common Stock to the Company or having the Company withhold a number of shares of Common Stock having a value in each case up to the maximum statutory tax rates in the applicable jurisdiction or as the Committee may approve in its discretion (provided that such withholding does not result in adverse tax or accounting consequences to the Company), or similar charge required to be paid or withheld. In addition, to the extent permitted by the Committee in its sole discretion in an Award Agreement or otherwise, and subject to Section 16 of the Securities Act, withholding may be satisfied through an open-market, broker-assisted sales transaction pursuant to which the Company is promptly delivered the amount of proceeds necessary to satisfy the withholding amount, which shall be subject to any terms and conditions imposed by the Committee. The Company shall have the power and the right to require a Participant to remit to the Company the amount necessary to satisfy federal, state, provincial and local taxes, domestic or foreign, required by law or regulation to be withheld, and to deduct or withhold from any shares of Common Stock deliverable under an Award to satisfy such withholding obligation.</w:t>
      </w:r>
    </w:p>
    <w:p>
      <w:pPr>
        <w:spacing w:after="0" w:line="187"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color w:val="auto"/>
        </w:rPr>
        <w:t xml:space="preserve">14.12 </w:t>
      </w:r>
      <w:r>
        <w:rPr>
          <w:rFonts w:ascii="Times New Roman" w:cs="Times New Roman" w:eastAsia="Times New Roman" w:hAnsi="Times New Roman"/>
          <w:sz w:val="18"/>
          <w:szCs w:val="18"/>
          <w:i w:val="1"/>
          <w:iCs w:val="1"/>
          <w:color w:val="auto"/>
        </w:rPr>
        <w:t>Unfunded Plan</w:t>
      </w:r>
      <w:r>
        <w:rPr>
          <w:rFonts w:ascii="Times New Roman" w:cs="Times New Roman" w:eastAsia="Times New Roman" w:hAnsi="Times New Roman"/>
          <w:sz w:val="18"/>
          <w:szCs w:val="18"/>
          <w:color w:val="auto"/>
        </w:rPr>
        <w:t>. The adoption of the Plan and any reservation of shares of Common Stock or cash amounts by the Company to discharge its obligations hereunder shall not be deemed to create a trust or other funded arrangement. Except upon the issuance of shares of Common Stock pursuant to an Award, any rights of a Participant under the Plan shall be those of a general unsecured creditor of the Company, and neither a Participant nor the Participant’s permitted transferees or estate shall have any other interest in any assets of the Company by virtue of the Plan. Notwithstanding the foregoing, the Company shall have the right to implement or set aside funds in a grantor trust, subject to the claims of the Company’s creditors or otherwise, to discharge its obligations under the Plan.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68" w:right="459" w:bottom="1440" w:gutter="0" w:footer="0" w:header="0"/>
        </w:sectPr>
      </w:pPr>
    </w:p>
    <w:bookmarkStart w:id="28" w:name="page29"/>
    <w:bookmarkEnd w:id="28"/>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14.13 </w:t>
      </w:r>
      <w:r>
        <w:rPr>
          <w:rFonts w:ascii="Times New Roman" w:cs="Times New Roman" w:eastAsia="Times New Roman" w:hAnsi="Times New Roman"/>
          <w:sz w:val="18"/>
          <w:szCs w:val="18"/>
          <w:i w:val="1"/>
          <w:iCs w:val="1"/>
          <w:color w:val="auto"/>
        </w:rPr>
        <w:t>Other Compensation and Benefit Plans</w:t>
      </w:r>
      <w:r>
        <w:rPr>
          <w:rFonts w:ascii="Times New Roman" w:cs="Times New Roman" w:eastAsia="Times New Roman" w:hAnsi="Times New Roman"/>
          <w:sz w:val="18"/>
          <w:szCs w:val="18"/>
          <w:color w:val="auto"/>
        </w:rPr>
        <w:t>. The adoption of the Plan shall not affect any other share incentive or other compensation plans in effect for the Company or any Subsidiary, nor shall the Plan preclude the Company from establishing any other forms of share incentive or other compensation or benefit program for employees of the Company or any Subsidiary. The amount of any compensation deemed to be received by a Participant pursuant to an Award shall not constitute includable compensation for purposes of determining the amount of benefits to which a Participant is entitled under any other compensation or benefit plan or program of the Company or a Subsidiary, including, without limitation, under any pension or severance benefits plan, except to the extent specifically provided by the terms of any such plan.</w:t>
      </w:r>
    </w:p>
    <w:p>
      <w:pPr>
        <w:spacing w:after="0" w:line="182" w:lineRule="exact"/>
        <w:rPr>
          <w:sz w:val="20"/>
          <w:szCs w:val="20"/>
          <w:color w:val="auto"/>
        </w:rPr>
      </w:pPr>
    </w:p>
    <w:p>
      <w:pPr>
        <w:jc w:val="both"/>
        <w:ind w:right="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14.14 </w:t>
      </w:r>
      <w:r>
        <w:rPr>
          <w:rFonts w:ascii="Times New Roman" w:cs="Times New Roman" w:eastAsia="Times New Roman" w:hAnsi="Times New Roman"/>
          <w:sz w:val="18"/>
          <w:szCs w:val="18"/>
          <w:i w:val="1"/>
          <w:iCs w:val="1"/>
          <w:color w:val="auto"/>
        </w:rPr>
        <w:t>Plan Binding on Transferees</w:t>
      </w:r>
      <w:r>
        <w:rPr>
          <w:rFonts w:ascii="Times New Roman" w:cs="Times New Roman" w:eastAsia="Times New Roman" w:hAnsi="Times New Roman"/>
          <w:sz w:val="18"/>
          <w:szCs w:val="18"/>
          <w:color w:val="auto"/>
        </w:rPr>
        <w:t>. The Plan shall be binding upon the Company, its transferees and assigns, and the Participant, the Participant’s executor, administrator and permitted transferees and beneficiaries.</w:t>
      </w:r>
    </w:p>
    <w:p>
      <w:pPr>
        <w:spacing w:after="0" w:line="158" w:lineRule="exact"/>
        <w:rPr>
          <w:sz w:val="20"/>
          <w:szCs w:val="20"/>
          <w:color w:val="auto"/>
        </w:rPr>
      </w:pPr>
    </w:p>
    <w:p>
      <w:pPr>
        <w:jc w:val="both"/>
        <w:ind w:right="60" w:firstLine="440"/>
        <w:spacing w:after="0" w:line="267" w:lineRule="auto"/>
        <w:rPr>
          <w:sz w:val="20"/>
          <w:szCs w:val="20"/>
          <w:color w:val="auto"/>
        </w:rPr>
      </w:pPr>
      <w:r>
        <w:rPr>
          <w:rFonts w:ascii="Times New Roman" w:cs="Times New Roman" w:eastAsia="Times New Roman" w:hAnsi="Times New Roman"/>
          <w:sz w:val="18"/>
          <w:szCs w:val="18"/>
          <w:color w:val="auto"/>
        </w:rPr>
        <w:t xml:space="preserve">14.15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If any provision of the Plan or any Award Agreement shall be determined to be illegal or unenforceable by any court of law in any jurisdiction, the remaining provisions hereof and thereof shall be severable and enforceable in accordance with their terms, and all provisions shall remain enforceable in any other jurisdiction.</w:t>
      </w:r>
    </w:p>
    <w:p>
      <w:pPr>
        <w:spacing w:after="0" w:line="173"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 xml:space="preserve">14.16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The Plan, all Awards and all Award Agreements, and all claims or causes of action (whether in contract, tort or statute) that may be based upon, arise out of or relate to the Plan, any Award or Award Agreement, or the negotiation, execution or performance of any such documents or matter related thereto (including any claim or cause of action based upon, arising out of or related to any representation or warranty made in or in connection with the Plan, any Award or Award Agreement, or as an inducement to enter into any Award Agreement), shall be governed by, and enforced in accordance with, the internal laws of the State of Delaware, including its statutes of limitations and repose, but without regard to any borrowing statute that would result in the application of the statute of limitations or repose of any other jurisdiction.</w:t>
      </w:r>
    </w:p>
    <w:p>
      <w:pPr>
        <w:spacing w:after="0" w:line="182" w:lineRule="exact"/>
        <w:rPr>
          <w:sz w:val="20"/>
          <w:szCs w:val="20"/>
          <w:color w:val="auto"/>
        </w:rPr>
      </w:pPr>
    </w:p>
    <w:p>
      <w:pPr>
        <w:ind w:right="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14.17 </w:t>
      </w:r>
      <w:r>
        <w:rPr>
          <w:rFonts w:ascii="Times New Roman" w:cs="Times New Roman" w:eastAsia="Times New Roman" w:hAnsi="Times New Roman"/>
          <w:sz w:val="18"/>
          <w:szCs w:val="18"/>
          <w:i w:val="1"/>
          <w:iCs w:val="1"/>
          <w:color w:val="auto"/>
        </w:rPr>
        <w:t>No Fractional Shares</w:t>
      </w:r>
      <w:r>
        <w:rPr>
          <w:rFonts w:ascii="Times New Roman" w:cs="Times New Roman" w:eastAsia="Times New Roman" w:hAnsi="Times New Roman"/>
          <w:sz w:val="18"/>
          <w:szCs w:val="18"/>
          <w:color w:val="auto"/>
        </w:rPr>
        <w:t>. No fractional shares of Common Stock shall be issued or delivered pursuant to the Plan or any Award, and the Committee shall determine whether cash, other securities or other property shall be paid or transferred in lieu of any fractional shares of Common Stock or whether such fractional shares or any rights thereto shall be canceled, terminated or otherwise eliminated.</w:t>
      </w:r>
    </w:p>
    <w:p>
      <w:pPr>
        <w:spacing w:after="0" w:line="173"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14.18 </w:t>
      </w:r>
      <w:r>
        <w:rPr>
          <w:rFonts w:ascii="Times New Roman" w:cs="Times New Roman" w:eastAsia="Times New Roman" w:hAnsi="Times New Roman"/>
          <w:sz w:val="18"/>
          <w:szCs w:val="18"/>
          <w:i w:val="1"/>
          <w:iCs w:val="1"/>
          <w:color w:val="auto"/>
        </w:rPr>
        <w:t>No Guarantees Regarding Tax Treatment</w:t>
      </w:r>
      <w:r>
        <w:rPr>
          <w:rFonts w:ascii="Times New Roman" w:cs="Times New Roman" w:eastAsia="Times New Roman" w:hAnsi="Times New Roman"/>
          <w:sz w:val="18"/>
          <w:szCs w:val="18"/>
          <w:color w:val="auto"/>
        </w:rPr>
        <w:t>. Neither the Company nor the Committee make any guarantees to any Person regarding the tax treatment of Awards or payments made under the Plan. Neither the Company nor the Committee has any obligation to take any action to prevent the assessment of any tax on any Person with respect to any Award under Section 409A of the Code, Section 4999 of the Code or otherwise and neither the Company nor the Committee shall have any liability to a Person with respect thereto.</w:t>
      </w:r>
    </w:p>
    <w:p>
      <w:pPr>
        <w:spacing w:after="0" w:line="180" w:lineRule="exact"/>
        <w:rPr>
          <w:sz w:val="20"/>
          <w:szCs w:val="20"/>
          <w:color w:val="auto"/>
        </w:rPr>
      </w:pPr>
    </w:p>
    <w:p>
      <w:pPr>
        <w:ind w:right="80" w:firstLine="440"/>
        <w:spacing w:after="0" w:line="290" w:lineRule="auto"/>
        <w:rPr>
          <w:sz w:val="20"/>
          <w:szCs w:val="20"/>
          <w:color w:val="auto"/>
        </w:rPr>
      </w:pPr>
      <w:r>
        <w:rPr>
          <w:rFonts w:ascii="Times New Roman" w:cs="Times New Roman" w:eastAsia="Times New Roman" w:hAnsi="Times New Roman"/>
          <w:sz w:val="17"/>
          <w:szCs w:val="17"/>
          <w:color w:val="auto"/>
        </w:rPr>
        <w:t xml:space="preserve">14.19 </w:t>
      </w:r>
      <w:r>
        <w:rPr>
          <w:rFonts w:ascii="Times New Roman" w:cs="Times New Roman" w:eastAsia="Times New Roman" w:hAnsi="Times New Roman"/>
          <w:sz w:val="17"/>
          <w:szCs w:val="17"/>
          <w:i w:val="1"/>
          <w:iCs w:val="1"/>
          <w:color w:val="auto"/>
        </w:rPr>
        <w:t>Data Protection</w:t>
      </w:r>
      <w:r>
        <w:rPr>
          <w:rFonts w:ascii="Times New Roman" w:cs="Times New Roman" w:eastAsia="Times New Roman" w:hAnsi="Times New Roman"/>
          <w:sz w:val="17"/>
          <w:szCs w:val="17"/>
          <w:color w:val="auto"/>
        </w:rPr>
        <w:t>. By participating in the Plan, each Participant consents to the collection, processing, transmission and storage by the Company, its Subsidiaries and any third party administrators of any data of a professional or personal nature for the purposes of administering the Plan and in connection with a Participant’s status as a stockholder of the Company upon the issuance of any shares of Common Stock pursuant to an Award.</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60"/>
          </w:cols>
          <w:pgMar w:left="440" w:top="268" w:right="499" w:bottom="1440" w:gutter="0" w:footer="0" w:header="0"/>
        </w:sectPr>
      </w:pPr>
    </w:p>
    <w:bookmarkStart w:id="29" w:name="page30"/>
    <w:bookmarkEnd w:id="29"/>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14.20 </w:t>
      </w:r>
      <w:r>
        <w:rPr>
          <w:rFonts w:ascii="Times New Roman" w:cs="Times New Roman" w:eastAsia="Times New Roman" w:hAnsi="Times New Roman"/>
          <w:sz w:val="18"/>
          <w:szCs w:val="18"/>
          <w:i w:val="1"/>
          <w:iCs w:val="1"/>
          <w:color w:val="auto"/>
        </w:rPr>
        <w:t>Awards to Non-U.S. Participants.</w:t>
      </w:r>
      <w:r>
        <w:rPr>
          <w:rFonts w:ascii="Times New Roman" w:cs="Times New Roman" w:eastAsia="Times New Roman" w:hAnsi="Times New Roman"/>
          <w:sz w:val="18"/>
          <w:szCs w:val="18"/>
          <w:color w:val="auto"/>
        </w:rPr>
        <w:t xml:space="preserve"> To comply with the laws in countries other than the United States in which the Company or any of its Subsidiaries or Affiliates operates or has Eligible Employees, the Committee, in its sole discretion, shall have the power and authority to (i) modify the terms and conditions of any Award granted to Participants outside the United States to comply with applicable foreign laws, (ii) take any action, before or after an Award is made, that it deems advisable to obtain approval or comply with any necessary local government regulatory exemptions or approvals and (iii) establish subplans and modify exercise procedures and other terms and procedures, to the extent such actions may be necessary or advisable. Any subplans and modifications to Plan terms and procedures established under this Section 14.20 by the Committee shall be attached to this Plan document as appendices.</w:t>
      </w:r>
    </w:p>
    <w:p>
      <w:pPr>
        <w:spacing w:after="0" w:line="185" w:lineRule="exact"/>
        <w:rPr>
          <w:sz w:val="20"/>
          <w:szCs w:val="20"/>
          <w:color w:val="auto"/>
        </w:rPr>
      </w:pPr>
    </w:p>
    <w:p>
      <w:pPr>
        <w:ind w:left="700" w:hanging="264"/>
        <w:spacing w:after="0"/>
        <w:tabs>
          <w:tab w:leader="none" w:pos="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Amendment and Termination; Stockholder Approval</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i w:val="1"/>
          <w:iCs w:val="1"/>
          <w:color w:val="auto"/>
        </w:rPr>
        <w:t>Term</w:t>
      </w:r>
      <w:r>
        <w:rPr>
          <w:rFonts w:ascii="Times New Roman" w:cs="Times New Roman" w:eastAsia="Times New Roman" w:hAnsi="Times New Roman"/>
          <w:sz w:val="18"/>
          <w:szCs w:val="18"/>
          <w:color w:val="auto"/>
        </w:rPr>
        <w:t>. The Board has adopted this plan and the Plan shall be effective as of the Effective Date.</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i w:val="1"/>
          <w:iCs w:val="1"/>
          <w:color w:val="auto"/>
        </w:rPr>
        <w:t>Amendment and Termination</w:t>
      </w:r>
      <w:r>
        <w:rPr>
          <w:rFonts w:ascii="Times New Roman" w:cs="Times New Roman" w:eastAsia="Times New Roman" w:hAnsi="Times New Roman"/>
          <w:sz w:val="18"/>
          <w:szCs w:val="18"/>
          <w:color w:val="auto"/>
        </w:rPr>
        <w:t xml:space="preserve">. The Board may from time to time and in any respect, amend, modify, suspend or terminate the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amendment, modification, suspension or termination of the Plan shall materially and adversely affect any Award theretofore granted without the consent of the Participant or the permitted transferee of the Award. The Board may seek the approval of any amendment, modification, suspension or termination by the Company’s stockholders to the extent it deems necessary in its discretion, and shall seek such approval to the extent it deems necessary in its discretion to comply with applicable law or listing requirements of Nasdaq or other exchange or securities market. Notwithstanding the foregoing, the Board shall have broad authority to amend the Plan or any Award under the Plan without the consent of a Participant to the extent it deems necessary or desirable in its discretion to comply with, take into account changes in, or interpretations of, applicable tax laws, securities laws, employment laws, accounting rules and other applicable laws, rules and regulations.</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60"/>
          </w:cols>
          <w:pgMar w:left="440" w:top="268" w:right="49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Form S-8</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(Form Type)</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Definitive Healthcare Corp.</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50" w:lineRule="exact"/>
        <w:rPr>
          <w:sz w:val="20"/>
          <w:szCs w:val="20"/>
          <w:color w:val="auto"/>
        </w:rPr>
      </w:pPr>
    </w:p>
    <w:tbl>
      <w:tblPr>
        <w:tblLayout w:type="fixed"/>
        <w:tblInd w:w="1334" w:type="dxa"/>
        <w:tblCellMar>
          <w:top w:w="0" w:type="dxa"/>
          <w:left w:w="0" w:type="dxa"/>
          <w:bottom w:w="0" w:type="dxa"/>
          <w:right w:w="0" w:type="dxa"/>
        </w:tblCellMar>
      </w:tblPr>
      <w:tr>
        <w:trPr>
          <w:trHeight w:val="128"/>
        </w:trPr>
        <w:tc>
          <w:tcPr>
            <w:tcW w:w="1220" w:type="dxa"/>
            <w:vAlign w:val="bottom"/>
            <w:tcBorders>
              <w:top w:val="single" w:sz="8" w:color="auto"/>
              <w:left w:val="single" w:sz="8" w:color="auto"/>
            </w:tcBorders>
          </w:tcPr>
          <w:p>
            <w:pPr>
              <w:spacing w:after="0"/>
              <w:rPr>
                <w:sz w:val="11"/>
                <w:szCs w:val="11"/>
                <w:color w:val="auto"/>
              </w:rPr>
            </w:pPr>
          </w:p>
        </w:tc>
        <w:tc>
          <w:tcPr>
            <w:tcW w:w="240" w:type="dxa"/>
            <w:vAlign w:val="bottom"/>
            <w:tcBorders>
              <w:top w:val="single" w:sz="8" w:color="auto"/>
              <w:right w:val="single" w:sz="8" w:color="auto"/>
            </w:tcBorders>
          </w:tcPr>
          <w:p>
            <w:pPr>
              <w:spacing w:after="0"/>
              <w:rPr>
                <w:sz w:val="11"/>
                <w:szCs w:val="11"/>
                <w:color w:val="auto"/>
              </w:rPr>
            </w:pPr>
          </w:p>
        </w:tc>
        <w:tc>
          <w:tcPr>
            <w:tcW w:w="1220" w:type="dxa"/>
            <w:vAlign w:val="bottom"/>
            <w:tcBorders>
              <w:top w:val="single" w:sz="8" w:color="auto"/>
              <w:right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right w:val="single" w:sz="8" w:color="auto"/>
            </w:tcBorders>
          </w:tcPr>
          <w:p>
            <w:pPr>
              <w:spacing w:after="0"/>
              <w:rPr>
                <w:sz w:val="11"/>
                <w:szCs w:val="11"/>
                <w:color w:val="auto"/>
              </w:rPr>
            </w:pPr>
          </w:p>
        </w:tc>
        <w:tc>
          <w:tcPr>
            <w:tcW w:w="1000" w:type="dxa"/>
            <w:vAlign w:val="bottom"/>
            <w:tcBorders>
              <w:top w:val="single" w:sz="8" w:color="auto"/>
              <w:right w:val="single" w:sz="8" w:color="auto"/>
            </w:tcBorders>
          </w:tcPr>
          <w:p>
            <w:pPr>
              <w:spacing w:after="0"/>
              <w:rPr>
                <w:sz w:val="11"/>
                <w:szCs w:val="11"/>
                <w:color w:val="auto"/>
              </w:rPr>
            </w:pPr>
          </w:p>
        </w:tc>
        <w:tc>
          <w:tcPr>
            <w:tcW w:w="980" w:type="dxa"/>
            <w:vAlign w:val="bottom"/>
            <w:tcBorders>
              <w:top w:val="single" w:sz="8" w:color="auto"/>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Proposed</w:t>
            </w:r>
          </w:p>
        </w:tc>
        <w:tc>
          <w:tcPr>
            <w:tcW w:w="1040" w:type="dxa"/>
            <w:vAlign w:val="bottom"/>
            <w:tcBorders>
              <w:top w:val="single" w:sz="8" w:color="auto"/>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000" w:type="dxa"/>
            <w:vAlign w:val="bottom"/>
            <w:tcBorders>
              <w:top w:val="single" w:sz="8" w:color="auto"/>
              <w:right w:val="single" w:sz="8" w:color="auto"/>
            </w:tcBorders>
          </w:tcPr>
          <w:p>
            <w:pPr>
              <w:spacing w:after="0"/>
              <w:rPr>
                <w:sz w:val="11"/>
                <w:szCs w:val="11"/>
                <w:color w:val="auto"/>
              </w:rPr>
            </w:pPr>
          </w:p>
        </w:tc>
        <w:tc>
          <w:tcPr>
            <w:tcW w:w="880" w:type="dxa"/>
            <w:vAlign w:val="bottom"/>
            <w:tcBorders>
              <w:top w:val="single" w:sz="8" w:color="auto"/>
              <w:right w:val="single" w:sz="8" w:color="auto"/>
            </w:tcBorders>
          </w:tcPr>
          <w:p>
            <w:pPr>
              <w:spacing w:after="0"/>
              <w:rPr>
                <w:sz w:val="11"/>
                <w:szCs w:val="11"/>
                <w:color w:val="auto"/>
              </w:rPr>
            </w:pPr>
          </w:p>
        </w:tc>
      </w:tr>
      <w:tr>
        <w:trPr>
          <w:trHeight w:val="135"/>
        </w:trPr>
        <w:tc>
          <w:tcPr>
            <w:tcW w:w="1220" w:type="dxa"/>
            <w:vAlign w:val="bottom"/>
            <w:tcBorders>
              <w:left w:val="single" w:sz="8" w:color="auto"/>
            </w:tcBorders>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Fee</w:t>
            </w:r>
          </w:p>
        </w:tc>
        <w:tc>
          <w:tcPr>
            <w:tcW w:w="100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0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Aggregate</w:t>
            </w:r>
          </w:p>
        </w:tc>
        <w:tc>
          <w:tcPr>
            <w:tcW w:w="10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Amount of</w:t>
            </w:r>
          </w:p>
        </w:tc>
      </w:tr>
      <w:tr>
        <w:trPr>
          <w:trHeight w:val="135"/>
        </w:trPr>
        <w:tc>
          <w:tcPr>
            <w:tcW w:w="1220" w:type="dxa"/>
            <w:vAlign w:val="bottom"/>
            <w:tcBorders>
              <w:left w:val="single" w:sz="8" w:color="auto"/>
            </w:tcBorders>
          </w:tcPr>
          <w:p>
            <w:pPr>
              <w:jc w:val="center"/>
              <w:ind w:left="248"/>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Security</w:t>
            </w:r>
          </w:p>
        </w:tc>
        <w:tc>
          <w:tcPr>
            <w:tcW w:w="24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Security Class</w:t>
            </w:r>
          </w:p>
        </w:tc>
        <w:tc>
          <w:tcPr>
            <w:tcW w:w="80" w:type="dxa"/>
            <w:vAlign w:val="bottom"/>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Calculation</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9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Offering Price</w:t>
            </w:r>
          </w:p>
        </w:tc>
        <w:tc>
          <w:tcPr>
            <w:tcW w:w="10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Offering</w:t>
            </w:r>
          </w:p>
        </w:tc>
        <w:tc>
          <w:tcPr>
            <w:tcW w:w="10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Registration</w:t>
            </w:r>
          </w:p>
        </w:tc>
      </w:tr>
      <w:tr>
        <w:trPr>
          <w:trHeight w:val="169"/>
        </w:trPr>
        <w:tc>
          <w:tcPr>
            <w:tcW w:w="1220" w:type="dxa"/>
            <w:vAlign w:val="bottom"/>
            <w:tcBorders>
              <w:left w:val="single" w:sz="8" w:color="auto"/>
              <w:bottom w:val="single" w:sz="8" w:color="auto"/>
            </w:tcBorders>
          </w:tcPr>
          <w:p>
            <w:pPr>
              <w:jc w:val="center"/>
              <w:ind w:left="248"/>
              <w:spacing w:after="0"/>
              <w:rPr>
                <w:sz w:val="20"/>
                <w:szCs w:val="20"/>
                <w:color w:val="auto"/>
              </w:rPr>
            </w:pPr>
            <w:r>
              <w:rPr>
                <w:rFonts w:ascii="Times New Roman" w:cs="Times New Roman" w:eastAsia="Times New Roman" w:hAnsi="Times New Roman"/>
                <w:sz w:val="13"/>
                <w:szCs w:val="13"/>
                <w:b w:val="1"/>
                <w:bCs w:val="1"/>
                <w:color w:val="auto"/>
                <w:w w:val="92"/>
              </w:rPr>
              <w:t>Type</w:t>
            </w:r>
          </w:p>
        </w:tc>
        <w:tc>
          <w:tcPr>
            <w:tcW w:w="240" w:type="dxa"/>
            <w:vAlign w:val="bottom"/>
            <w:tcBorders>
              <w:bottom w:val="single" w:sz="8" w:color="auto"/>
              <w:right w:val="single" w:sz="8" w:color="auto"/>
            </w:tcBorders>
          </w:tcPr>
          <w:p>
            <w:pPr>
              <w:spacing w:after="0"/>
              <w:rPr>
                <w:sz w:val="14"/>
                <w:szCs w:val="14"/>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Title</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Rule</w:t>
            </w:r>
          </w:p>
        </w:tc>
        <w:tc>
          <w:tcPr>
            <w:tcW w:w="1000" w:type="dxa"/>
            <w:vAlign w:val="bottom"/>
            <w:tcBorders>
              <w:bottom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3"/>
                <w:szCs w:val="13"/>
                <w:b w:val="1"/>
                <w:bCs w:val="1"/>
                <w:color w:val="auto"/>
                <w:w w:val="92"/>
              </w:rPr>
              <w:t>Registered</w:t>
            </w:r>
            <w:r>
              <w:rPr>
                <w:rFonts w:ascii="Times New Roman" w:cs="Times New Roman" w:eastAsia="Times New Roman" w:hAnsi="Times New Roman"/>
                <w:sz w:val="18"/>
                <w:szCs w:val="18"/>
                <w:b w:val="1"/>
                <w:bCs w:val="1"/>
                <w:color w:val="auto"/>
                <w:w w:val="92"/>
                <w:vertAlign w:val="superscript"/>
              </w:rPr>
              <w:t>(1)</w:t>
            </w:r>
          </w:p>
        </w:tc>
        <w:tc>
          <w:tcPr>
            <w:tcW w:w="980" w:type="dxa"/>
            <w:vAlign w:val="bottom"/>
            <w:tcBorders>
              <w:bottom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3"/>
                <w:szCs w:val="13"/>
                <w:b w:val="1"/>
                <w:bCs w:val="1"/>
                <w:color w:val="auto"/>
                <w:w w:val="91"/>
              </w:rPr>
              <w:t>Per Unit</w:t>
            </w:r>
            <w:r>
              <w:rPr>
                <w:rFonts w:ascii="Times New Roman" w:cs="Times New Roman" w:eastAsia="Times New Roman" w:hAnsi="Times New Roman"/>
                <w:sz w:val="18"/>
                <w:szCs w:val="18"/>
                <w:b w:val="1"/>
                <w:bCs w:val="1"/>
                <w:color w:val="auto"/>
                <w:w w:val="91"/>
                <w:vertAlign w:val="superscript"/>
              </w:rPr>
              <w:t>(2)</w:t>
            </w:r>
          </w:p>
        </w:tc>
        <w:tc>
          <w:tcPr>
            <w:tcW w:w="1040" w:type="dxa"/>
            <w:vAlign w:val="bottom"/>
            <w:tcBorders>
              <w:bottom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3"/>
                <w:szCs w:val="13"/>
                <w:b w:val="1"/>
                <w:bCs w:val="1"/>
                <w:color w:val="auto"/>
                <w:w w:val="93"/>
              </w:rPr>
              <w:t>Price</w:t>
            </w:r>
            <w:r>
              <w:rPr>
                <w:rFonts w:ascii="Times New Roman" w:cs="Times New Roman" w:eastAsia="Times New Roman" w:hAnsi="Times New Roman"/>
                <w:sz w:val="18"/>
                <w:szCs w:val="18"/>
                <w:b w:val="1"/>
                <w:bCs w:val="1"/>
                <w:color w:val="auto"/>
                <w:w w:val="93"/>
                <w:vertAlign w:val="superscript"/>
              </w:rPr>
              <w:t>(2)</w:t>
            </w:r>
          </w:p>
        </w:tc>
        <w:tc>
          <w:tcPr>
            <w:tcW w:w="1000" w:type="dxa"/>
            <w:vAlign w:val="bottom"/>
            <w:tcBorders>
              <w:bottom w:val="single" w:sz="8" w:color="auto"/>
              <w:right w:val="single" w:sz="8" w:color="auto"/>
            </w:tcBorders>
          </w:tcPr>
          <w:p>
            <w:pPr>
              <w:jc w:val="right"/>
              <w:ind w:right="164"/>
              <w:spacing w:after="0"/>
              <w:rPr>
                <w:sz w:val="20"/>
                <w:szCs w:val="20"/>
                <w:color w:val="auto"/>
              </w:rPr>
            </w:pPr>
            <w:r>
              <w:rPr>
                <w:rFonts w:ascii="Times New Roman" w:cs="Times New Roman" w:eastAsia="Times New Roman" w:hAnsi="Times New Roman"/>
                <w:sz w:val="13"/>
                <w:szCs w:val="13"/>
                <w:b w:val="1"/>
                <w:bCs w:val="1"/>
                <w:color w:val="auto"/>
              </w:rPr>
              <w:t>Fee Rate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Fee</w:t>
            </w:r>
          </w:p>
        </w:tc>
      </w:tr>
      <w:tr>
        <w:trPr>
          <w:trHeight w:val="191"/>
        </w:trPr>
        <w:tc>
          <w:tcPr>
            <w:tcW w:w="1220" w:type="dxa"/>
            <w:vAlign w:val="bottom"/>
            <w:tcBorders>
              <w:left w:val="single" w:sz="8" w:color="auto"/>
            </w:tcBorders>
          </w:tcPr>
          <w:p>
            <w:pPr>
              <w:jc w:val="center"/>
              <w:ind w:left="228"/>
              <w:spacing w:after="0" w:line="191" w:lineRule="exact"/>
              <w:rPr>
                <w:sz w:val="20"/>
                <w:szCs w:val="20"/>
                <w:color w:val="auto"/>
              </w:rPr>
            </w:pPr>
            <w:r>
              <w:rPr>
                <w:rFonts w:ascii="Times New Roman" w:cs="Times New Roman" w:eastAsia="Times New Roman" w:hAnsi="Times New Roman"/>
                <w:sz w:val="18"/>
                <w:szCs w:val="18"/>
                <w:color w:val="auto"/>
                <w:w w:val="99"/>
              </w:rPr>
              <w:t>Equity</w:t>
            </w:r>
          </w:p>
        </w:tc>
        <w:tc>
          <w:tcPr>
            <w:tcW w:w="24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w:t>
            </w:r>
          </w:p>
        </w:tc>
        <w:tc>
          <w:tcPr>
            <w:tcW w:w="8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r>
      <w:tr>
        <w:trPr>
          <w:trHeight w:val="216"/>
        </w:trPr>
        <w:tc>
          <w:tcPr>
            <w:tcW w:w="1220" w:type="dxa"/>
            <w:vAlign w:val="bottom"/>
            <w:tcBorders>
              <w:left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216"/>
        </w:trPr>
        <w:tc>
          <w:tcPr>
            <w:tcW w:w="1220" w:type="dxa"/>
            <w:vAlign w:val="bottom"/>
            <w:tcBorders>
              <w:left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w:t>
            </w:r>
          </w:p>
        </w:tc>
        <w:tc>
          <w:tcPr>
            <w:tcW w:w="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216"/>
        </w:trPr>
        <w:tc>
          <w:tcPr>
            <w:tcW w:w="1220" w:type="dxa"/>
            <w:vAlign w:val="bottom"/>
            <w:tcBorders>
              <w:left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$0.001 per</w:t>
            </w:r>
          </w:p>
        </w:tc>
        <w:tc>
          <w:tcPr>
            <w:tcW w:w="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248"/>
        </w:trPr>
        <w:tc>
          <w:tcPr>
            <w:tcW w:w="1220" w:type="dxa"/>
            <w:vAlign w:val="bottom"/>
            <w:tcBorders>
              <w:left w:val="single" w:sz="8" w:color="auto"/>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80" w:type="dxa"/>
            <w:vAlign w:val="bottom"/>
            <w:tcBorders>
              <w:bottom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right w:val="single" w:sz="8" w:color="auto"/>
            </w:tcBorders>
          </w:tcPr>
          <w:p>
            <w:pPr>
              <w:jc w:val="right"/>
              <w:spacing w:after="0" w:line="247" w:lineRule="exact"/>
              <w:rPr>
                <w:sz w:val="20"/>
                <w:szCs w:val="20"/>
                <w:color w:val="auto"/>
              </w:rPr>
            </w:pPr>
            <w:r>
              <w:rPr>
                <w:rFonts w:ascii="Times New Roman" w:cs="Times New Roman" w:eastAsia="Times New Roman" w:hAnsi="Times New Roman"/>
                <w:sz w:val="18"/>
                <w:szCs w:val="18"/>
                <w:color w:val="auto"/>
              </w:rPr>
              <w:t>2,300,000</w:t>
            </w:r>
            <w:r>
              <w:rPr>
                <w:rFonts w:ascii="Times New Roman" w:cs="Times New Roman" w:eastAsia="Times New Roman" w:hAnsi="Times New Roman"/>
                <w:sz w:val="26"/>
                <w:szCs w:val="26"/>
                <w:color w:val="auto"/>
                <w:vertAlign w:val="superscript"/>
              </w:rPr>
              <w:t>(3)</w:t>
            </w:r>
          </w:p>
        </w:tc>
        <w:tc>
          <w:tcPr>
            <w:tcW w:w="980" w:type="dxa"/>
            <w:vAlign w:val="bottom"/>
            <w:tcBorders>
              <w:bottom w:val="single" w:sz="8" w:color="auto"/>
              <w:right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$5.29</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$12,167,000</w:t>
            </w:r>
          </w:p>
        </w:tc>
        <w:tc>
          <w:tcPr>
            <w:tcW w:w="10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0.00014760</w:t>
            </w:r>
          </w:p>
        </w:tc>
        <w:tc>
          <w:tcPr>
            <w:tcW w:w="880" w:type="dxa"/>
            <w:vAlign w:val="bottom"/>
            <w:tcBorders>
              <w:bottom w:val="single" w:sz="8" w:color="auto"/>
              <w:right w:val="single" w:sz="8" w:color="auto"/>
            </w:tcBorders>
          </w:tcPr>
          <w:p>
            <w:pPr>
              <w:jc w:val="center"/>
              <w:ind w:left="42"/>
              <w:spacing w:after="0"/>
              <w:rPr>
                <w:sz w:val="20"/>
                <w:szCs w:val="20"/>
                <w:color w:val="auto"/>
              </w:rPr>
            </w:pPr>
            <w:r>
              <w:rPr>
                <w:rFonts w:ascii="Times New Roman" w:cs="Times New Roman" w:eastAsia="Times New Roman" w:hAnsi="Times New Roman"/>
                <w:sz w:val="18"/>
                <w:szCs w:val="18"/>
                <w:color w:val="auto"/>
                <w:w w:val="99"/>
              </w:rPr>
              <w:t>$1,795.85</w:t>
            </w:r>
          </w:p>
        </w:tc>
      </w:tr>
      <w:tr>
        <w:trPr>
          <w:trHeight w:val="210"/>
        </w:trPr>
        <w:tc>
          <w:tcPr>
            <w:tcW w:w="1220" w:type="dxa"/>
            <w:vAlign w:val="bottom"/>
            <w:tcBorders>
              <w:left w:val="single" w:sz="8" w:color="auto"/>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center"/>
              <w:ind w:right="50"/>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100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$12,167,000</w:t>
            </w:r>
          </w:p>
        </w:tc>
        <w:tc>
          <w:tcPr>
            <w:tcW w:w="100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center"/>
              <w:ind w:left="42"/>
              <w:spacing w:after="0"/>
              <w:rPr>
                <w:sz w:val="20"/>
                <w:szCs w:val="20"/>
                <w:color w:val="auto"/>
              </w:rPr>
            </w:pPr>
            <w:r>
              <w:rPr>
                <w:rFonts w:ascii="Times New Roman" w:cs="Times New Roman" w:eastAsia="Times New Roman" w:hAnsi="Times New Roman"/>
                <w:sz w:val="18"/>
                <w:szCs w:val="18"/>
                <w:color w:val="auto"/>
                <w:w w:val="99"/>
              </w:rPr>
              <w:t>$1,795.85</w:t>
            </w:r>
          </w:p>
        </w:tc>
      </w:tr>
      <w:tr>
        <w:trPr>
          <w:trHeight w:val="209"/>
        </w:trPr>
        <w:tc>
          <w:tcPr>
            <w:tcW w:w="122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center"/>
              <w:ind w:right="310"/>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100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center"/>
              <w:ind w:left="22"/>
              <w:spacing w:after="0"/>
              <w:rPr>
                <w:sz w:val="20"/>
                <w:szCs w:val="20"/>
                <w:color w:val="auto"/>
              </w:rPr>
            </w:pPr>
            <w:r>
              <w:rPr>
                <w:rFonts w:ascii="Times New Roman" w:cs="Times New Roman" w:eastAsia="Times New Roman" w:hAnsi="Times New Roman"/>
                <w:sz w:val="18"/>
                <w:szCs w:val="18"/>
                <w:color w:val="auto"/>
                <w:w w:val="99"/>
              </w:rPr>
              <w:t>—</w:t>
            </w:r>
          </w:p>
        </w:tc>
      </w:tr>
      <w:tr>
        <w:trPr>
          <w:trHeight w:val="209"/>
        </w:trPr>
        <w:tc>
          <w:tcPr>
            <w:tcW w:w="122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left="276"/>
              <w:spacing w:after="0"/>
              <w:rPr>
                <w:sz w:val="20"/>
                <w:szCs w:val="20"/>
                <w:color w:val="auto"/>
              </w:rPr>
            </w:pPr>
            <w:r>
              <w:rPr>
                <w:rFonts w:ascii="Times New Roman" w:cs="Times New Roman" w:eastAsia="Times New Roman" w:hAnsi="Times New Roman"/>
                <w:sz w:val="18"/>
                <w:szCs w:val="18"/>
                <w:color w:val="auto"/>
                <w:w w:val="98"/>
              </w:rPr>
              <w:t>Net Fee Due</w:t>
            </w:r>
          </w:p>
        </w:tc>
        <w:tc>
          <w:tcPr>
            <w:tcW w:w="72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center"/>
              <w:ind w:left="42"/>
              <w:spacing w:after="0"/>
              <w:rPr>
                <w:sz w:val="20"/>
                <w:szCs w:val="20"/>
                <w:color w:val="auto"/>
              </w:rPr>
            </w:pPr>
            <w:r>
              <w:rPr>
                <w:rFonts w:ascii="Times New Roman" w:cs="Times New Roman" w:eastAsia="Times New Roman" w:hAnsi="Times New Roman"/>
                <w:sz w:val="18"/>
                <w:szCs w:val="18"/>
                <w:color w:val="auto"/>
                <w:w w:val="99"/>
              </w:rPr>
              <w:t>$1,795.85</w:t>
            </w:r>
          </w:p>
        </w:tc>
      </w:tr>
    </w:tbl>
    <w:p>
      <w:pPr>
        <w:spacing w:after="0" w:line="103" w:lineRule="exact"/>
        <w:rPr>
          <w:sz w:val="20"/>
          <w:szCs w:val="20"/>
          <w:color w:val="auto"/>
        </w:rPr>
      </w:pPr>
    </w:p>
    <w:p>
      <w:pPr>
        <w:ind w:left="424" w:right="640" w:hanging="424"/>
        <w:spacing w:after="0" w:line="266"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this Registration Statement shall also cover additional shares of the Registrant’s Class A common stock, par value $0.001 per share (“Common Stock”), which become issuable under the Registrant’s 2023 Inducement Plan (the “2023 Inducement Plan”) by reason of any stock split, stock dividend, recapitalization, or other similar transaction.</w:t>
      </w:r>
    </w:p>
    <w:p>
      <w:pPr>
        <w:spacing w:after="0" w:line="81" w:lineRule="exact"/>
        <w:rPr>
          <w:rFonts w:ascii="Times New Roman" w:cs="Times New Roman" w:eastAsia="Times New Roman" w:hAnsi="Times New Roman"/>
          <w:sz w:val="18"/>
          <w:szCs w:val="18"/>
          <w:color w:val="auto"/>
        </w:rPr>
      </w:pPr>
    </w:p>
    <w:p>
      <w:pPr>
        <w:ind w:left="424" w:right="360" w:hanging="424"/>
        <w:spacing w:after="0" w:line="282"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Rule 457(h) and Rule 457(c). The price per share and aggregate offering price are based upon the average of the high and low prices of the Registrant’s Common Stock on June 5, 2024 as reported on the Nasdaq Global Select Market.</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additional shares of Common Stock that were reserved for issuance under the Registrant’s 2023 Inducement Plan.</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lowerLetter"/>
      <w:start w:val="1"/>
    </w:lvl>
  </w:abstractNum>
  <w:abstractNum w:abstractNumId="1">
    <w:nsid w:val="109CF92E"/>
    <w:multiLevelType w:val="hybridMultilevel"/>
    <w:lvl w:ilvl="0">
      <w:lvlJc w:val="left"/>
      <w:lvlText w:val="(%1)"/>
      <w:numFmt w:val="lowerLetter"/>
      <w:start w:val="5"/>
    </w:lvl>
  </w:abstractNum>
  <w:abstractNum w:abstractNumId="2">
    <w:nsid w:val="DED7263"/>
    <w:multiLevelType w:val="hybridMultilevel"/>
    <w:lvl w:ilvl="0">
      <w:lvlJc w:val="left"/>
      <w:lvlText w:val=" "/>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3"/>
    </w:lvl>
  </w:abstractNum>
  <w:abstractNum w:abstractNumId="5">
    <w:nsid w:val="41A7C4C9"/>
    <w:multiLevelType w:val="hybridMultilevel"/>
    <w:lvl w:ilvl="0">
      <w:lvlJc w:val="left"/>
      <w:lvlText w:val="%1."/>
      <w:numFmt w:val="decimal"/>
      <w:start w:val="4"/>
    </w:lvl>
  </w:abstractNum>
  <w:abstractNum w:abstractNumId="6">
    <w:nsid w:val="6B68079A"/>
    <w:multiLevelType w:val="hybridMultilevel"/>
    <w:lvl w:ilvl="0">
      <w:lvlJc w:val="left"/>
      <w:lvlText w:val="%1."/>
      <w:numFmt w:val="decimal"/>
      <w:start w:val="5"/>
    </w:lvl>
  </w:abstractNum>
  <w:abstractNum w:abstractNumId="7">
    <w:nsid w:val="4E6AFB66"/>
    <w:multiLevelType w:val="hybridMultilevel"/>
    <w:lvl w:ilvl="0">
      <w:lvlJc w:val="left"/>
      <w:lvlText w:val="(%1)"/>
      <w:numFmt w:val="decimal"/>
      <w:start w:val="4"/>
    </w:lvl>
  </w:abstractNum>
  <w:abstractNum w:abstractNumId="8">
    <w:nsid w:val="25E45D32"/>
    <w:multiLevelType w:val="hybridMultilevel"/>
    <w:lvl w:ilvl="0">
      <w:lvlJc w:val="left"/>
      <w:lvlText w:val="%1."/>
      <w:numFmt w:val="decimal"/>
      <w:start w:val="6"/>
    </w:lvl>
  </w:abstractNum>
  <w:abstractNum w:abstractNumId="9">
    <w:nsid w:val="519B500D"/>
    <w:multiLevelType w:val="hybridMultilevel"/>
    <w:lvl w:ilvl="0">
      <w:lvlJc w:val="left"/>
      <w:lvlText w:val="%1."/>
      <w:numFmt w:val="decimal"/>
      <w:start w:val="7"/>
    </w:lvl>
  </w:abstractNum>
  <w:abstractNum w:abstractNumId="10">
    <w:nsid w:val="431BD7B7"/>
    <w:multiLevelType w:val="hybridMultilevel"/>
    <w:lvl w:ilvl="0">
      <w:lvlJc w:val="left"/>
      <w:lvlText w:val="%1."/>
      <w:numFmt w:val="decimal"/>
      <w:start w:val="8"/>
    </w:lvl>
  </w:abstractNum>
  <w:abstractNum w:abstractNumId="11">
    <w:nsid w:val="3F2DBA31"/>
    <w:multiLevelType w:val="hybridMultilevel"/>
    <w:lvl w:ilvl="0">
      <w:lvlJc w:val="left"/>
      <w:lvlText w:val="%1."/>
      <w:numFmt w:val="decimal"/>
      <w:start w:val="9"/>
    </w:lvl>
  </w:abstractNum>
  <w:abstractNum w:abstractNumId="12">
    <w:nsid w:val="7C83E458"/>
    <w:multiLevelType w:val="hybridMultilevel"/>
    <w:lvl w:ilvl="0">
      <w:lvlJc w:val="left"/>
      <w:lvlText w:val="%1."/>
      <w:numFmt w:val="decimal"/>
      <w:start w:val="10"/>
    </w:lvl>
  </w:abstractNum>
  <w:abstractNum w:abstractNumId="13">
    <w:nsid w:val="257130A3"/>
    <w:multiLevelType w:val="hybridMultilevel"/>
    <w:lvl w:ilvl="0">
      <w:lvlJc w:val="left"/>
      <w:lvlText w:val="%1."/>
      <w:numFmt w:val="decimal"/>
      <w:start w:val="11"/>
    </w:lvl>
  </w:abstractNum>
  <w:abstractNum w:abstractNumId="14">
    <w:nsid w:val="62BBD95A"/>
    <w:multiLevelType w:val="hybridMultilevel"/>
    <w:lvl w:ilvl="0">
      <w:lvlJc w:val="left"/>
      <w:lvlText w:val="(%1)"/>
      <w:numFmt w:val="lowerRoman"/>
      <w:start w:val="2"/>
    </w:lvl>
  </w:abstractNum>
  <w:abstractNum w:abstractNumId="15">
    <w:nsid w:val="436C6125"/>
    <w:multiLevelType w:val="hybridMultilevel"/>
    <w:lvl w:ilvl="0">
      <w:lvlJc w:val="left"/>
      <w:lvlText w:val="(%1)"/>
      <w:numFmt w:val="lowerLetter"/>
      <w:start w:val="1"/>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lowerLetter"/>
      <w:start w:val="2"/>
    </w:lvl>
  </w:abstractNum>
  <w:abstractNum w:abstractNumId="18">
    <w:nsid w:val="721DA317"/>
    <w:multiLevelType w:val="hybridMultilevel"/>
    <w:lvl w:ilvl="0">
      <w:lvlJc w:val="left"/>
      <w:lvlText w:val="%1."/>
      <w:numFmt w:val="decimal"/>
      <w:start w:val="12"/>
    </w:lvl>
  </w:abstractNum>
  <w:abstractNum w:abstractNumId="19">
    <w:nsid w:val="2443A858"/>
    <w:multiLevelType w:val="hybridMultilevel"/>
    <w:lvl w:ilvl="0">
      <w:lvlJc w:val="left"/>
      <w:lvlText w:val="%1"/>
      <w:numFmt w:val="decimal"/>
      <w:start w:val="1"/>
    </w:lvl>
    <w:lvl w:ilvl="1">
      <w:lvlJc w:val="left"/>
      <w:lvlText w:val="(%2)"/>
      <w:numFmt w:val="lowerLetter"/>
      <w:start w:val="1"/>
    </w:lvl>
  </w:abstractNum>
  <w:abstractNum w:abstractNumId="20">
    <w:nsid w:val="2D1D5AE9"/>
    <w:multiLevelType w:val="hybridMultilevel"/>
    <w:lvl w:ilvl="0">
      <w:lvlJc w:val="left"/>
      <w:lvlText w:val="(%1)"/>
      <w:numFmt w:val="decimal"/>
      <w:start w:val="6"/>
    </w:lvl>
    <w:lvl w:ilvl="1">
      <w:lvlJc w:val="left"/>
      <w:lvlText w:val="%2"/>
      <w:numFmt w:val="lowerLetter"/>
      <w:start w:val="1"/>
    </w:lvl>
  </w:abstractNum>
  <w:abstractNum w:abstractNumId="21">
    <w:nsid w:val="6763845E"/>
    <w:multiLevelType w:val="hybridMultilevel"/>
    <w:lvl w:ilvl="0">
      <w:lvlJc w:val="left"/>
      <w:lvlText w:val="(%1)"/>
      <w:numFmt w:val="lowerLetter"/>
      <w:start w:val="1"/>
    </w:lvl>
  </w:abstractNum>
  <w:abstractNum w:abstractNumId="22">
    <w:nsid w:val="75A2A8D4"/>
    <w:multiLevelType w:val="hybridMultilevel"/>
    <w:lvl w:ilvl="0">
      <w:lvlJc w:val="left"/>
      <w:lvlText w:val="%1."/>
      <w:numFmt w:val="decimal"/>
      <w:start w:val="13"/>
    </w:lvl>
  </w:abstractNum>
  <w:abstractNum w:abstractNumId="23">
    <w:nsid w:val="8EDBDAB"/>
    <w:multiLevelType w:val="hybridMultilevel"/>
    <w:lvl w:ilvl="0">
      <w:lvlJc w:val="left"/>
      <w:lvlText w:val="%1."/>
      <w:numFmt w:val="decimal"/>
      <w:start w:val="15"/>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7"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18" Type="http://schemas.openxmlformats.org/officeDocument/2006/relationships/hyperlink" Target="http://www.sec.gov/Archives/edgar/data/1861795/000119312523229619/d501211ds8.htm" TargetMode="External"/><Relationship Id="rId19" Type="http://schemas.openxmlformats.org/officeDocument/2006/relationships/hyperlink" Target="http://www.sec.gov/ix?doc=/Archives/edgar/data/1861795/000095017024022134/dh-20231231.htm" TargetMode="External"/><Relationship Id="rId20" Type="http://schemas.openxmlformats.org/officeDocument/2006/relationships/hyperlink" Target="http://www.sec.gov/ix?doc=/Archives/edgar/data/0001861795/000119312524090780/d271444ddef14a.htm" TargetMode="External"/><Relationship Id="rId21" Type="http://schemas.openxmlformats.org/officeDocument/2006/relationships/hyperlink" Target="http://www.sec.gov/ix?doc=/Archives/edgar/data/1861795/000095017024054568/dh-20240507.htm" TargetMode="External"/><Relationship Id="rId22" Type="http://schemas.openxmlformats.org/officeDocument/2006/relationships/hyperlink" Target="http://www.sec.gov/ix?doc=/Archives/edgar/data/0001861795/000095017024054539/dh-20240331.htm" TargetMode="External"/><Relationship Id="rId23" Type="http://schemas.openxmlformats.org/officeDocument/2006/relationships/hyperlink" Target="http://www.sec.gov/ix?doc=/Archives/edgar/data/0001861795/000119312524008562/d683059d8k.htm" TargetMode="External"/><Relationship Id="rId24" Type="http://schemas.openxmlformats.org/officeDocument/2006/relationships/hyperlink" Target="http://www.sec.gov/ix?doc=/Archives/edgar/data/0001861795/000095017024064571/dh-20240520.htm" TargetMode="External"/><Relationship Id="rId25" Type="http://schemas.openxmlformats.org/officeDocument/2006/relationships/hyperlink" Target="http://www.sec.gov/Archives/edgar/data/1861795/000119312521273352/d208467d8a12b.htm" TargetMode="External"/><Relationship Id="rId26" Type="http://schemas.openxmlformats.org/officeDocument/2006/relationships/hyperlink" Target="http://www.sec.gov/Archives/edgar/data/1861795/000095017022003770/dh-ex4_1.htm" TargetMode="External"/><Relationship Id="rId28" Type="http://schemas.openxmlformats.org/officeDocument/2006/relationships/hyperlink" Target="http://www.sec.gov/Archives/edgar/data/1861795/000095017021003484/dh-ex3_1.htm" TargetMode="External"/><Relationship Id="rId29" Type="http://schemas.openxmlformats.org/officeDocument/2006/relationships/hyperlink" Target="http://www.sec.gov/Archives/edgar/data/1861795/000095017021003484/dh-ex3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2024-06-12T15:10:08Z</dcterms:created>
  <dcterms:modified xsi:type="dcterms:W3CDTF">2024-06-12T15:10:08Z</dcterms:modified>
</cp:coreProperties>
</file>