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09/17/2021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800 BOYLSTON STREET, SUITE 3300</w:t>
            </w:r>
          </w:p>
        </w:tc>
        <w:tc>
          <w:tcPr>
            <w:tcW w:w="3900" w:type="dxa"/>
            <w:vAlign w:val="bottom"/>
            <w:tcBorders>
              <w:top w:val="single" w:sz="8" w:color="2C2C2C"/>
            </w:tcBorders>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tcBorders>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gridSpan w:val="4"/>
          </w:tcPr>
          <w:p>
            <w:pPr>
              <w:spacing w:after="0" w:line="134" w:lineRule="exact"/>
              <w:rPr>
                <w:sz w:val="20"/>
                <w:szCs w:val="20"/>
                <w:color w:val="auto"/>
              </w:rPr>
            </w:pPr>
            <w:r>
              <w:rPr>
                <w:rFonts w:ascii="Arial" w:cs="Arial" w:eastAsia="Arial" w:hAnsi="Arial"/>
                <w:sz w:val="13"/>
                <w:szCs w:val="13"/>
                <w:color w:val="auto"/>
              </w:rPr>
              <w:t>Line)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9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1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ind w:left="480"/>
              <w:spacing w:after="0"/>
              <w:rPr>
                <w:sz w:val="20"/>
                <w:szCs w:val="20"/>
                <w:color w:val="auto"/>
              </w:rPr>
            </w:pPr>
            <w:r>
              <w:rPr>
                <w:rFonts w:ascii="Arial" w:cs="Arial" w:eastAsia="Arial" w:hAnsi="Arial"/>
                <w:sz w:val="17"/>
                <w:szCs w:val="17"/>
                <w:color w:val="0000FF"/>
                <w:w w:val="98"/>
              </w:rPr>
              <w:t>09/17/2021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22"/>
                <w:szCs w:val="22"/>
                <w:color w:val="auto"/>
              </w:rPr>
            </w:pPr>
          </w:p>
        </w:tc>
        <w:tc>
          <w:tcPr>
            <w:tcW w:w="1000" w:type="dxa"/>
            <w:vAlign w:val="bottom"/>
            <w:vMerge w:val="restart"/>
          </w:tcPr>
          <w:p>
            <w:pPr>
              <w:ind w:left="80"/>
              <w:spacing w:after="0"/>
              <w:rPr>
                <w:sz w:val="20"/>
                <w:szCs w:val="20"/>
                <w:color w:val="auto"/>
              </w:rPr>
            </w:pPr>
            <w:r>
              <w:rPr>
                <w:rFonts w:ascii="Arial" w:cs="Arial" w:eastAsia="Arial" w:hAnsi="Arial"/>
                <w:sz w:val="17"/>
                <w:szCs w:val="17"/>
                <w:color w:val="0000FF"/>
                <w:w w:val="96"/>
              </w:rPr>
              <w:t>1,497,033</w:t>
            </w:r>
            <w:r>
              <w:rPr>
                <w:rFonts w:ascii="Arial" w:cs="Arial" w:eastAsia="Arial" w:hAnsi="Arial"/>
                <w:sz w:val="22"/>
                <w:szCs w:val="22"/>
                <w:color w:val="008000"/>
                <w:w w:val="96"/>
                <w:vertAlign w:val="superscript"/>
              </w:rPr>
              <w:t>(1)</w:t>
            </w:r>
          </w:p>
        </w:tc>
        <w:tc>
          <w:tcPr>
            <w:tcW w:w="80" w:type="dxa"/>
            <w:vAlign w:val="bottom"/>
          </w:tcPr>
          <w:p>
            <w:pPr>
              <w:spacing w:after="0"/>
              <w:rPr>
                <w:sz w:val="22"/>
                <w:szCs w:val="22"/>
                <w:color w:val="auto"/>
              </w:rPr>
            </w:pPr>
          </w:p>
        </w:tc>
        <w:tc>
          <w:tcPr>
            <w:tcW w:w="38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25.3125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9"/>
              </w:rPr>
              <w:t>64,596,549</w:t>
            </w:r>
            <w:r>
              <w:rPr>
                <w:rFonts w:ascii="Arial" w:cs="Arial" w:eastAsia="Arial" w:hAnsi="Arial"/>
                <w:sz w:val="22"/>
                <w:szCs w:val="22"/>
                <w:color w:val="008000"/>
                <w:w w:val="89"/>
                <w:vertAlign w:val="superscript"/>
              </w:rPr>
              <w:t>(2)</w:t>
            </w:r>
          </w:p>
        </w:tc>
        <w:tc>
          <w:tcPr>
            <w:tcW w:w="34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80" w:type="dxa"/>
            <w:vAlign w:val="bottom"/>
            <w:gridSpan w:val="21"/>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7"/>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2"/>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Advent International GPE IX Limited</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Advent International GPE IX-B Limited</w:t>
        </w:r>
      </w:hyperlink>
    </w:p>
    <w:p>
      <w:pPr>
        <w:spacing w:after="0" w:line="10" w:lineRule="exact"/>
        <w:rPr>
          <w:sz w:val="20"/>
          <w:szCs w:val="20"/>
          <w:color w:val="auto"/>
        </w:r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Partnership</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Advent International GPE IX-C Limited</w:t>
        </w:r>
      </w:hyperlink>
    </w:p>
    <w:p>
      <w:pPr>
        <w:ind w:left="4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Advent International GPE IX-F Limited</w:t>
        </w:r>
      </w:hyperlink>
    </w:p>
    <w:p>
      <w:pPr>
        <w:ind w:left="4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Advent International GPE IX-G Limited</w:t>
        </w:r>
      </w:hyperlink>
    </w:p>
    <w:p>
      <w:pPr>
        <w:ind w:left="4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Advent International GPE IX-H Limited</w:t>
        </w:r>
      </w:hyperlink>
    </w:p>
    <w:p>
      <w:pPr>
        <w:ind w:left="4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Advent International GPE IX-I Limited</w:t>
        </w:r>
      </w:hyperlink>
    </w:p>
    <w:p>
      <w:pPr>
        <w:ind w:left="4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ectPr>
          <w:pgSz w:w="11900" w:h="16838" w:orient="portrait"/>
          <w:cols w:equalWidth="0" w:num="1">
            <w:col w:w="9919"/>
          </w:cols>
          <w:pgMar w:left="540" w:top="179" w:right="1440" w:bottom="0" w:gutter="0" w:footer="0" w:header="0"/>
        </w:sect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19"/>
          </w:cols>
          <w:pgMar w:left="540" w:top="179" w:right="1440" w:bottom="0" w:gutter="0" w:footer="0" w:header="0"/>
          <w:type w:val="continuous"/>
        </w:sectPr>
      </w:pPr>
    </w:p>
    <w:bookmarkStart w:id="2" w:name="page3"/>
    <w:bookmarkEnd w:id="2"/>
    <w:tbl>
      <w:tblPr>
        <w:tblLayout w:type="fixed"/>
        <w:tblInd w:w="80" w:type="dxa"/>
        <w:tblCellMar>
          <w:top w:w="0" w:type="dxa"/>
          <w:left w:w="0" w:type="dxa"/>
          <w:bottom w:w="0" w:type="dxa"/>
          <w:right w:w="0" w:type="dxa"/>
        </w:tblCellMar>
      </w:tblPr>
      <w:tr>
        <w:trPr>
          <w:trHeight w:val="220"/>
        </w:trPr>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-439420</wp:posOffset>
            </wp:positionV>
            <wp:extent cx="2809240" cy="520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1 of 4: This Form 4 is the first of four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CORPORATION,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Crawford, Name: Neil</w:t>
      </w:r>
      <w:r>
        <w:rPr>
          <w:sz w:val="20"/>
          <w:szCs w:val="20"/>
          <w:color w:val="auto"/>
        </w:rPr>
        <w:tab/>
      </w: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Crawford,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13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81"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431,167 shares sold by Advent International GPE IX Limited Partnership (“GPE-IX LP”), (ii) 85,438 shares sold by Advent International GPE IX-B Limited Partnership (“GPE IX-B LP”), (iii) 35,469 shares sold by Advent International GPE IX-C Limited Partnership (“GPE IX-C LP”), (iv) 37,213 shares sold by Advent International GPE IX-F Limited Partnership (“GPE IX-F LP”), (v) 122,449 shares sold by Advent International GPE IX-G Limited Partnership (“GPE IX-G LP”), (vi) 138,055 shares sold by Advent International GPE IX-H Limited Partnership (“GPE IX-H LP”), (vii) 78,198 shares sold by Advent International GPE IX-I Limited Partnership (“GPE IX-I LP”), (viii) 126,788 shares sold by Advent International GPE IX-A SCSP (“GPE IX-A SCSP”), (ix) 26,987 shares sold by Advent International GPE IX-D SCSP (“GPE IX-D SCSP”), (x) 54,844 shares sold by Advent International GPE IX-E SCSP (“GPE IX-E SCSP”), (xi) 2,478 shares sold Advent International GPE IX Strategic Investors SCSP (“GPE IX Strategic Investors SCSP”), (xii) 1,415 shares sold by Advent Partners GPE IX Limited Partnership (“AP GPE IX LP”), (xiii) 3,272 shares sold by Advent Partners GPE IX-A Limited Partnership (“AP GPE IX-A LP”), (xiv) 8,165 shares sold by Advent Partners GPE IX Cayman Limited Partnership (“AP GPE IX Cayman LP”), (xv) 1,377 shares sold by Advent Partners GPE IX-A Cayman Limited Partnership (“AP GPE IX-A Cayman LP”), (xvi) 22,849 shares sold by Advent Partners GPE IX-B Cayman Limited Partnership (“AP GPE IX-B Cayman LP”), (xvii) 97,109 shares sold by Advent Global Technology Limited Partnership (“Global Technology LP”), (xviii) 75,573 shares sold by Advent Global Technology-B Limited Partnership (“Global Technology-B LP”), (xix) 40,918 shares sold by Advent Global Technology-C Limited Partnership (“Global Technology-C LP”), (xx) 48,987 shares sold by Advent Global Technology-D Limited Partnership (“Global Technology-D LP”), (xxi) 47,936 by Advent Global Technology-A SCSP (“Global Technology-A SCSP”), (xxii) 153 shares sold by Advent Partners AGT Limited Partnership (“AGT LP”), (xxiii) 696 shares sold by Advent Partners AGT-A Limited Partnership (“AGT-A LP”), (xxiv) 8,720 shares sold by Advent Partners AGT Cayman Limited Partnership (“AGT Cayman LP”) and (xxv) 777 shares sold by Advent Global Technology Strategic Investors Limited Partnership (“AGT Strategic Investors LP”). This transaction was approved by the board of directors of the Issuer for purposes of Rule 16b-3 of the Securities Exchange Act of 1934, as amended.</w:t>
      </w:r>
    </w:p>
    <w:p>
      <w:pPr>
        <w:spacing w:after="0" w:line="197" w:lineRule="exact"/>
        <w:rPr>
          <w:rFonts w:ascii="Arial" w:cs="Arial" w:eastAsia="Arial" w:hAnsi="Arial"/>
          <w:sz w:val="16"/>
          <w:szCs w:val="16"/>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64,596,549 shares of Class A common stock of the Issuer, which are represented as follows: (i) 17,526,053 shares are held directly by GPE-IX LP, (ii) 3,472,864 shares are held directly GPE IX-B LP, (iii) 1,441,699 shares are held directly by GPE IX-C LP, (iv) 1,512,622 shares are held directly by GPE IX-F LP, (v) 4,977,255 shares are held directly by GPE IX-G LP, (vi) 5,611,595 shares are held directly by GPE IX-H LP, (vii) 3,178,527 shares are held directly by GPE IX-I LP, (viii) 5,153,621 shares are held directly by GPE IX-A SCSP, (ix) 1,096,951 shares are held directly by GPE IX-D SCSP, (x) 2,229,295 shares are held directly by GPE IX-E SCSP, (xi) 100,705 shares are held directly by GPE IX Strategic Investors SCSP, (xii) 57,514 shares are held directly by AP GPE IX LP, (xiii) 132,999 shares are held directly by AP GPE IX-A LP, (xiv) 331,874 shares are held directly by AP GPE IX Cayman LP, (xv) 55,942 shares are held directly by AP GPE IX-A Cayman LP, (xvi) 928,741 shares are held directly by AP GPE IX-B Cayman LP,</w:t>
      </w:r>
    </w:p>
    <w:p>
      <w:pPr>
        <w:spacing w:after="0" w:line="5" w:lineRule="exact"/>
        <w:rPr>
          <w:rFonts w:ascii="Arial" w:cs="Arial" w:eastAsia="Arial" w:hAnsi="Arial"/>
          <w:sz w:val="16"/>
          <w:szCs w:val="16"/>
          <w:color w:val="auto"/>
        </w:rPr>
      </w:pPr>
    </w:p>
    <w:p>
      <w:pPr>
        <w:ind w:left="320" w:right="160" w:firstLine="51"/>
        <w:spacing w:after="0" w:line="278" w:lineRule="auto"/>
        <w:tabs>
          <w:tab w:leader="none" w:pos="803" w:val="left"/>
        </w:tabs>
        <w:numPr>
          <w:ilvl w:val="1"/>
          <w:numId w:val="4"/>
        </w:numPr>
        <w:rPr>
          <w:rFonts w:ascii="Arial" w:cs="Arial" w:eastAsia="Arial" w:hAnsi="Arial"/>
          <w:sz w:val="16"/>
          <w:szCs w:val="16"/>
          <w:color w:val="auto"/>
        </w:rPr>
      </w:pPr>
      <w:r>
        <w:rPr>
          <w:rFonts w:ascii="Arial" w:cs="Arial" w:eastAsia="Arial" w:hAnsi="Arial"/>
          <w:sz w:val="16"/>
          <w:szCs w:val="16"/>
          <w:color w:val="auto"/>
        </w:rPr>
        <w:t>3,947,269 shares are held directly by Global Technology LP, (xviii) 3,071,881 shares are held directly by Global Technology-B LP, (xix) 1,663,214 shares are held directly by Global Technology-C LP, (xx) 1,991,209 shares are held directly by Global Technology-D LP, (xxi) 1,948,500 shares are held directly by Global Technology-A SCSP, (xxii) 6,192 shares are held directly by AGT LP, (xxiii) 28,294 shares are held directly by AGT-A LP, (xxiv) 354,438 shares are held directly by AGT Cayman LP, (xxv) 31,570 shares are held directly by AGT Strategic Investors LP and</w:t>
      </w:r>
    </w:p>
    <w:p>
      <w:pPr>
        <w:ind w:left="800" w:hanging="47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4" w:name="page5"/>
    <w:bookmarkEnd w:id="4"/>
    <w:p>
      <w:pPr>
        <w:ind w:left="313" w:hanging="313"/>
        <w:spacing w:after="0" w:line="281" w:lineRule="auto"/>
        <w:tabs>
          <w:tab w:leader="none" w:pos="313" w:val="left"/>
        </w:tabs>
        <w:numPr>
          <w:ilvl w:val="0"/>
          <w:numId w:val="6"/>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right="20" w:hanging="313"/>
        <w:spacing w:after="0" w:line="257"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73"/>
          </w:cols>
          <w:pgMar w:left="467" w:top="127"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2"/>
              </w:rPr>
              <w:t>Advent International GPE IX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64"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IX-A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6"/>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IX-D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IX-E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 Strategic Investors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STRATEGIC INVESTORS SCSP</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GPE IX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5"/>
              </w:rPr>
              <w:t>Advent Partners GPE IX-A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3780" w:type="dxa"/>
            <w:vAlign w:val="bottom"/>
          </w:tcPr>
          <w:p>
            <w:pPr>
              <w:spacing w:after="0"/>
              <w:rPr>
                <w:sz w:val="18"/>
                <w:szCs w:val="18"/>
                <w:color w:val="auto"/>
              </w:rPr>
            </w:pP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GPE IX GP S.à.r.l.</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4920" w:type="dxa"/>
            <w:vAlign w:val="bottom"/>
          </w:tcPr>
          <w:p>
            <w:pPr>
              <w:spacing w:after="0"/>
              <w:rPr>
                <w:sz w:val="18"/>
                <w:szCs w:val="18"/>
                <w:color w:val="auto"/>
              </w:rPr>
            </w:pPr>
          </w:p>
        </w:tc>
      </w:tr>
      <w:tr>
        <w:trPr>
          <w:trHeight w:val="232"/>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96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4920" w:type="dxa"/>
            <w:vAlign w:val="bottom"/>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960" w:type="dxa"/>
            <w:vAlign w:val="bottom"/>
            <w:gridSpan w:val="2"/>
          </w:tcPr>
          <w:p>
            <w:pPr>
              <w:spacing w:after="0"/>
              <w:rPr>
                <w:sz w:val="20"/>
                <w:szCs w:val="20"/>
                <w:color w:val="auto"/>
              </w:rPr>
            </w:pPr>
            <w:r>
              <w:rPr>
                <w:rFonts w:ascii="Arial" w:cs="Arial" w:eastAsia="Arial" w:hAnsi="Arial"/>
                <w:sz w:val="18"/>
                <w:szCs w:val="18"/>
                <w:color w:val="auto"/>
              </w:rPr>
              <w:t>By: /s/ Neil Crawford</w:t>
            </w:r>
          </w:p>
        </w:tc>
        <w:tc>
          <w:tcPr>
            <w:tcW w:w="4920" w:type="dxa"/>
            <w:vAlign w:val="bottom"/>
          </w:tcPr>
          <w:p>
            <w:pPr>
              <w:spacing w:after="0"/>
              <w:rPr>
                <w:sz w:val="24"/>
                <w:szCs w:val="24"/>
                <w:color w:val="auto"/>
              </w:rPr>
            </w:pPr>
          </w:p>
        </w:tc>
      </w:tr>
      <w:tr>
        <w:trPr>
          <w:trHeight w:val="201"/>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Neil Crawford</w:t>
            </w:r>
          </w:p>
        </w:tc>
        <w:tc>
          <w:tcPr>
            <w:tcW w:w="5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49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AP GPE IX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GPE IX, LLC</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5"/>
              </w:rPr>
              <w:t>Advent Global Technology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Technology-B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Technology-C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Technology-D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Global Technology-A SCSP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ADVENT GLOBAL TECHNOLOGY-A SCSP</w:t>
            </w:r>
          </w:p>
        </w:tc>
        <w:tc>
          <w:tcPr>
            <w:tcW w:w="4920" w:type="dxa"/>
            <w:vAlign w:val="bottom"/>
          </w:tcPr>
          <w:p>
            <w:pPr>
              <w:spacing w:after="0"/>
              <w:rPr>
                <w:sz w:val="18"/>
                <w:szCs w:val="18"/>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4920" w:type="dxa"/>
            <w:vAlign w:val="bottom"/>
          </w:tcPr>
          <w:p>
            <w:pPr>
              <w:spacing w:after="0"/>
              <w:rPr>
                <w:sz w:val="18"/>
                <w:szCs w:val="18"/>
                <w:color w:val="auto"/>
              </w:rPr>
            </w:pPr>
          </w:p>
        </w:tc>
      </w:tr>
      <w:tr>
        <w:trPr>
          <w:trHeight w:val="232"/>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Global Technology LLC, its General Partner</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96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4920" w:type="dxa"/>
            <w:vAlign w:val="bottom"/>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960" w:type="dxa"/>
            <w:vAlign w:val="bottom"/>
            <w:gridSpan w:val="2"/>
          </w:tcPr>
          <w:p>
            <w:pPr>
              <w:spacing w:after="0"/>
              <w:rPr>
                <w:sz w:val="20"/>
                <w:szCs w:val="20"/>
                <w:color w:val="auto"/>
              </w:rPr>
            </w:pPr>
            <w:r>
              <w:rPr>
                <w:rFonts w:ascii="Arial" w:cs="Arial" w:eastAsia="Arial" w:hAnsi="Arial"/>
                <w:sz w:val="18"/>
                <w:szCs w:val="18"/>
                <w:color w:val="auto"/>
              </w:rPr>
              <w:t>By: /s/ Neil Crawford</w:t>
            </w:r>
          </w:p>
        </w:tc>
        <w:tc>
          <w:tcPr>
            <w:tcW w:w="4920" w:type="dxa"/>
            <w:vAlign w:val="bottom"/>
          </w:tcPr>
          <w:p>
            <w:pPr>
              <w:spacing w:after="0"/>
              <w:rPr>
                <w:sz w:val="24"/>
                <w:szCs w:val="24"/>
                <w:color w:val="auto"/>
              </w:rPr>
            </w:pPr>
          </w:p>
        </w:tc>
      </w:tr>
      <w:tr>
        <w:trPr>
          <w:trHeight w:val="201"/>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Neil Crawford</w:t>
            </w:r>
          </w:p>
        </w:tc>
        <w:tc>
          <w:tcPr>
            <w:tcW w:w="5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49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AGT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PARTNERS AGT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AP AGT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AGT-A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1879"/>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Global Technology GP S.à.r.l.</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9"/>
              </w:rPr>
              <w:t>By: Advent Global Technology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AP AGT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Roman"/>
      <w:start w:val="17"/>
    </w:lvl>
    <w:lvl w:ilvl="2">
      <w:lvlJc w:val="left"/>
      <w:lvlText w:val="%3"/>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Roman"/>
      <w:start w:val="26"/>
    </w:lvl>
    <w:lvl w:ilvl="2">
      <w:lvlJc w:val="left"/>
      <w:lvlText w:val="%3"/>
      <w:numFmt w:val="lowerRoman"/>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861795" TargetMode="External"/><Relationship Id="rId15" Type="http://schemas.openxmlformats.org/officeDocument/2006/relationships/hyperlink" Target="http://www.sec.gov/cgi-bin/browse-edgar?action=getcompany&amp;CIK=0001774610" TargetMode="External"/><Relationship Id="rId16" Type="http://schemas.openxmlformats.org/officeDocument/2006/relationships/hyperlink" Target="http://www.sec.gov/cgi-bin/browse-edgar?action=getcompany&amp;CIK=0001774614" TargetMode="External"/><Relationship Id="rId18" Type="http://schemas.openxmlformats.org/officeDocument/2006/relationships/hyperlink" Target="http://www.sec.gov/cgi-bin/browse-edgar?action=getcompany&amp;CIK=0001774608" TargetMode="External"/><Relationship Id="rId19" Type="http://schemas.openxmlformats.org/officeDocument/2006/relationships/hyperlink" Target="http://www.sec.gov/cgi-bin/browse-edgar?action=getcompany&amp;CIK=0001774607" TargetMode="External"/><Relationship Id="rId20" Type="http://schemas.openxmlformats.org/officeDocument/2006/relationships/hyperlink" Target="http://www.sec.gov/cgi-bin/browse-edgar?action=getcompany&amp;CIK=0001774606" TargetMode="External"/><Relationship Id="rId21" Type="http://schemas.openxmlformats.org/officeDocument/2006/relationships/hyperlink" Target="http://www.sec.gov/cgi-bin/browse-edgar?action=getcompany&amp;CIK=0001774605" TargetMode="External"/><Relationship Id="rId22" Type="http://schemas.openxmlformats.org/officeDocument/2006/relationships/hyperlink" Target="http://www.sec.gov/cgi-bin/browse-edgar?action=getcompany&amp;CIK=00017746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2021-09-21T19:11:48Z</dcterms:created>
  <dcterms:modified xsi:type="dcterms:W3CDTF">2021-09-21T19:11:48Z</dcterms:modified>
</cp:coreProperties>
</file>