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February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9"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8" w:lineRule="exact"/>
        <w:rPr>
          <w:sz w:val="24"/>
          <w:szCs w:val="24"/>
          <w:color w:val="auto"/>
        </w:rPr>
      </w:pPr>
    </w:p>
    <w:tbl>
      <w:tblPr>
        <w:tblLayout w:type="fixed"/>
        <w:tblInd w:w="2324"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5560" w:type="dxa"/>
            <w:vAlign w:val="bottom"/>
          </w:tcPr>
          <w:p>
            <w:pPr>
              <w:jc w:val="center"/>
              <w:ind w:right="1137"/>
              <w:spacing w:after="0"/>
              <w:rPr>
                <w:sz w:val="20"/>
                <w:szCs w:val="20"/>
                <w:color w:val="auto"/>
              </w:rPr>
            </w:pPr>
            <w:r>
              <w:rPr>
                <w:rFonts w:ascii="Arial" w:cs="Arial" w:eastAsia="Arial" w:hAnsi="Arial"/>
                <w:sz w:val="18"/>
                <w:szCs w:val="18"/>
                <w:b w:val="1"/>
                <w:bCs w:val="1"/>
                <w:color w:val="auto"/>
                <w:w w:val="90"/>
              </w:rPr>
              <w:t>Commission file number 1-40815</w:t>
            </w:r>
          </w:p>
        </w:tc>
      </w:tr>
      <w:tr>
        <w:trPr>
          <w:trHeight w:val="342"/>
        </w:trPr>
        <w:tc>
          <w:tcPr>
            <w:tcW w:w="1020" w:type="dxa"/>
            <w:vAlign w:val="bottom"/>
          </w:tcPr>
          <w:p>
            <w:pPr>
              <w:jc w:val="center"/>
              <w:ind w:right="22"/>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left="4357"/>
              <w:spacing w:after="0"/>
              <w:rPr>
                <w:sz w:val="20"/>
                <w:szCs w:val="20"/>
                <w:color w:val="auto"/>
              </w:rPr>
            </w:pPr>
            <w:r>
              <w:rPr>
                <w:rFonts w:ascii="Arial" w:cs="Arial" w:eastAsia="Arial" w:hAnsi="Arial"/>
                <w:sz w:val="18"/>
                <w:szCs w:val="18"/>
                <w:b w:val="1"/>
                <w:bCs w:val="1"/>
                <w:color w:val="auto"/>
                <w:w w:val="91"/>
              </w:rPr>
              <w:t>86-3988281</w:t>
            </w:r>
          </w:p>
        </w:tc>
      </w:tr>
      <w:tr>
        <w:trPr>
          <w:trHeight w:val="149"/>
        </w:trPr>
        <w:tc>
          <w:tcPr>
            <w:tcW w:w="10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(State of</w:t>
            </w:r>
          </w:p>
        </w:tc>
        <w:tc>
          <w:tcPr>
            <w:tcW w:w="5560" w:type="dxa"/>
            <w:vAlign w:val="bottom"/>
          </w:tcPr>
          <w:p>
            <w:pPr>
              <w:jc w:val="center"/>
              <w:ind w:left="435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1020" w:type="dxa"/>
            <w:vAlign w:val="bottom"/>
          </w:tcPr>
          <w:p>
            <w:pPr>
              <w:jc w:val="center"/>
              <w:ind w:right="42"/>
              <w:spacing w:after="0"/>
              <w:rPr>
                <w:sz w:val="20"/>
                <w:szCs w:val="20"/>
                <w:color w:val="auto"/>
              </w:rPr>
            </w:pPr>
            <w:r>
              <w:rPr>
                <w:rFonts w:ascii="Arial" w:cs="Arial" w:eastAsia="Arial" w:hAnsi="Arial"/>
                <w:sz w:val="14"/>
                <w:szCs w:val="14"/>
                <w:b w:val="1"/>
                <w:bCs w:val="1"/>
                <w:color w:val="auto"/>
                <w:w w:val="94"/>
              </w:rPr>
              <w:t>incorporation)</w:t>
            </w:r>
          </w:p>
        </w:tc>
        <w:tc>
          <w:tcPr>
            <w:tcW w:w="5560" w:type="dxa"/>
            <w:vAlign w:val="bottom"/>
          </w:tcPr>
          <w:p>
            <w:pPr>
              <w:jc w:val="center"/>
              <w:ind w:left="4357"/>
              <w:spacing w:after="0"/>
              <w:rPr>
                <w:sz w:val="20"/>
                <w:szCs w:val="20"/>
                <w:color w:val="auto"/>
              </w:rPr>
            </w:pPr>
            <w:r>
              <w:rPr>
                <w:rFonts w:ascii="Arial" w:cs="Arial" w:eastAsia="Arial" w:hAnsi="Arial"/>
                <w:sz w:val="14"/>
                <w:szCs w:val="14"/>
                <w:b w:val="1"/>
                <w:bCs w:val="1"/>
                <w:color w:val="auto"/>
                <w:w w:val="94"/>
              </w:rPr>
              <w:t>Identification No.)</w:t>
            </w:r>
          </w:p>
        </w:tc>
      </w:tr>
      <w:tr>
        <w:trPr>
          <w:trHeight w:val="345"/>
        </w:trPr>
        <w:tc>
          <w:tcPr>
            <w:tcW w:w="1020" w:type="dxa"/>
            <w:vAlign w:val="bottom"/>
          </w:tcPr>
          <w:p>
            <w:pPr>
              <w:spacing w:after="0"/>
              <w:rPr>
                <w:sz w:val="24"/>
                <w:szCs w:val="24"/>
                <w:color w:val="auto"/>
              </w:rPr>
            </w:pPr>
          </w:p>
        </w:tc>
        <w:tc>
          <w:tcPr>
            <w:tcW w:w="5560" w:type="dxa"/>
            <w:vAlign w:val="bottom"/>
          </w:tcPr>
          <w:p>
            <w:pPr>
              <w:jc w:val="center"/>
              <w:ind w:right="1157"/>
              <w:spacing w:after="0"/>
              <w:rPr>
                <w:sz w:val="20"/>
                <w:szCs w:val="20"/>
                <w:color w:val="auto"/>
              </w:rPr>
            </w:pPr>
            <w:r>
              <w:rPr>
                <w:rFonts w:ascii="Arial" w:cs="Arial" w:eastAsia="Arial" w:hAnsi="Arial"/>
                <w:sz w:val="18"/>
                <w:szCs w:val="18"/>
                <w:b w:val="1"/>
                <w:bCs w:val="1"/>
                <w:color w:val="auto"/>
                <w:w w:val="91"/>
              </w:rPr>
              <w:t>550 Cochituate Rd</w:t>
            </w:r>
          </w:p>
        </w:tc>
      </w:tr>
      <w:tr>
        <w:trPr>
          <w:trHeight w:val="212"/>
        </w:trPr>
        <w:tc>
          <w:tcPr>
            <w:tcW w:w="1020" w:type="dxa"/>
            <w:vAlign w:val="bottom"/>
          </w:tcPr>
          <w:p>
            <w:pPr>
              <w:spacing w:after="0"/>
              <w:rPr>
                <w:sz w:val="18"/>
                <w:szCs w:val="18"/>
                <w:color w:val="auto"/>
              </w:rPr>
            </w:pPr>
          </w:p>
        </w:tc>
        <w:tc>
          <w:tcPr>
            <w:tcW w:w="5560" w:type="dxa"/>
            <w:vAlign w:val="bottom"/>
          </w:tcPr>
          <w:p>
            <w:pPr>
              <w:jc w:val="center"/>
              <w:ind w:right="1137"/>
              <w:spacing w:after="0"/>
              <w:rPr>
                <w:sz w:val="20"/>
                <w:szCs w:val="20"/>
                <w:color w:val="auto"/>
              </w:rPr>
            </w:pPr>
            <w:r>
              <w:rPr>
                <w:rFonts w:ascii="Arial" w:cs="Arial" w:eastAsia="Arial" w:hAnsi="Arial"/>
                <w:sz w:val="18"/>
                <w:szCs w:val="18"/>
                <w:b w:val="1"/>
                <w:bCs w:val="1"/>
                <w:color w:val="auto"/>
                <w:w w:val="94"/>
              </w:rPr>
              <w:t>Framingham, MA 01701</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7"/>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318"/>
        </w:trPr>
        <w:tc>
          <w:tcPr>
            <w:tcW w:w="1020" w:type="dxa"/>
            <w:vAlign w:val="bottom"/>
          </w:tcPr>
          <w:p>
            <w:pPr>
              <w:spacing w:after="0"/>
              <w:rPr>
                <w:sz w:val="24"/>
                <w:szCs w:val="24"/>
                <w:color w:val="auto"/>
              </w:rPr>
            </w:pPr>
          </w:p>
        </w:tc>
        <w:tc>
          <w:tcPr>
            <w:tcW w:w="5560" w:type="dxa"/>
            <w:vAlign w:val="bottom"/>
          </w:tcPr>
          <w:p>
            <w:pPr>
              <w:jc w:val="center"/>
              <w:ind w:right="1157"/>
              <w:spacing w:after="0"/>
              <w:rPr>
                <w:sz w:val="20"/>
                <w:szCs w:val="20"/>
                <w:color w:val="auto"/>
              </w:rPr>
            </w:pPr>
            <w:r>
              <w:rPr>
                <w:rFonts w:ascii="Arial" w:cs="Arial" w:eastAsia="Arial" w:hAnsi="Arial"/>
                <w:sz w:val="18"/>
                <w:szCs w:val="18"/>
                <w:b w:val="1"/>
                <w:bCs w:val="1"/>
                <w:color w:val="auto"/>
                <w:w w:val="90"/>
              </w:rPr>
              <w:t>(508) 720-4224</w:t>
            </w:r>
          </w:p>
        </w:tc>
      </w:tr>
      <w:tr>
        <w:trPr>
          <w:trHeight w:val="234"/>
        </w:trPr>
        <w:tc>
          <w:tcPr>
            <w:tcW w:w="1020" w:type="dxa"/>
            <w:vAlign w:val="bottom"/>
          </w:tcPr>
          <w:p>
            <w:pPr>
              <w:spacing w:after="0"/>
              <w:rPr>
                <w:sz w:val="20"/>
                <w:szCs w:val="20"/>
                <w:color w:val="auto"/>
              </w:rPr>
            </w:pPr>
          </w:p>
        </w:tc>
        <w:tc>
          <w:tcPr>
            <w:tcW w:w="5560" w:type="dxa"/>
            <w:vAlign w:val="bottom"/>
          </w:tcPr>
          <w:p>
            <w:pPr>
              <w:jc w:val="center"/>
              <w:ind w:right="1137"/>
              <w:spacing w:after="0"/>
              <w:rPr>
                <w:sz w:val="20"/>
                <w:szCs w:val="20"/>
                <w:color w:val="auto"/>
              </w:rPr>
            </w:pPr>
            <w:r>
              <w:rPr>
                <w:rFonts w:ascii="Arial" w:cs="Arial" w:eastAsia="Arial" w:hAnsi="Arial"/>
                <w:sz w:val="18"/>
                <w:szCs w:val="18"/>
                <w:b w:val="1"/>
                <w:bCs w:val="1"/>
                <w:color w:val="auto"/>
                <w:w w:val="88"/>
              </w:rPr>
              <w:t>Registrant’s telephone number, including area code</w:t>
            </w:r>
          </w:p>
        </w:tc>
      </w:tr>
      <w:tr>
        <w:trPr>
          <w:trHeight w:val="342"/>
        </w:trPr>
        <w:tc>
          <w:tcPr>
            <w:tcW w:w="1020" w:type="dxa"/>
            <w:vAlign w:val="bottom"/>
          </w:tcPr>
          <w:p>
            <w:pPr>
              <w:spacing w:after="0"/>
              <w:rPr>
                <w:sz w:val="24"/>
                <w:szCs w:val="24"/>
                <w:color w:val="auto"/>
              </w:rPr>
            </w:pPr>
          </w:p>
        </w:tc>
        <w:tc>
          <w:tcPr>
            <w:tcW w:w="5560" w:type="dxa"/>
            <w:vAlign w:val="bottom"/>
          </w:tcPr>
          <w:p>
            <w:pPr>
              <w:jc w:val="center"/>
              <w:ind w:right="1157"/>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1020" w:type="dxa"/>
            <w:vAlign w:val="bottom"/>
          </w:tcPr>
          <w:p>
            <w:pPr>
              <w:spacing w:after="0"/>
              <w:rPr>
                <w:sz w:val="16"/>
                <w:szCs w:val="16"/>
                <w:color w:val="auto"/>
              </w:rPr>
            </w:pPr>
          </w:p>
        </w:tc>
        <w:tc>
          <w:tcPr>
            <w:tcW w:w="5560" w:type="dxa"/>
            <w:vAlign w:val="bottom"/>
          </w:tcPr>
          <w:p>
            <w:pPr>
              <w:jc w:val="center"/>
              <w:ind w:right="1137"/>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153035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 $0.001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DH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February 23, 2022, Definitive Healthcare Corp. (the “</w:t>
      </w:r>
      <w:r>
        <w:rPr>
          <w:rFonts w:ascii="Arial" w:cs="Arial" w:eastAsia="Arial" w:hAnsi="Arial"/>
          <w:sz w:val="18"/>
          <w:szCs w:val="18"/>
          <w:u w:val="single" w:color="auto"/>
          <w:color w:val="auto"/>
        </w:rPr>
        <w:t>Company</w:t>
      </w:r>
      <w:r>
        <w:rPr>
          <w:rFonts w:ascii="Arial" w:cs="Arial" w:eastAsia="Arial" w:hAnsi="Arial"/>
          <w:sz w:val="18"/>
          <w:szCs w:val="18"/>
          <w:color w:val="auto"/>
        </w:rPr>
        <w:t>”) issued a press release announcing its financial results for the fourth quarter and fiscal year ended December 31, 2021. A copy of the press release is furnished as Exhibit 99.1 to this Current Report on Form 8-K and is incorporated by reference herein.</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furnished in this Item 2.02 on this Current Report on Form 8-K, including the exhibits attached, shall not be deemed “filed” for the purposes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nor shall it be deemed incorporated by reference into any filing under the Securities Act of 1933, as amended, or the Exchange Act, regardless of any general incorporation language in such filing.</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18, 2022, the Company, Definitive Healthcare, LLC (a subsidiary of the Company), Analytical Wizards, Inc. (“</w:t>
      </w:r>
      <w:r>
        <w:rPr>
          <w:rFonts w:ascii="Arial" w:cs="Arial" w:eastAsia="Arial" w:hAnsi="Arial"/>
          <w:sz w:val="16"/>
          <w:szCs w:val="16"/>
          <w:u w:val="single" w:color="auto"/>
          <w:color w:val="auto"/>
        </w:rPr>
        <w:t>AW</w:t>
      </w:r>
      <w:r>
        <w:rPr>
          <w:rFonts w:ascii="Arial" w:cs="Arial" w:eastAsia="Arial" w:hAnsi="Arial"/>
          <w:sz w:val="16"/>
          <w:szCs w:val="16"/>
          <w:color w:val="auto"/>
        </w:rPr>
        <w:t>”), and the stockholders of AW, entered into a Stock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pursuant to which Definitive Healthcare, LLC acquired all of the outstanding equity interests (other than AW stock already held by Definitive Healthcare, LLC) for aggregate consideration of $65,000,000 in cash, subject to certain adjustments for, among other things, AW’s cash, indebtedness and net working capital (the “</w:t>
      </w:r>
      <w:r>
        <w:rPr>
          <w:rFonts w:ascii="Arial" w:cs="Arial" w:eastAsia="Arial" w:hAnsi="Arial"/>
          <w:sz w:val="16"/>
          <w:szCs w:val="16"/>
          <w:u w:val="single" w:color="auto"/>
          <w:color w:val="auto"/>
        </w:rPr>
        <w:t>Acquisition</w:t>
      </w:r>
      <w:r>
        <w:rPr>
          <w:rFonts w:ascii="Arial" w:cs="Arial" w:eastAsia="Arial" w:hAnsi="Arial"/>
          <w:sz w:val="16"/>
          <w:szCs w:val="16"/>
          <w:color w:val="auto"/>
        </w:rPr>
        <w:t>”). The Purchase Agreement provides for additional contingent consideration payable to the stockholders of AW party to the Purchase Agreement of up to $5,000,000 in cash, subject to the meeting of certain expense control metrics during the two-year period following the closing of the Acquisition. The Purchase Agreement contains customary representations, warranties, covenants and indemnification provisions for a transaction of this nature.</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Acquisition follows an investment pursuant to a Series B Preferred Stock Purchase Agreement, dated December 22, 2021, by and between AW and Definitive Healthcare, LLC, pursuant to which Definitive Healthcare, LLC invested $35,000,000 in AW in exchange for shares of Series B Preferred Stock of AW (the “</w:t>
      </w:r>
      <w:r>
        <w:rPr>
          <w:rFonts w:ascii="Arial" w:cs="Arial" w:eastAsia="Arial" w:hAnsi="Arial"/>
          <w:sz w:val="18"/>
          <w:szCs w:val="18"/>
          <w:u w:val="single" w:color="auto"/>
          <w:color w:val="auto"/>
        </w:rPr>
        <w:t>Investment</w:t>
      </w:r>
      <w:r>
        <w:rPr>
          <w:rFonts w:ascii="Arial" w:cs="Arial" w:eastAsia="Arial" w:hAnsi="Arial"/>
          <w:sz w:val="18"/>
          <w:szCs w:val="18"/>
          <w:color w:val="auto"/>
        </w:rPr>
        <w:t>”), which shares represented approximately 35% of the fully-diluted capitalization of AW as of immediately following the Investment. As a result of the Investment and the subsequent Acquisition, Definitive Healthcare, LLC became the owner of 100% of the equity interests of AW.</w:t>
      </w:r>
    </w:p>
    <w:p>
      <w:pPr>
        <w:spacing w:after="0" w:line="3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furnished pursuant to Item 2.02 with this report and shall not be deemed to be “filed.”</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February 23, 2022 (furnished herewith pursuant to Item 2.02).</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DEFINITIVE HEALTHCARE CORP.</w:t>
      </w:r>
    </w:p>
    <w:p>
      <w:pPr>
        <w:spacing w:after="0" w:line="225"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6980"/>
        <w:spacing w:after="0"/>
        <w:tabs>
          <w:tab w:leader="none" w:pos="7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Samuels</w:t>
      </w:r>
    </w:p>
    <w:p>
      <w:pPr>
        <w:spacing w:after="0" w:line="23" w:lineRule="exact"/>
        <w:rPr>
          <w:sz w:val="20"/>
          <w:szCs w:val="20"/>
          <w:color w:val="auto"/>
        </w:rPr>
      </w:pPr>
    </w:p>
    <w:p>
      <w:pPr>
        <w:ind w:left="6960"/>
        <w:spacing w:after="0"/>
        <w:tabs>
          <w:tab w:leader="none" w:pos="7600" w:val="left"/>
        </w:tabs>
        <w:rPr>
          <w:sz w:val="20"/>
          <w:szCs w:val="20"/>
          <w:color w:val="auto"/>
        </w:rPr>
      </w:pPr>
      <w:r>
        <w:rPr>
          <w:rFonts w:ascii="Arial" w:cs="Arial" w:eastAsia="Arial" w:hAnsi="Arial"/>
          <w:sz w:val="18"/>
          <w:szCs w:val="18"/>
          <w:color w:val="auto"/>
        </w:rPr>
        <w:t>Title:</w:t>
        <w:tab/>
        <w:t>Chief Legal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2022</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Definitive Healthcare Reports Financial Results for Fourth Quarter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Full Year Fiscal 2021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revenue grew 38% year-over-year to $46.3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Full year 2021 revenue grew 40% to $166.2 million</w:t>
      </w:r>
    </w:p>
    <w:p>
      <w:pPr>
        <w:spacing w:after="0" w:line="221"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 xml:space="preserve">Framingham, MA (February 23, 2022) – </w:t>
      </w:r>
      <w:r>
        <w:rPr>
          <w:rFonts w:ascii="Arial" w:cs="Arial" w:eastAsia="Arial" w:hAnsi="Arial"/>
          <w:sz w:val="18"/>
          <w:szCs w:val="18"/>
          <w:color w:val="auto"/>
        </w:rPr>
        <w:t>Definitive Healthcare Corp. (“Definitive Healthcare”) (Nasdaq: DH), an industry leader in healthcare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intelligence, today announced financial results for the quarter and full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Financial Highlights:</w:t>
      </w:r>
    </w:p>
    <w:p>
      <w:pPr>
        <w:spacing w:after="0" w:line="131"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$46.3 million, an increase of 38% from $33.7 million in Q4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GAAP Net loss </w:t>
      </w:r>
      <w:r>
        <w:rPr>
          <w:rFonts w:ascii="Arial" w:cs="Arial" w:eastAsia="Arial" w:hAnsi="Arial"/>
          <w:sz w:val="18"/>
          <w:szCs w:val="18"/>
          <w:color w:val="auto"/>
        </w:rPr>
        <w:t>was $(14.8) million, or 32% of revenue, compared to $(15.9) million, or 47% of revenue in Q4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was $6.6 million, compared to $3.4 million in Q4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$13.1 million, or 28% of revenue, compared to $12.8 million, or 38% of revenue in Q4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8"/>
          <w:szCs w:val="18"/>
          <w:color w:val="auto"/>
        </w:rPr>
        <w:t>was $4.2 million in the quarter or 9%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2021 Financial Highlights:</w:t>
      </w:r>
    </w:p>
    <w:p>
      <w:pPr>
        <w:spacing w:after="0" w:line="131" w:lineRule="exact"/>
        <w:rPr>
          <w:sz w:val="20"/>
          <w:szCs w:val="20"/>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$166.2 million for the year, an increase of 40% from $118.3 million for the full year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GAAP Net loss </w:t>
      </w:r>
      <w:r>
        <w:rPr>
          <w:rFonts w:ascii="Arial" w:cs="Arial" w:eastAsia="Arial" w:hAnsi="Arial"/>
          <w:sz w:val="18"/>
          <w:szCs w:val="18"/>
          <w:color w:val="auto"/>
        </w:rPr>
        <w:t>was $(61.3) million, or 37% of revenue, compared to $(51.2) million, or 43% of revenue for the full year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was $13.4 million, compared to $15.4 million for the full year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was $56.0 million, or 34% of revenue, compared to $53.5 million, or 45% of revenue for the full year 2020.</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8"/>
          <w:szCs w:val="18"/>
          <w:color w:val="auto"/>
        </w:rPr>
        <w:t>was $25.2 million for the full year 2021, or 15% of revenue.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Unlevered free cash flow </w:t>
      </w:r>
      <w:r>
        <w:rPr>
          <w:rFonts w:ascii="Arial" w:cs="Arial" w:eastAsia="Arial" w:hAnsi="Arial"/>
          <w:sz w:val="18"/>
          <w:szCs w:val="18"/>
          <w:color w:val="auto"/>
        </w:rPr>
        <w:t>was $55.4 million for the full year 2021, or 33% of revenue.</w:t>
      </w:r>
    </w:p>
    <w:p>
      <w:pPr>
        <w:sectPr>
          <w:pgSz w:w="11900" w:h="16838" w:orient="portrait"/>
          <w:cols w:equalWidth="0" w:num="1">
            <w:col w:w="11020"/>
          </w:cols>
          <w:pgMar w:left="440" w:top="121" w:right="43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“2021 was a transformational year for Definitive Healthcare, and we ended the year with strong financial results that reflect the significant momentum that we have across all parts of our business,” said Jason Krantz, CEO and Founder of Definitive Healthcare. “Our innovation flywheel continues to spin, as we expand our data set and deliver new analytics that address our customers’ most pressing challenges. Whether it’s our new Latitude Reporting product, or our recent acquisition of Analytical Wizards, we continue to deliver the commercial intelligence that our customers need to navigate and sell into the large and complex healthcare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Operating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Wins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fourth quarter, Definitive Healthcare continued to grow its enterprise client base, ending the year with 417 Enterprise customers, defined as those customers with over one hundred thousand dollars in annual recurring revenue. Significant customer wins included:</w:t>
      </w:r>
    </w:p>
    <w:p>
      <w:pPr>
        <w:spacing w:after="0" w:line="76" w:lineRule="exact"/>
        <w:rPr>
          <w:sz w:val="20"/>
          <w:szCs w:val="20"/>
          <w:color w:val="auto"/>
        </w:rPr>
      </w:pPr>
    </w:p>
    <w:p>
      <w:pPr>
        <w:ind w:left="960" w:right="60" w:hanging="424"/>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enterprise deal with one of the world’s largest manufacturers of COVID-19 vaccines. This company recently received U.S. FDA approval for its COVID vaccine, so it needed master data to populate its customer relationship management (“CRM”) and data warehouse as it built out the field sales team that will sell its vaccine directly to hospitals, physician groups, and integrated delivery networks (“IDNs”) across the country.</w:t>
      </w:r>
    </w:p>
    <w:p>
      <w:pPr>
        <w:spacing w:after="0" w:line="92" w:lineRule="exact"/>
        <w:rPr>
          <w:rFonts w:ascii="Arial" w:cs="Arial" w:eastAsia="Arial" w:hAnsi="Arial"/>
          <w:sz w:val="18"/>
          <w:szCs w:val="18"/>
          <w:color w:val="auto"/>
        </w:rPr>
      </w:pPr>
    </w:p>
    <w:p>
      <w:pPr>
        <w:ind w:left="960" w:right="28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multi-year, multi-product enterprise deal with one of the world’s largest genetic testing and gene therapy treatment companies. This company plans to use Definitive Healthcare commercial intelligence to do segmentation, customer profiling, CRM clean-up, salesforce planning and territory alignment.</w:t>
      </w:r>
    </w:p>
    <w:p>
      <w:pPr>
        <w:spacing w:after="0" w:line="89" w:lineRule="exact"/>
        <w:rPr>
          <w:rFonts w:ascii="Arial" w:cs="Arial" w:eastAsia="Arial" w:hAnsi="Arial"/>
          <w:sz w:val="18"/>
          <w:szCs w:val="18"/>
          <w:color w:val="auto"/>
        </w:rPr>
      </w:pPr>
    </w:p>
    <w:p>
      <w:pPr>
        <w:ind w:left="960" w:right="400" w:hanging="424"/>
        <w:spacing w:after="0" w:line="308" w:lineRule="auto"/>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largest deal in the history of the Monocl product line. This multi-year, enterprise deal enables the medical affairs team at a global biopharma company to engage with the right experts across all of its primary and secondary therapy areas.</w:t>
      </w:r>
    </w:p>
    <w:p>
      <w:pPr>
        <w:spacing w:after="0" w:line="51" w:lineRule="exact"/>
        <w:rPr>
          <w:rFonts w:ascii="Arial" w:cs="Arial" w:eastAsia="Arial" w:hAnsi="Arial"/>
          <w:sz w:val="17"/>
          <w:szCs w:val="17"/>
          <w:color w:val="auto"/>
        </w:rPr>
      </w:pPr>
    </w:p>
    <w:p>
      <w:pPr>
        <w:ind w:left="960" w:right="10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multi-year enterprise deal with a multi-state addiction treatment provider. This company plans to use claims data to identify the top physicians who are treating patients with Substance Use Disorder, and then use the affiliations intelligence created by the Definitive ID to identify referral patterns and system leakage.</w:t>
      </w:r>
    </w:p>
    <w:p>
      <w:pPr>
        <w:sectPr>
          <w:pgSz w:w="11900" w:h="16838" w:orient="portrait"/>
          <w:cols w:equalWidth="0" w:num="1">
            <w:col w:w="10980"/>
          </w:cols>
          <w:pgMar w:left="440" w:top="274" w:right="479" w:bottom="1440" w:gutter="0" w:footer="0" w:header="0"/>
        </w:sectPr>
      </w:pPr>
    </w:p>
    <w:bookmarkStart w:id="5" w:name="page6"/>
    <w:bookmarkEnd w:id="5"/>
    <w:p>
      <w:pPr>
        <w:ind w:left="9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multi-year contract with one of the world’s largest manufacturers of HVAC equipment to identify hospitals and other healthcare facilities undergoing major renovations who might need its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Innovation</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fourth quarter of 2021, the company launched Latitude Reporting, a new product that allows users to build in real-time custom patient cohorts targeting specific disease states. With Latitude Reporting, users can quickly perform iterative analysis on real-world data to gain actionable intelligence that accelerates their go-to-market strategy.</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Also in the fourth quarter, the company added Asian expert data to its Monocl ExpertInsight product, giving medical affairs professionals access to more than 11 million worldwide expert profiles.</w:t>
      </w:r>
    </w:p>
    <w:p>
      <w:pPr>
        <w:spacing w:after="0" w:line="17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Finally, the company recently acquired Analytical Wizards, an industry leader in delivering technology-enabled advanced analytics to life science companies. Analytical Wizards is used by six of the top ten global pharmaceutical companies, as ranked by revenue, and four of the top seven global biotech companies, as ranked by market value. With the Analytical Wizards software as a solution (“SaaS”) product line, customers can combine data from multiple sources, including Definitive Healthcare, and then run detailed analytics on-demand to gain new intelligence on product planning, marketing optimization, and product performance. Founded in 2015, Analytical Wizards has more than 100 employees with offices in the US and Bangalore.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Based on information as of February 23, 2022, the Company is issuing the following financial guidance.</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Quarter 2022:</w:t>
      </w:r>
    </w:p>
    <w:p>
      <w:pPr>
        <w:spacing w:after="0" w:line="131"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is expected to be in the range of $47.0 – $49.0 million, a 29% increase year over year.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8"/>
          <w:szCs w:val="18"/>
          <w:color w:val="auto"/>
        </w:rPr>
        <w:t>is expected to be in the range of $10.0 – $12.0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is expected to be in the range of $11.0 – $13.0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expected to be $4.0 – $6.0 million.</w:t>
      </w:r>
    </w:p>
    <w:p>
      <w:pPr>
        <w:spacing w:after="0" w:line="130" w:lineRule="exact"/>
        <w:rPr>
          <w:rFonts w:ascii="Arial" w:cs="Arial" w:eastAsia="Arial" w:hAnsi="Arial"/>
          <w:sz w:val="18"/>
          <w:szCs w:val="18"/>
          <w:color w:val="auto"/>
        </w:rPr>
      </w:pPr>
    </w:p>
    <w:p>
      <w:pPr>
        <w:ind w:left="960" w:right="600" w:hanging="424"/>
        <w:spacing w:after="0" w:line="282"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Per Diluted Share </w:t>
      </w:r>
      <w:r>
        <w:rPr>
          <w:rFonts w:ascii="Arial" w:cs="Arial" w:eastAsia="Arial" w:hAnsi="Arial"/>
          <w:sz w:val="18"/>
          <w:szCs w:val="18"/>
          <w:color w:val="auto"/>
        </w:rPr>
        <w:t>is expected to be $0.02 – $0.04 on approximately 155 million weighted-average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w:t>
      </w:r>
    </w:p>
    <w:p>
      <w:pPr>
        <w:spacing w:after="0" w:line="131"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is expected to be in the range of $218 – $222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Adjusted Operating Income </w:t>
      </w:r>
      <w:r>
        <w:rPr>
          <w:rFonts w:ascii="Arial" w:cs="Arial" w:eastAsia="Arial" w:hAnsi="Arial"/>
          <w:sz w:val="18"/>
          <w:szCs w:val="18"/>
          <w:color w:val="auto"/>
        </w:rPr>
        <w:t>is expected to be in the range of $57 – $63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is expected to be in the range of $61 – $67 million.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Adjusted Net Income </w:t>
      </w:r>
      <w:r>
        <w:rPr>
          <w:rFonts w:ascii="Arial" w:cs="Arial" w:eastAsia="Arial" w:hAnsi="Arial"/>
          <w:sz w:val="18"/>
          <w:szCs w:val="18"/>
          <w:color w:val="auto"/>
        </w:rPr>
        <w:t>is expected to be $35 – $41 million.</w:t>
      </w:r>
    </w:p>
    <w:p>
      <w:pPr>
        <w:spacing w:after="0" w:line="134" w:lineRule="exact"/>
        <w:rPr>
          <w:rFonts w:ascii="Arial" w:cs="Arial" w:eastAsia="Arial" w:hAnsi="Arial"/>
          <w:sz w:val="18"/>
          <w:szCs w:val="18"/>
          <w:color w:val="auto"/>
        </w:rPr>
      </w:pPr>
    </w:p>
    <w:p>
      <w:pPr>
        <w:ind w:left="960" w:right="680" w:hanging="424"/>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Net Income Per Diluted Share is expected to be $0.22– $0.26 on approximately 155.5 million weighted-average shares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Definitive Healthcare will host a conference call today, February 23, 2022, at 5:00 p.m. (Eastern Time) to discuss the Company’s financial results and current business outlook. To access the call, dial (877) 407-3982 (domestic) or (201) 493-6780 (international). The conference ID number is 13726682. Shortly after the conclusion of the call, a replay of this conference call will be available through March 9, 2022 at (844) 512-2921 (domestic) or (412) 317-6671 (international). The replay passcode is 13726682. A live audio webcast of the event will be available on the Definitive Healthcare’s Investor Relations website at https://ir.definitivehc.com/.</w:t>
      </w:r>
    </w:p>
    <w:p>
      <w:pPr>
        <w:sectPr>
          <w:pgSz w:w="11900" w:h="16838" w:orient="portrait"/>
          <w:cols w:equalWidth="0" w:num="1">
            <w:col w:w="10900"/>
          </w:cols>
          <w:pgMar w:left="440" w:top="270" w:right="5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Definitive Healthcare</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At Definitive Healthcare, our passion is to transform data, analytics and expertise into healthcare commercial intelligence. We help clients uncover the right markets, opportunities and people, so they can shape tomorrow’s healthcare industry. Our SaaS platform creates new paths to commercial success in the healthcare market, so companies can identify where to go next.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press release may include forward-looking statements that reflect our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we make regarding our outlook, financial guidance, the market, industry and macroeconomic environment, our business, growth strategies, product development efforts and future expenses, and statements reflecting our expectations about our ability to execute on our strategic plans, achieve future growth and profitability and achieve our financial goals.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Forward-looking statements in this press release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the following: an outbreak of disease, global or localized health pandemic or epidemic, or the fear of such an event (such as the COVID-19 global pandemic), including the global economic uncertainty and measures taken in response; the short- and long-</w:t>
      </w:r>
    </w:p>
    <w:p>
      <w:pPr>
        <w:sectPr>
          <w:pgSz w:w="11900" w:h="16838" w:orient="portrait"/>
          <w:cols w:equalWidth="0" w:num="1">
            <w:col w:w="10980"/>
          </w:cols>
          <w:pgMar w:left="440" w:top="270" w:right="47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 effects of the COVID-19 global pandemic, including the pace of recovery or any future resurgence; our inability to generate substantially all of our revenue and cash flows from sales of subscriptions to our platform and any decline in demand for our platform and the data we offer; the competitiveness of the market in which we operate and our ability to compete effectively; the failure to maintain and improve our platform, or develop new modules or insights for healthcare commercial intelligence; the inability to obtain and maintain accurate, comprehensive or reliable data, which could result in reduced demand for our platform; the risk that our recent growth rates may not be indicative of our future growth; the inability to achieve or sustain profitability in the future compared to historical levels as we increase investments in our business; the loss of our access to our data providers, which could negatively impact our platform; the failure to respond to advances in healthcare commercial intelligence; an inability to attract new customers and expand subscriptions of current customers; the risk of cyber-attacks and security vulnerabilities; and if our security measures are breached or unauthorized access to data is otherwise obtained, our platform may be perceived as not being secure, customers may reduce the use of or stop using our platform, and we may incur significant liabilities.</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For additional discussion of factors that could impact our operational and financial results, refer to our Quarterly Report on Form 10-Q for the three months ended September 30, 2021 and our Annual Report on Form 10-K for the fiscal year ended December 31, 2021 that will be filed following this earnings release, and our subsequent SEC filings, which are or will be available on the Investor Relations page of our website at ir.definitivehc.com and on the SEC website at www.sec.gov.</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Additional factors or events that could cause our actual performance to differ from these forward-looking statements may emerge from time to time, and it is not possible for us to predict all of them. Should one or more of these risks or uncertainties materialize, or should any of our assumptions prove incorrect, our actual financial condition, results of operations, future performance and business may vary in material respects from the performance projected in these forward-looking statements.</w:t>
      </w:r>
    </w:p>
    <w:p>
      <w:pPr>
        <w:spacing w:after="0" w:line="18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Any forward-looking statement made by us speaks only as of the date on which it is made. We undertake no obligation to publicly update any forward-looking statement, whether as a result of new information, future developments or otherwise, except as may be required by law.</w:t>
      </w:r>
    </w:p>
    <w:p>
      <w:pPr>
        <w:sectPr>
          <w:pgSz w:w="11900" w:h="16838" w:orient="portrait"/>
          <w:cols w:equalWidth="0" w:num="1">
            <w:col w:w="11020"/>
          </w:cols>
          <w:pgMar w:left="440" w:top="274"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Website</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i w:val="1"/>
          <w:iCs w:val="1"/>
          <w:color w:val="auto"/>
        </w:rPr>
        <w:t xml:space="preserve">Definitive Healthcare intends to use its website as a distribution channel of material company information. Financial and other important information regarding the Company is routinely posted on and accessible through the Company’s website at </w:t>
      </w:r>
      <w:r>
        <w:rPr>
          <w:rFonts w:ascii="Arial" w:cs="Arial" w:eastAsia="Arial" w:hAnsi="Arial"/>
          <w:sz w:val="16"/>
          <w:szCs w:val="16"/>
          <w:i w:val="1"/>
          <w:iCs w:val="1"/>
          <w:u w:val="single" w:color="auto"/>
          <w:color w:val="auto"/>
        </w:rPr>
        <w:t>https://www.definitivehc.com/</w:t>
      </w:r>
      <w:r>
        <w:rPr>
          <w:rFonts w:ascii="Arial" w:cs="Arial" w:eastAsia="Arial" w:hAnsi="Arial"/>
          <w:sz w:val="16"/>
          <w:szCs w:val="16"/>
          <w:i w:val="1"/>
          <w:iCs w:val="1"/>
          <w:color w:val="auto"/>
        </w:rPr>
        <w:t xml:space="preserve">. Accordingly, you should monitor the investor relations portion of our website at </w:t>
      </w:r>
      <w:r>
        <w:rPr>
          <w:rFonts w:ascii="Arial" w:cs="Arial" w:eastAsia="Arial" w:hAnsi="Arial"/>
          <w:sz w:val="16"/>
          <w:szCs w:val="16"/>
          <w:i w:val="1"/>
          <w:iCs w:val="1"/>
          <w:u w:val="single" w:color="auto"/>
          <w:color w:val="auto"/>
        </w:rPr>
        <w:t>https://ir.definitivehc.com</w:t>
      </w:r>
      <w:r>
        <w:rPr>
          <w:rFonts w:ascii="Arial" w:cs="Arial" w:eastAsia="Arial" w:hAnsi="Arial"/>
          <w:sz w:val="16"/>
          <w:szCs w:val="16"/>
          <w:i w:val="1"/>
          <w:iCs w:val="1"/>
          <w:color w:val="auto"/>
        </w:rPr>
        <w:t xml:space="preserve">/ in addition to following our press releases, SEC filings, and public conference calls and webcasts. In addition, you may automatically receive email alerts and other information about the Company when you enroll your email address by visiting the “Email Alerts” section of our investor relations page at </w:t>
      </w:r>
      <w:r>
        <w:rPr>
          <w:rFonts w:ascii="Arial" w:cs="Arial" w:eastAsia="Arial" w:hAnsi="Arial"/>
          <w:sz w:val="16"/>
          <w:szCs w:val="16"/>
          <w:i w:val="1"/>
          <w:iCs w:val="1"/>
          <w:u w:val="single" w:color="auto"/>
          <w:color w:val="auto"/>
        </w:rPr>
        <w:t>https://ir.definitivehc.com/</w:t>
      </w:r>
      <w:r>
        <w:rPr>
          <w:rFonts w:ascii="Arial" w:cs="Arial" w:eastAsia="Arial" w:hAnsi="Arial"/>
          <w:sz w:val="16"/>
          <w:szCs w:val="16"/>
          <w:i w:val="1"/>
          <w:iCs w:val="1"/>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A Reconciliation of GAAP to Non-GAAP results has been provided in the financial statement tables included at the end of this press release. An explanation of these measures is also included below under the heading “Non-GAAP Financial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i w:val="1"/>
          <w:iCs w:val="1"/>
          <w:color w:val="auto"/>
        </w:rPr>
        <w:t>We have presented supplemental non-GAAP financial measures as part of this earnings release. We believe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w:t>
      </w:r>
    </w:p>
    <w:p>
      <w:pPr>
        <w:spacing w:after="0" w:line="149"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i w:val="1"/>
          <w:iCs w:val="1"/>
          <w:color w:val="auto"/>
        </w:rPr>
        <w:t>We refer to Unlevered Free Cash Flow, Adjusted EBITDA, Adjusted EBITDA Margin, Adjusted Gross Profit, Adjusted Gross Margin, Adjusted Operating Income and Adjusted Net Income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7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i w:val="1"/>
          <w:iCs w:val="1"/>
          <w:color w:val="auto"/>
        </w:rPr>
        <w:t>We define Unlevered Free Cash Flow as net cash provided from operating activities less purchases of property and equipment and other assets, plus cash interest expense, cash payments related to transaction related expenses and cash payments related to other non-recurring items. Unlevered Free Cash Flow does not represent residual cash flow available for discretionary expenditures since, among other things, we have mandatory debt service requirements.</w:t>
      </w:r>
    </w:p>
    <w:p>
      <w:pPr>
        <w:sectPr>
          <w:pgSz w:w="11900" w:h="16838" w:orient="portrait"/>
          <w:cols w:equalWidth="0" w:num="1">
            <w:col w:w="10960"/>
          </w:cols>
          <w:pgMar w:left="440" w:top="270" w:right="499" w:bottom="1440" w:gutter="0" w:footer="0" w:header="0"/>
        </w:sectPr>
      </w:pPr>
    </w:p>
    <w:bookmarkStart w:id="10" w:name="page11"/>
    <w:bookmarkEnd w:id="10"/>
    <w:p>
      <w:pPr>
        <w:ind w:right="40" w:firstLine="440"/>
        <w:spacing w:after="0" w:line="27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expenses and other non-recurring expenses. Adjusted EBITDA Margin is defined as Adjusted EBITDA as a percentage of revenue. 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7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i w:val="1"/>
          <w:iCs w:val="1"/>
          <w:color w:val="auto"/>
        </w:rPr>
        <w:t>We define Adjusted Gross Profit as revenue less cost of revenue (excluding acquisition-related depreciation and amortization and equity compensation costs) and Adjusted Gross Margin means Adjusted Gross Profit as a percentage of revenue. Adjusted Gross Profit differs from gross profit, in that gross profit includes acquisition-related depreciation and amortization expense and equity compensation costs. Adjusted Gross Profit and Adjusted Gross Margin are key metrics used by management and our board of directors to assess our operations. We exclude acquisition-related depreciation and amortization expenses as they have no direct correlation to the cost of operating our business on an ongoing basis. A small quantity of equity-based compensation is included in cost of revenue in accordance with GAAP but is excluded from our Adjusted Gross Profit calculations due to its non-cash nature.</w:t>
      </w:r>
    </w:p>
    <w:p>
      <w:pPr>
        <w:spacing w:after="0" w:line="19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i w:val="1"/>
          <w:iCs w:val="1"/>
          <w:color w:val="auto"/>
        </w:rPr>
        <w:t>We define Adjusted Operating Income as income (loss) from operations plus acquisition related amortization, equity-based compensation, transaction expenses and other non-recurring expenses.</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i w:val="1"/>
          <w:iCs w:val="1"/>
          <w:color w:val="auto"/>
        </w:rPr>
        <w:t>We define Adjusted Net Income as Adjusted Operating Income less recurring income taxes, interest expense, net, foreign currency loss (gain) and including the incremental tax effects of adjustments to arrive at Adjusted Operating Income. We define Adjusted Net Income Per Diluted Share as Adjusted Net Income divided by diluted outstanding shares.</w:t>
      </w:r>
    </w:p>
    <w:p>
      <w:pPr>
        <w:sectPr>
          <w:pgSz w:w="11900" w:h="16838" w:orient="portrait"/>
          <w:cols w:equalWidth="0" w:num="1">
            <w:col w:w="10940"/>
          </w:cols>
          <w:pgMar w:left="440" w:top="274" w:right="519" w:bottom="1440" w:gutter="0" w:footer="0" w:header="0"/>
        </w:sectPr>
      </w:pPr>
    </w:p>
    <w:bookmarkStart w:id="11" w:name="page12"/>
    <w:bookmarkEnd w:id="11"/>
    <w:p>
      <w:pPr>
        <w:ind w:right="80" w:firstLine="440"/>
        <w:spacing w:after="0" w:line="255"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income from operations, net (loss) income, gross profit, earnings per share or any other performance measures derived in accordance with GAAP, or as measures of operating cash flows or liquidity.</w:t>
      </w:r>
    </w:p>
    <w:p>
      <w:pPr>
        <w:spacing w:after="0" w:line="192"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i w:val="1"/>
          <w:iCs w:val="1"/>
          <w:color w:val="auto"/>
        </w:rPr>
        <w:t>We do not provide a quantitative reconciliation of the forward-looking non-GAAP financial measures included in this press release to the most directly comparable GAAP measures due to the high variability and difficulty to predict certain items excluded from these non-GAAP financial measures; in particular, the effects of stock-based compensation expense, taxes and amounts under the exchange tax receivable agreement, deferred tax assets and deferred tax liabilities, and restructuring and transaction expenses. We expect the variability of these excluded items may have a significant, and potentially unpredictable, impact on our future GAAP financial results.</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i w:val="1"/>
          <w:iCs w:val="1"/>
          <w:color w:val="auto"/>
        </w:rPr>
        <w:t>In evaluating our non-GAAP financial measures, you should be aware that in the future we may incur expenses similar to those eliminated in these presentations.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Brian Denyeau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ICR for Definitive Healthcare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brian.denyeau@icrinc.com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646-277-1251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Danielle Johns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djohns@definitivehc.com</w:t>
      </w:r>
    </w:p>
    <w:p>
      <w:pPr>
        <w:sectPr>
          <w:pgSz w:w="11900" w:h="16838" w:orient="portrait"/>
          <w:cols w:equalWidth="0" w:num="1">
            <w:col w:w="11020"/>
          </w:cols>
          <w:pgMar w:left="440" w:top="274"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number of shares)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840" w:type="dxa"/>
            <w:vAlign w:val="bottom"/>
          </w:tcPr>
          <w:p>
            <w:pPr>
              <w:jc w:val="right"/>
              <w:ind w:right="12"/>
              <w:spacing w:after="0" w:line="142" w:lineRule="exact"/>
              <w:rPr>
                <w:sz w:val="20"/>
                <w:szCs w:val="20"/>
                <w:color w:val="auto"/>
              </w:rPr>
            </w:pPr>
            <w:r>
              <w:rPr>
                <w:rFonts w:ascii="Arial" w:cs="Arial" w:eastAsia="Arial" w:hAnsi="Arial"/>
                <w:sz w:val="14"/>
                <w:szCs w:val="14"/>
                <w:i w:val="1"/>
                <w:iCs w:val="1"/>
                <w:color w:val="auto"/>
              </w:rPr>
              <w:t>(unaudited)</w:t>
            </w:r>
          </w:p>
        </w:tc>
        <w:tc>
          <w:tcPr>
            <w:tcW w:w="200" w:type="dxa"/>
            <w:vAlign w:val="bottom"/>
            <w:gridSpan w:val="2"/>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387,498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24,774</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43,336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13,843</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840" w:type="dxa"/>
            <w:vAlign w:val="bottom"/>
          </w:tcPr>
          <w:p>
            <w:pPr>
              <w:jc w:val="right"/>
              <w:spacing w:after="0"/>
              <w:rPr>
                <w:sz w:val="20"/>
                <w:szCs w:val="20"/>
                <w:color w:val="auto"/>
              </w:rPr>
            </w:pPr>
            <w:r>
              <w:rPr>
                <w:rFonts w:ascii="Arial" w:cs="Arial" w:eastAsia="Arial" w:hAnsi="Arial"/>
                <w:sz w:val="18"/>
                <w:szCs w:val="18"/>
                <w:color w:val="auto"/>
              </w:rPr>
              <w:t>6,880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451,557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63,845</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5,069</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11,667</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Investment in equity securities</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32,675</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352,470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410,237</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Goodwill</w:t>
            </w:r>
          </w:p>
        </w:tc>
        <w:tc>
          <w:tcPr>
            <w:tcW w:w="840" w:type="dxa"/>
            <w:vAlign w:val="bottom"/>
          </w:tcPr>
          <w:p>
            <w:pPr>
              <w:jc w:val="right"/>
              <w:spacing w:after="0"/>
              <w:rPr>
                <w:sz w:val="20"/>
                <w:szCs w:val="20"/>
                <w:color w:val="auto"/>
              </w:rPr>
            </w:pPr>
            <w:r>
              <w:rPr>
                <w:rFonts w:ascii="Arial" w:cs="Arial" w:eastAsia="Arial" w:hAnsi="Arial"/>
                <w:sz w:val="18"/>
                <w:szCs w:val="18"/>
                <w:color w:val="auto"/>
              </w:rPr>
              <w:t>1,261,444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1,261,444</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$ 2,115,988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$ 1,745,359</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4,651</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22,658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17,321</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Current portion of deferred revenue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83,611</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61,060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term loan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6,875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412</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 net of current portion</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263,808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457,197</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Tax receivable agreements liability</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153,529</w:t>
            </w: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liabilities</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75,888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840" w:type="dxa"/>
            <w:vAlign w:val="bottom"/>
          </w:tcPr>
          <w:p>
            <w:pPr>
              <w:jc w:val="right"/>
              <w:spacing w:after="0"/>
              <w:rPr>
                <w:sz w:val="20"/>
                <w:szCs w:val="20"/>
                <w:color w:val="auto"/>
              </w:rPr>
            </w:pPr>
            <w:r>
              <w:rPr>
                <w:rFonts w:ascii="Arial" w:cs="Arial" w:eastAsia="Arial" w:hAnsi="Arial"/>
                <w:sz w:val="18"/>
                <w:szCs w:val="18"/>
                <w:color w:val="auto"/>
              </w:rPr>
              <w:t>1,294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549,796</w:t>
            </w:r>
          </w:p>
        </w:tc>
        <w:tc>
          <w:tcPr>
            <w:tcW w:w="0" w:type="dxa"/>
            <w:vAlign w:val="bottom"/>
          </w:tcPr>
          <w:p>
            <w:pPr>
              <w:spacing w:after="0"/>
              <w:rPr>
                <w:sz w:val="1"/>
                <w:szCs w:val="1"/>
                <w:color w:val="auto"/>
              </w:rPr>
            </w:pP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Members’ equity</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1,195,694</w:t>
            </w:r>
          </w:p>
        </w:tc>
        <w:tc>
          <w:tcPr>
            <w:tcW w:w="0" w:type="dxa"/>
            <w:vAlign w:val="bottom"/>
          </w:tcPr>
          <w:p>
            <w:pPr>
              <w:spacing w:after="0"/>
              <w:rPr>
                <w:sz w:val="1"/>
                <w:szCs w:val="1"/>
                <w:color w:val="auto"/>
              </w:rPr>
            </w:pPr>
          </w:p>
        </w:tc>
      </w:tr>
      <w:tr>
        <w:trPr>
          <w:trHeight w:val="202"/>
        </w:trPr>
        <w:tc>
          <w:tcPr>
            <w:tcW w:w="9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Class A Common Stock, par value $0.001, 600,000,000 shares authorized, 97,030,095 shares issued and outstanding</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at December 31, 2021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020" w:type="dxa"/>
            <w:vAlign w:val="bottom"/>
          </w:tcPr>
          <w:p>
            <w:pPr>
              <w:ind w:left="360"/>
              <w:spacing w:after="0" w:line="201" w:lineRule="exact"/>
              <w:rPr>
                <w:sz w:val="20"/>
                <w:szCs w:val="20"/>
                <w:color w:val="auto"/>
              </w:rPr>
            </w:pPr>
            <w:r>
              <w:rPr>
                <w:rFonts w:ascii="Arial" w:cs="Arial" w:eastAsia="Arial" w:hAnsi="Arial"/>
                <w:sz w:val="18"/>
                <w:szCs w:val="18"/>
                <w:color w:val="auto"/>
                <w:w w:val="96"/>
              </w:rPr>
              <w:t>Class B Common Stock, no par value, 65,000,000 shares authorized, 58,244,627 shares issued and 55,488,221</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540"/>
              <w:spacing w:after="0"/>
              <w:rPr>
                <w:sz w:val="20"/>
                <w:szCs w:val="20"/>
                <w:color w:val="auto"/>
              </w:rPr>
            </w:pPr>
            <w:r>
              <w:rPr>
                <w:rFonts w:ascii="Arial" w:cs="Arial" w:eastAsia="Arial" w:hAnsi="Arial"/>
                <w:sz w:val="18"/>
                <w:szCs w:val="18"/>
                <w:color w:val="auto"/>
              </w:rPr>
              <w:t>outstanding at December 31, 2021</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890,724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(17,677)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630,056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equity</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1,503,262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1,195,563</w:t>
            </w:r>
          </w:p>
        </w:tc>
        <w:tc>
          <w:tcPr>
            <w:tcW w:w="0" w:type="dxa"/>
            <w:vAlign w:val="bottom"/>
          </w:tcPr>
          <w:p>
            <w:pPr>
              <w:spacing w:after="0"/>
              <w:rPr>
                <w:sz w:val="1"/>
                <w:szCs w:val="1"/>
                <w:color w:val="auto"/>
              </w:rPr>
            </w:pPr>
          </w:p>
        </w:tc>
      </w:tr>
      <w:tr>
        <w:trPr>
          <w:trHeight w:val="223"/>
        </w:trPr>
        <w:tc>
          <w:tcPr>
            <w:tcW w:w="902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$ 2,115,988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$ 1,745,359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(amounts in thousands, except share amounts and per share data; 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33,658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Cost of revenue exclusive of amortization shown below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19,421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11,085</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21,268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19,383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125,465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87,849</w:t>
            </w:r>
          </w:p>
        </w:tc>
        <w:tc>
          <w:tcPr>
            <w:tcW w:w="0" w:type="dxa"/>
            <w:vAlign w:val="bottom"/>
          </w:tcPr>
          <w:p>
            <w:pPr>
              <w:spacing w:after="0"/>
              <w:rPr>
                <w:sz w:val="1"/>
                <w:szCs w:val="1"/>
                <w:color w:val="auto"/>
              </w:rPr>
            </w:pP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56,387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34,332</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 xml:space="preserve">Product development </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18,565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11,062</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30,528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12,927</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9,865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10,160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38,679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6,287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30"/>
        </w:trPr>
        <w:tc>
          <w:tcPr>
            <w:tcW w:w="67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32,296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150,446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102,294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(24,981)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(14,445)</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 gain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(1,915)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(8,688)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(25,871)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(36,490)</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(9,873)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20" w:type="dxa"/>
            <w:vAlign w:val="bottom"/>
          </w:tcPr>
          <w:p>
            <w:pPr>
              <w:ind w:left="720"/>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(8,910)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(35,601)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(36,712)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(15,862)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(60,582)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(51,157)</w:t>
            </w:r>
          </w:p>
        </w:tc>
        <w:tc>
          <w:tcPr>
            <w:tcW w:w="0" w:type="dxa"/>
            <w:vAlign w:val="bottom"/>
          </w:tcPr>
          <w:p>
            <w:pPr>
              <w:spacing w:after="0"/>
              <w:rPr>
                <w:sz w:val="1"/>
                <w:szCs w:val="1"/>
                <w:color w:val="auto"/>
              </w:rPr>
            </w:pPr>
          </w:p>
        </w:tc>
      </w:tr>
      <w:tr>
        <w:trPr>
          <w:trHeight w:val="216"/>
        </w:trPr>
        <w:tc>
          <w:tcPr>
            <w:tcW w:w="6720" w:type="dxa"/>
            <w:vAlign w:val="bottom"/>
          </w:tcPr>
          <w:p>
            <w:pPr>
              <w:ind w:left="36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(14,764)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(15,862)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(61,257)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(51,157)</w:t>
            </w:r>
          </w:p>
        </w:tc>
        <w:tc>
          <w:tcPr>
            <w:tcW w:w="0" w:type="dxa"/>
            <w:vAlign w:val="bottom"/>
          </w:tcPr>
          <w:p>
            <w:pPr>
              <w:spacing w:after="0"/>
              <w:rPr>
                <w:sz w:val="1"/>
                <w:szCs w:val="1"/>
                <w:color w:val="auto"/>
              </w:rPr>
            </w:pPr>
          </w:p>
        </w:tc>
      </w:tr>
      <w:tr>
        <w:trPr>
          <w:trHeight w:val="223"/>
        </w:trPr>
        <w:tc>
          <w:tcPr>
            <w:tcW w:w="6720" w:type="dxa"/>
            <w:vAlign w:val="bottom"/>
          </w:tcPr>
          <w:p>
            <w:pPr>
              <w:ind w:left="360"/>
              <w:spacing w:after="0"/>
              <w:rPr>
                <w:sz w:val="20"/>
                <w:szCs w:val="20"/>
                <w:color w:val="auto"/>
              </w:rPr>
            </w:pPr>
            <w:r>
              <w:rPr>
                <w:rFonts w:ascii="Arial" w:cs="Arial" w:eastAsia="Arial" w:hAnsi="Arial"/>
                <w:sz w:val="18"/>
                <w:szCs w:val="18"/>
                <w:color w:val="auto"/>
                <w:w w:val="92"/>
              </w:rPr>
              <w:t>Less: Net loss attributable to Definitive OpCo prior to the Reorganization Transactions</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(15,862)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(33,343)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(51,157)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20" w:type="dxa"/>
            <w:vAlign w:val="bottom"/>
          </w:tcPr>
          <w:p>
            <w:pPr>
              <w:ind w:left="1080"/>
              <w:spacing w:after="0"/>
              <w:rPr>
                <w:sz w:val="20"/>
                <w:szCs w:val="20"/>
                <w:color w:val="auto"/>
              </w:rPr>
            </w:pPr>
            <w:r>
              <w:rPr>
                <w:rFonts w:ascii="Arial" w:cs="Arial" w:eastAsia="Arial" w:hAnsi="Arial"/>
                <w:sz w:val="18"/>
                <w:szCs w:val="18"/>
                <w:color w:val="auto"/>
              </w:rPr>
              <w:t>Net loss attributable to Definitive Healthcare Corp.</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(17,677</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Class A Common Stock:</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1"/>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stock outstanding:</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20" w:type="dxa"/>
            <w:vAlign w:val="bottom"/>
          </w:tcPr>
          <w:p>
            <w:pPr>
              <w:ind w:left="7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92,551,423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w w:val="86"/>
              </w:rPr>
              <w:t>91,916,151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384" w:hanging="384"/>
        <w:spacing w:after="0"/>
        <w:tabs>
          <w:tab w:leader="none" w:pos="384" w:val="left"/>
        </w:tabs>
        <w:numPr>
          <w:ilvl w:val="0"/>
          <w:numId w:val="8"/>
        </w:numPr>
        <w:rPr>
          <w:rFonts w:ascii="Arial" w:cs="Arial" w:eastAsia="Arial" w:hAnsi="Arial"/>
          <w:sz w:val="15"/>
          <w:szCs w:val="15"/>
          <w:color w:val="auto"/>
        </w:rPr>
      </w:pPr>
      <w:r>
        <w:rPr>
          <w:rFonts w:ascii="Arial" w:cs="Arial" w:eastAsia="Arial" w:hAnsi="Arial"/>
          <w:sz w:val="18"/>
          <w:szCs w:val="18"/>
          <w:color w:val="auto"/>
        </w:rPr>
        <w:t>Amounts include equity-based compensation expense as follows:</w:t>
      </w:r>
    </w:p>
    <w:tbl>
      <w:tblPr>
        <w:tblLayout w:type="fixed"/>
        <w:tblInd w:w="4"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6"/>
          </w:tcPr>
          <w:p>
            <w:pPr>
              <w:jc w:val="right"/>
              <w:ind w:right="440"/>
              <w:spacing w:after="0" w:line="149" w:lineRule="exact"/>
              <w:rPr>
                <w:sz w:val="20"/>
                <w:szCs w:val="20"/>
                <w:color w:val="auto"/>
              </w:rPr>
            </w:pPr>
            <w:r>
              <w:rPr>
                <w:rFonts w:ascii="Arial" w:cs="Arial" w:eastAsia="Arial" w:hAnsi="Arial"/>
                <w:sz w:val="14"/>
                <w:szCs w:val="14"/>
                <w:b w:val="1"/>
                <w:bCs w:val="1"/>
                <w:color w:val="auto"/>
                <w:w w:val="99"/>
              </w:rPr>
              <w:t>Three Months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1,363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equity-based compensation expense</w:t>
            </w:r>
          </w:p>
        </w:tc>
        <w:tc>
          <w:tcPr>
            <w:tcW w:w="19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270" w:right="43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Definitive Healthcare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6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(14,764)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(15,862)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(61,257)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(51,157)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1,152</w:t>
            </w: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14,931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58,196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58,429</w:t>
            </w: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Amortization of deferred contract costs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4,793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1,671</w:t>
            </w: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Equity-based compensation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1,747</w:t>
            </w: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Noncash paid in-kind interest expense</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7,371</w:t>
            </w: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2,061</w:t>
            </w: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Changes in fair value of contingent consideration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2,636</w:t>
            </w: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(12,230)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(8,294)</w:t>
            </w: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(3,729)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(709)</w:t>
            </w: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contract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(7,685)</w:t>
            </w: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Accounts payable, accrued expenses and other current liabilities</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5,053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10,279</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2,996</w:t>
            </w: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10,712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12,104</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23,217</w:t>
            </w:r>
          </w:p>
        </w:tc>
        <w:tc>
          <w:tcPr>
            <w:tcW w:w="12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Purchases of property, equipment and other assets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(6,731)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(1,395)</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acquisitions and investments, net of cash acquired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(15,532)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(22,467)</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(41,069)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(15,866)</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(46,731)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(23,862)</w:t>
            </w:r>
          </w:p>
        </w:tc>
        <w:tc>
          <w:tcPr>
            <w:tcW w:w="12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Proceeds from term loan</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275,000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delayed draw term loan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18,000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18,000</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Proceeds from revolving credit facility</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25,000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term loans and delayed draw term loan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(474,460)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(4,545)</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Repayments of revolving credit facility</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(25,000)</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(25,000)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contingent consideration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Payment of debt issuance costs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(3,511)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equity offerings, net of underwriting discounts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382,140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834,952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Repurchase of outstanding equity/Definitive OpCo units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(138,960)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(231,772)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Payments of equity offering issuance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Member contributions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6,365</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6,365</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 distributions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(2,940)</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234,677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(2,861)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384,372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16,655</w:t>
            </w:r>
          </w:p>
        </w:tc>
        <w:tc>
          <w:tcPr>
            <w:tcW w:w="12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197,827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(10,054)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362,853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16,010</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189,752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34,682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8,618</w:t>
            </w: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387,498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24,774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387,498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24,774</w:t>
            </w:r>
          </w:p>
        </w:tc>
        <w:tc>
          <w:tcPr>
            <w:tcW w:w="12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rPr>
              <w:t>Cash paid during the year for:</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25,958</w:t>
            </w:r>
          </w:p>
        </w:tc>
      </w:tr>
      <w:tr>
        <w:trPr>
          <w:trHeight w:val="216"/>
        </w:trPr>
        <w:tc>
          <w:tcPr>
            <w:tcW w:w="7440" w:type="dxa"/>
            <w:vAlign w:val="bottom"/>
          </w:tcPr>
          <w:p>
            <w:pPr>
              <w:ind w:left="1080"/>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Acquisitions: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ind w:left="1440"/>
              <w:spacing w:after="0"/>
              <w:rPr>
                <w:sz w:val="20"/>
                <w:szCs w:val="20"/>
                <w:color w:val="auto"/>
              </w:rPr>
            </w:pPr>
            <w:r>
              <w:rPr>
                <w:rFonts w:ascii="Arial" w:cs="Arial" w:eastAsia="Arial" w:hAnsi="Arial"/>
                <w:sz w:val="18"/>
                <w:szCs w:val="18"/>
                <w:color w:val="auto"/>
              </w:rPr>
              <w:t>Net assets acquired, net of cash acquired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43,571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43,571</w:t>
            </w:r>
          </w:p>
        </w:tc>
      </w:tr>
      <w:tr>
        <w:trPr>
          <w:trHeight w:val="216"/>
        </w:trPr>
        <w:tc>
          <w:tcPr>
            <w:tcW w:w="74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Capital contribution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(25,439)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(25,439)</w:t>
            </w:r>
          </w:p>
        </w:tc>
      </w:tr>
      <w:tr>
        <w:trPr>
          <w:trHeight w:val="216"/>
        </w:trPr>
        <w:tc>
          <w:tcPr>
            <w:tcW w:w="7440" w:type="dxa"/>
            <w:vAlign w:val="bottom"/>
          </w:tcPr>
          <w:p>
            <w:pPr>
              <w:ind w:left="1440"/>
              <w:spacing w:after="0"/>
              <w:rPr>
                <w:sz w:val="20"/>
                <w:szCs w:val="20"/>
                <w:color w:val="auto"/>
              </w:rPr>
            </w:pPr>
            <w:r>
              <w:rPr>
                <w:rFonts w:ascii="Arial" w:cs="Arial" w:eastAsia="Arial" w:hAnsi="Arial"/>
                <w:sz w:val="18"/>
                <w:szCs w:val="18"/>
                <w:color w:val="auto"/>
              </w:rPr>
              <w:t>Contingent consideration</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(2,600)</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(2,600)</w:t>
            </w:r>
          </w:p>
        </w:tc>
      </w:tr>
      <w:tr>
        <w:trPr>
          <w:trHeight w:val="216"/>
        </w:trPr>
        <w:tc>
          <w:tcPr>
            <w:tcW w:w="74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Consideration paid to former members included in accrued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6,935</w:t>
            </w:r>
          </w:p>
        </w:tc>
      </w:tr>
      <w:tr>
        <w:trPr>
          <w:trHeight w:val="230"/>
        </w:trPr>
        <w:tc>
          <w:tcPr>
            <w:tcW w:w="7440" w:type="dxa"/>
            <w:vAlign w:val="bottom"/>
          </w:tcPr>
          <w:p>
            <w:pPr>
              <w:ind w:left="1620"/>
              <w:spacing w:after="0"/>
              <w:rPr>
                <w:sz w:val="20"/>
                <w:szCs w:val="20"/>
                <w:color w:val="auto"/>
              </w:rPr>
            </w:pPr>
            <w:r>
              <w:rPr>
                <w:rFonts w:ascii="Arial" w:cs="Arial" w:eastAsia="Arial" w:hAnsi="Arial"/>
                <w:sz w:val="18"/>
                <w:szCs w:val="18"/>
                <w:color w:val="auto"/>
              </w:rPr>
              <w:t>Net cash paid for acquisitions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15,532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22,467</w:t>
            </w:r>
          </w:p>
        </w:tc>
        <w:tc>
          <w:tcPr>
            <w:tcW w:w="12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440" w:type="dxa"/>
            <w:vAlign w:val="bottom"/>
          </w:tcPr>
          <w:p>
            <w:pPr>
              <w:ind w:left="720"/>
              <w:spacing w:after="0"/>
              <w:rPr>
                <w:sz w:val="20"/>
                <w:szCs w:val="20"/>
                <w:color w:val="auto"/>
              </w:rPr>
            </w:pPr>
            <w:r>
              <w:rPr>
                <w:rFonts w:ascii="Arial" w:cs="Arial" w:eastAsia="Arial" w:hAnsi="Arial"/>
                <w:sz w:val="18"/>
                <w:szCs w:val="18"/>
                <w:color w:val="auto"/>
                <w:w w:val="99"/>
              </w:rPr>
              <w:t>Net increase (decrease) in accrued capital expenditures, including purchases of data</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(2,735)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3,389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440" w:type="dxa"/>
            <w:vAlign w:val="bottom"/>
          </w:tcPr>
          <w:p>
            <w:pPr>
              <w:ind w:left="720"/>
              <w:spacing w:after="0"/>
              <w:rPr>
                <w:sz w:val="20"/>
                <w:szCs w:val="20"/>
                <w:color w:val="auto"/>
              </w:rPr>
            </w:pPr>
            <w:r>
              <w:rPr>
                <w:rFonts w:ascii="Arial" w:cs="Arial" w:eastAsia="Arial" w:hAnsi="Arial"/>
                <w:sz w:val="18"/>
                <w:szCs w:val="18"/>
                <w:color w:val="auto"/>
              </w:rPr>
              <w:t>(Decrease) increase in unpaid public offering costs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(4,182)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1,299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20"/>
          </w:cols>
          <w:pgMar w:left="440" w:top="270" w:right="439" w:bottom="1440" w:gutter="0" w:footer="0" w:header="0"/>
        </w:sectPr>
      </w:pPr>
    </w:p>
    <w:bookmarkStart w:id="15" w:name="page16"/>
    <w:bookmarkEnd w:id="15"/>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Reconciliations of Non-GAAP Financial Measures to Closest GAAP Equivalent</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Reconciliation of GAAP Operating Cash Flow to Unlevered Free Cash Flow</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 thousands; 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6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5"/>
              </w:rPr>
              <w:t>Three Months Ended</w:t>
            </w:r>
          </w:p>
        </w:tc>
        <w:tc>
          <w:tcPr>
            <w:tcW w:w="15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900" w:type="dxa"/>
            <w:vAlign w:val="bottom"/>
          </w:tcPr>
          <w:p>
            <w:pPr>
              <w:spacing w:after="0"/>
              <w:rPr>
                <w:sz w:val="14"/>
                <w:szCs w:val="14"/>
                <w:color w:val="auto"/>
              </w:rPr>
            </w:pPr>
          </w:p>
        </w:tc>
        <w:tc>
          <w:tcPr>
            <w:tcW w:w="16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15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209"/>
        </w:trPr>
        <w:tc>
          <w:tcPr>
            <w:tcW w:w="790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8"/>
                <w:szCs w:val="18"/>
                <w:color w:val="auto"/>
              </w:rPr>
            </w:pPr>
          </w:p>
        </w:tc>
      </w:tr>
      <w:tr>
        <w:trPr>
          <w:trHeight w:val="20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$ 4,219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$25,212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$23,217</w:t>
            </w:r>
          </w:p>
        </w:tc>
        <w:tc>
          <w:tcPr>
            <w:tcW w:w="120" w:type="dxa"/>
            <w:vAlign w:val="bottom"/>
            <w:shd w:val="clear" w:color="auto" w:fill="CCEEFF"/>
          </w:tcPr>
          <w:p>
            <w:pPr>
              <w:spacing w:after="0"/>
              <w:rPr>
                <w:sz w:val="18"/>
                <w:szCs w:val="18"/>
                <w:color w:val="auto"/>
              </w:rPr>
            </w:pP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Purchases of property, equipment and other assets</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(334)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(6,731)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(1,395)</w:t>
            </w: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in cash</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2,915</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29,569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25,958</w:t>
            </w:r>
          </w:p>
        </w:tc>
      </w:tr>
      <w:tr>
        <w:trPr>
          <w:trHeight w:val="216"/>
        </w:trPr>
        <w:tc>
          <w:tcPr>
            <w:tcW w:w="7900" w:type="dxa"/>
            <w:vAlign w:val="bottom"/>
          </w:tcPr>
          <w:p>
            <w:pPr>
              <w:ind w:left="360"/>
              <w:spacing w:after="0"/>
              <w:rPr>
                <w:sz w:val="20"/>
                <w:szCs w:val="20"/>
                <w:color w:val="auto"/>
              </w:rPr>
            </w:pPr>
            <w:r>
              <w:rPr>
                <w:rFonts w:ascii="Arial" w:cs="Arial" w:eastAsia="Arial" w:hAnsi="Arial"/>
                <w:sz w:val="18"/>
                <w:szCs w:val="18"/>
                <w:color w:val="auto"/>
              </w:rPr>
              <w:t xml:space="preserve">Transaction expenses paid in cash </w:t>
            </w:r>
            <w:r>
              <w:rPr>
                <w:rFonts w:ascii="Arial" w:cs="Arial" w:eastAsia="Arial" w:hAnsi="Arial"/>
                <w:sz w:val="15"/>
                <w:szCs w:val="15"/>
                <w:color w:val="auto"/>
              </w:rPr>
              <w:t>(a)</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2,360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392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2,523</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1,140</w:t>
            </w:r>
          </w:p>
        </w:tc>
      </w:tr>
      <w:tr>
        <w:trPr>
          <w:trHeight w:val="216"/>
        </w:trPr>
        <w:tc>
          <w:tcPr>
            <w:tcW w:w="7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non-recurring items </w:t>
            </w:r>
            <w:r>
              <w:rPr>
                <w:rFonts w:ascii="Arial" w:cs="Arial" w:eastAsia="Arial" w:hAnsi="Arial"/>
                <w:sz w:val="15"/>
                <w:szCs w:val="15"/>
                <w:color w:val="auto"/>
              </w:rPr>
              <w:t>(b)</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4,780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2,847</w:t>
            </w:r>
          </w:p>
        </w:tc>
      </w:tr>
      <w:tr>
        <w:trPr>
          <w:trHeight w:val="223"/>
        </w:trPr>
        <w:tc>
          <w:tcPr>
            <w:tcW w:w="7900" w:type="dxa"/>
            <w:vAlign w:val="bottom"/>
          </w:tcPr>
          <w:p>
            <w:pPr>
              <w:ind w:left="720"/>
              <w:spacing w:after="0"/>
              <w:rPr>
                <w:sz w:val="20"/>
                <w:szCs w:val="20"/>
                <w:color w:val="auto"/>
              </w:rPr>
            </w:pPr>
            <w:r>
              <w:rPr>
                <w:rFonts w:ascii="Arial" w:cs="Arial" w:eastAsia="Arial" w:hAnsi="Arial"/>
                <w:sz w:val="18"/>
                <w:szCs w:val="18"/>
                <w:b w:val="1"/>
                <w:bCs w:val="1"/>
                <w:color w:val="auto"/>
              </w:rPr>
              <w:t>Unlevered Free Cash Flow</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$ 8,959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12,689</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55,353</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51,767</w:t>
            </w:r>
          </w:p>
        </w:tc>
        <w:tc>
          <w:tcPr>
            <w:tcW w:w="12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 expenses paid in cash primarily represent legal, accounting and consulting expenses related to our acquisitions.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Reconciliation of GAAP Net Loss to Adjusted Net Income and</w:t>
      </w:r>
    </w:p>
    <w:p>
      <w:pPr>
        <w:spacing w:after="0" w:line="23" w:lineRule="exact"/>
        <w:rPr>
          <w:sz w:val="20"/>
          <w:szCs w:val="20"/>
          <w:color w:val="auto"/>
        </w:rPr>
      </w:pPr>
    </w:p>
    <w:p>
      <w:pPr>
        <w:ind w:left="3664"/>
        <w:spacing w:after="0"/>
        <w:rPr>
          <w:sz w:val="20"/>
          <w:szCs w:val="20"/>
          <w:color w:val="auto"/>
        </w:rPr>
      </w:pPr>
      <w:r>
        <w:rPr>
          <w:rFonts w:ascii="Arial" w:cs="Arial" w:eastAsia="Arial" w:hAnsi="Arial"/>
          <w:sz w:val="18"/>
          <w:szCs w:val="18"/>
          <w:color w:val="auto"/>
        </w:rPr>
        <w:t>GAAP Operating Loss to Adjusted Operating Loss</w:t>
      </w:r>
    </w:p>
    <w:p>
      <w:pPr>
        <w:spacing w:after="0" w:line="9" w:lineRule="exact"/>
        <w:rPr>
          <w:sz w:val="20"/>
          <w:szCs w:val="20"/>
          <w:color w:val="auto"/>
        </w:rPr>
      </w:pPr>
    </w:p>
    <w:p>
      <w:pPr>
        <w:ind w:left="3644"/>
        <w:spacing w:after="0"/>
        <w:rPr>
          <w:sz w:val="20"/>
          <w:szCs w:val="20"/>
          <w:color w:val="auto"/>
        </w:rPr>
      </w:pPr>
      <w:r>
        <w:rPr>
          <w:rFonts w:ascii="Arial" w:cs="Arial" w:eastAsia="Arial" w:hAnsi="Arial"/>
          <w:sz w:val="18"/>
          <w:szCs w:val="18"/>
          <w:color w:val="auto"/>
        </w:rPr>
        <w:t>(in thousands, except per share amounts; 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8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(14,764)</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(15,862)</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$(51,157)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Add: Income tax (benefit) provision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Interest expense,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1,915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8,688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25,871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36,490</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Add: Loss on extinguishment from debt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9,873</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Foreign currency loss (gain)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6120" w:type="dxa"/>
            <w:vAlign w:val="bottom"/>
          </w:tcPr>
          <w:p>
            <w:pPr>
              <w:ind w:left="72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(12,174)</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(6,952)</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(14,445)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1"/>
              </w:rPr>
              <w:t>Add: Amortization of intangible assets acquired through business combinations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14,402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14,819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57,148</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58,214</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Add: Equity-based compensation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5,619</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9,957</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Transaction expenses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3,776</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Add: Other non-recurring items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4,780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Adjusted Operating Income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12,269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12,355</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53,191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52,139</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Less: Interest expense, net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(1,915)</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(8,688)</w:t>
            </w:r>
          </w:p>
        </w:tc>
        <w:tc>
          <w:tcPr>
            <w:tcW w:w="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(25,871)</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(36,490)</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Recurring income tax benefit (provision)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Less: Foreign currency (loss) gain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Tax impacts of adjustments to net income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20" w:type="dxa"/>
            <w:vAlign w:val="bottom"/>
          </w:tcPr>
          <w:p>
            <w:pPr>
              <w:ind w:left="720"/>
              <w:spacing w:after="0"/>
              <w:rPr>
                <w:sz w:val="20"/>
                <w:szCs w:val="20"/>
                <w:color w:val="auto"/>
              </w:rPr>
            </w:pPr>
            <w:r>
              <w:rPr>
                <w:rFonts w:ascii="Arial" w:cs="Arial" w:eastAsia="Arial" w:hAnsi="Arial"/>
                <w:sz w:val="18"/>
                <w:szCs w:val="18"/>
                <w:b w:val="1"/>
                <w:bCs w:val="1"/>
                <w:color w:val="auto"/>
              </w:rPr>
              <w:t>Adjusted Net Income</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$ 15,427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Shares for Adjusted Net Income Per Diluted Share </w:t>
            </w:r>
            <w:r>
              <w:rPr>
                <w:rFonts w:ascii="Arial" w:cs="Arial" w:eastAsia="Arial" w:hAnsi="Arial"/>
                <w:sz w:val="15"/>
                <w:szCs w:val="15"/>
                <w:color w:val="auto"/>
              </w:rPr>
              <w:t>(a)</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150,934,243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150,326,443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200" w:hanging="424"/>
        <w:spacing w:after="0" w:line="301"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157,374,972 as of December 31, 2021.</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Reconciliation of Adjusted EBITDA to GAAP Net Loss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 thousands; 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900" w:type="dxa"/>
            <w:vAlign w:val="bottom"/>
          </w:tcPr>
          <w:p>
            <w:pPr>
              <w:spacing w:after="0"/>
              <w:rPr>
                <w:sz w:val="14"/>
                <w:szCs w:val="14"/>
                <w:color w:val="auto"/>
              </w:rPr>
            </w:pPr>
          </w:p>
        </w:tc>
        <w:tc>
          <w:tcPr>
            <w:tcW w:w="21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8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900" w:type="dxa"/>
            <w:vAlign w:val="bottom"/>
          </w:tcPr>
          <w:p>
            <w:pPr>
              <w:spacing w:after="0"/>
              <w:rPr>
                <w:sz w:val="12"/>
                <w:szCs w:val="12"/>
                <w:color w:val="auto"/>
              </w:rPr>
            </w:pPr>
          </w:p>
        </w:tc>
        <w:tc>
          <w:tcPr>
            <w:tcW w:w="6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$(14,764)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$(15,862)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(61,257)</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(51,157)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Interest expense, net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1,915</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8,688</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25,871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36,490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Income tax provision</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675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15,237</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15,265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59,580</w:t>
            </w: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3"/>
              </w:rPr>
              <w:t>35,109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44,913</w:t>
            </w:r>
          </w:p>
        </w:tc>
        <w:tc>
          <w:tcPr>
            <w:tcW w:w="220" w:type="dxa"/>
            <w:vAlign w:val="bottom"/>
          </w:tcPr>
          <w:p>
            <w:pPr>
              <w:spacing w:after="0"/>
              <w:rPr>
                <w:sz w:val="19"/>
                <w:szCs w:val="19"/>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15"/>
                <w:szCs w:val="15"/>
                <w:color w:val="auto"/>
              </w:rPr>
              <w:t>(a)</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15"/>
                <w:szCs w:val="15"/>
                <w:color w:val="auto"/>
              </w:rPr>
              <w:t>(b)</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5,619</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9,957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1,747</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Transaction expenses </w:t>
            </w:r>
            <w:r>
              <w:rPr>
                <w:rFonts w:ascii="Arial" w:cs="Arial" w:eastAsia="Arial" w:hAnsi="Arial"/>
                <w:sz w:val="15"/>
                <w:szCs w:val="15"/>
                <w:color w:val="auto"/>
              </w:rPr>
              <w:t>(c )</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2,955</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3,028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 xml:space="preserve">Other non-recurring items </w:t>
            </w:r>
            <w:r>
              <w:rPr>
                <w:rFonts w:ascii="Arial" w:cs="Arial" w:eastAsia="Arial" w:hAnsi="Arial"/>
                <w:sz w:val="15"/>
                <w:szCs w:val="15"/>
                <w:color w:val="auto"/>
              </w:rPr>
              <w:t>(d)</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1,467</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4,780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2,847</w:t>
            </w:r>
          </w:p>
        </w:tc>
      </w:tr>
      <w:tr>
        <w:trPr>
          <w:trHeight w:val="27"/>
        </w:trPr>
        <w:tc>
          <w:tcPr>
            <w:tcW w:w="69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$ 13,104</w:t>
            </w:r>
          </w:p>
        </w:tc>
        <w:tc>
          <w:tcPr>
            <w:tcW w:w="12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$ 12,801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55,990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53,505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Revenue</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$ 46,313</w:t>
            </w:r>
          </w:p>
        </w:tc>
        <w:tc>
          <w:tcPr>
            <w:tcW w:w="1200" w:type="dxa"/>
            <w:vAlign w:val="bottom"/>
            <w:gridSpan w:val="3"/>
          </w:tcPr>
          <w:p>
            <w:pPr>
              <w:jc w:val="right"/>
              <w:ind w:right="400"/>
              <w:spacing w:after="0"/>
              <w:rPr>
                <w:sz w:val="20"/>
                <w:szCs w:val="20"/>
                <w:color w:val="auto"/>
              </w:rPr>
            </w:pPr>
            <w:r>
              <w:rPr>
                <w:rFonts w:ascii="Arial" w:cs="Arial" w:eastAsia="Arial" w:hAnsi="Arial"/>
                <w:sz w:val="18"/>
                <w:szCs w:val="18"/>
                <w:color w:val="auto"/>
              </w:rPr>
              <w:t>$ 33,658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166,154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118,317</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w:t>
            </w:r>
          </w:p>
        </w:tc>
        <w:tc>
          <w:tcPr>
            <w:tcW w:w="12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r>
      <w:tr>
        <w:trPr>
          <w:trHeight w:val="20"/>
        </w:trPr>
        <w:tc>
          <w:tcPr>
            <w:tcW w:w="69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424" w:right="440" w:hanging="424"/>
        <w:spacing w:after="0" w:line="25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Equity-based compensation represents non-cash compensation expense recognized in association with equity awards made to employees and directors.</w:t>
      </w:r>
    </w:p>
    <w:p>
      <w:pPr>
        <w:ind w:left="424" w:right="20" w:hanging="424"/>
        <w:spacing w:after="0" w:line="250"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Transaction expenses primarily represent legal, accounting and consulting expenses and fair value adjustments for contingent consideration related to our acquisitions.</w:t>
      </w: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w:t>
      </w:r>
    </w:p>
    <w:p>
      <w:pPr>
        <w:sectPr>
          <w:pgSz w:w="11900" w:h="16895" w:orient="portrait"/>
          <w:cols w:equalWidth="0" w:num="1">
            <w:col w:w="11024"/>
          </w:cols>
          <w:pgMar w:left="436" w:top="270" w:right="439" w:bottom="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color w:val="auto"/>
        </w:rPr>
        <w:t>Reconciliation of Adjusted Gross Profit to GAAP Gross Profit</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 thousands; unaudited)</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8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9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320" w:type="dxa"/>
            <w:vAlign w:val="bottom"/>
          </w:tcPr>
          <w:p>
            <w:pPr>
              <w:spacing w:after="0"/>
              <w:rPr>
                <w:sz w:val="14"/>
                <w:szCs w:val="14"/>
                <w:color w:val="auto"/>
              </w:rPr>
            </w:pPr>
          </w:p>
        </w:tc>
        <w:tc>
          <w:tcPr>
            <w:tcW w:w="18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9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3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2"/>
                <w:szCs w:val="12"/>
                <w:color w:val="auto"/>
              </w:rPr>
            </w:pPr>
          </w:p>
        </w:tc>
        <w:tc>
          <w:tcPr>
            <w:tcW w:w="7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r>
      <w:tr>
        <w:trPr>
          <w:trHeight w:val="210"/>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Reported gross profit</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$35,415</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$25,344</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$125,465</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220" w:type="dxa"/>
            <w:vAlign w:val="bottom"/>
            <w:tcBorders>
              <w:top w:val="single" w:sz="8" w:color="CCEEFF"/>
            </w:tcBorders>
            <w:shd w:val="clear" w:color="auto" w:fill="CCEEFF"/>
          </w:tcPr>
          <w:p>
            <w:pPr>
              <w:spacing w:after="0"/>
              <w:rPr>
                <w:sz w:val="18"/>
                <w:szCs w:val="18"/>
                <w:color w:val="auto"/>
              </w:rPr>
            </w:pP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Amortization of intangible assets resulting from acquisition-related purchase accounting</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15"/>
                <w:szCs w:val="15"/>
                <w:color w:val="auto"/>
              </w:rPr>
              <w:t>(a)</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5,095</w:t>
            </w: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4,994</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20,220</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19,169</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Equity-based compensation</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$40,708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$30,354</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$145,962</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107,080</w:t>
            </w:r>
          </w:p>
        </w:tc>
        <w:tc>
          <w:tcPr>
            <w:tcW w:w="22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$46,313</w:t>
            </w: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$33,658</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$166,154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118,317</w:t>
            </w: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88%</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90%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r>
      <w:tr>
        <w:trPr>
          <w:trHeight w:val="20"/>
        </w:trPr>
        <w:tc>
          <w:tcPr>
            <w:tcW w:w="7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560" w:hanging="424"/>
        <w:spacing w:after="0" w:line="277" w:lineRule="auto"/>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sectPr>
      <w:pgSz w:w="11900" w:h="16838" w:orient="portrait"/>
      <w:cols w:equalWidth="0" w:num="1">
        <w:col w:w="11024"/>
      </w:cols>
      <w:pgMar w:left="436"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2022-02-23T15:16:40Z</dcterms:created>
  <dcterms:modified xsi:type="dcterms:W3CDTF">2022-02-23T15:16:40Z</dcterms:modified>
</cp:coreProperties>
</file>