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SEA VII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140 NEW MONTGOMERY STREET,</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FRANCISCO</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Definitive Healthcare Corp.</w:t>
              </w:r>
            </w:hyperlink>
            <w:r>
              <w:rPr/>
              <w:t xml:space="preserve"> [ </w:t>
            </w:r>
            <w:r>
              <w:rPr>
                <w:rFonts w:ascii="Times;serif" w:hAnsi="Times;serif"/>
                <w:color w:val="0000FF"/>
                <w:sz w:val="24"/>
                <w:highlight w:val="white"/>
              </w:rPr>
              <w:t>DH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05/10/2022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964"/>
        <w:gridCol w:w="912"/>
        <w:gridCol w:w="783"/>
        <w:gridCol w:w="661"/>
        <w:gridCol w:w="281"/>
        <w:gridCol w:w="1194"/>
        <w:gridCol w:w="416"/>
        <w:gridCol w:w="789"/>
        <w:gridCol w:w="1336"/>
        <w:gridCol w:w="95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4"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9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4"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2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9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3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964"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B Common Stock</w:t>
            </w:r>
          </w:p>
        </w:tc>
        <w:tc>
          <w:tcPr>
            <w:tcW w:w="91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05/10/2022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(1)(2)</w:t>
            </w:r>
            <w:r>
              <w:rPr/>
              <w:t xml:space="preserve"> </w:t>
            </w:r>
          </w:p>
        </w:tc>
        <w:tc>
          <w:tcPr>
            <w:tcW w:w="28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9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2,717,042</w:t>
            </w:r>
          </w:p>
        </w:tc>
        <w:tc>
          <w:tcPr>
            <w:tcW w:w="4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13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24,091,844</w:t>
            </w:r>
          </w:p>
        </w:tc>
        <w:tc>
          <w:tcPr>
            <w:tcW w:w="9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(3)</w:t>
            </w:r>
            <w:r>
              <w:rPr/>
              <w:t xml:space="preserve"> </w:t>
            </w:r>
          </w:p>
        </w:tc>
      </w:tr>
      <w:tr>
        <w:trPr/>
        <w:tc>
          <w:tcPr>
            <w:tcW w:w="1964"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05/10/2022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w:t>
            </w:r>
            <w:r>
              <w:rPr>
                <w:rFonts w:ascii="Times;serif" w:hAnsi="Times;serif"/>
                <w:color w:val="008000"/>
                <w:position w:val="7"/>
                <w:sz w:val="16"/>
                <w:sz w:val="20"/>
                <w:highlight w:val="white"/>
              </w:rPr>
              <w:t>(1)(2)</w:t>
            </w:r>
            <w:r>
              <w:rPr/>
              <w:t xml:space="preserve"> </w:t>
            </w:r>
          </w:p>
        </w:tc>
        <w:tc>
          <w:tcPr>
            <w:tcW w:w="28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9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2,717,042</w:t>
            </w:r>
          </w:p>
        </w:tc>
        <w:tc>
          <w:tcPr>
            <w:tcW w:w="4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13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5,508,971</w:t>
            </w:r>
          </w:p>
        </w:tc>
        <w:tc>
          <w:tcPr>
            <w:tcW w:w="9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(3)</w:t>
            </w:r>
            <w:r>
              <w:rPr/>
              <w:t xml:space="preserve"> </w:t>
            </w:r>
          </w:p>
        </w:tc>
      </w:tr>
      <w:tr>
        <w:trPr/>
        <w:tc>
          <w:tcPr>
            <w:tcW w:w="1964"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05/10/2022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(4)</w:t>
            </w:r>
            <w:r>
              <w:rPr/>
              <w:t xml:space="preserve"> </w:t>
            </w:r>
          </w:p>
        </w:tc>
        <w:tc>
          <w:tcPr>
            <w:tcW w:w="28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9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2,993,760</w:t>
            </w:r>
            <w:r>
              <w:rPr>
                <w:rFonts w:ascii="Times;serif" w:hAnsi="Times;serif"/>
                <w:color w:val="008000"/>
                <w:position w:val="7"/>
                <w:sz w:val="16"/>
                <w:sz w:val="20"/>
                <w:highlight w:val="white"/>
              </w:rPr>
              <w:t>(4)</w:t>
            </w:r>
            <w:r>
              <w:rPr/>
              <w:t xml:space="preserve"> </w:t>
            </w:r>
          </w:p>
        </w:tc>
        <w:tc>
          <w:tcPr>
            <w:tcW w:w="4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rFonts w:ascii="Times;serif" w:hAnsi="Times;serif"/>
                <w:color w:val="008000"/>
                <w:position w:val="7"/>
                <w:sz w:val="16"/>
                <w:sz w:val="20"/>
                <w:highlight w:val="white"/>
              </w:rPr>
              <w:t>(4)</w:t>
            </w:r>
            <w:r>
              <w:rPr/>
              <w:t xml:space="preserve"> </w:t>
            </w:r>
          </w:p>
        </w:tc>
        <w:tc>
          <w:tcPr>
            <w:tcW w:w="13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2,515,211</w:t>
            </w:r>
          </w:p>
        </w:tc>
        <w:tc>
          <w:tcPr>
            <w:tcW w:w="9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(3)</w:t>
            </w:r>
            <w:r>
              <w:rPr/>
              <w:t xml:space="preserve"> </w:t>
            </w:r>
          </w:p>
        </w:tc>
      </w:tr>
      <w:tr>
        <w:trPr/>
        <w:tc>
          <w:tcPr>
            <w:tcW w:w="1964"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05/11/2022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28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9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1,490</w:t>
            </w:r>
            <w:r>
              <w:rPr>
                <w:rFonts w:ascii="Times;serif" w:hAnsi="Times;serif"/>
                <w:color w:val="008000"/>
                <w:position w:val="7"/>
                <w:sz w:val="16"/>
                <w:sz w:val="20"/>
                <w:highlight w:val="white"/>
              </w:rPr>
              <w:t>(5)</w:t>
            </w:r>
            <w:r>
              <w:rPr/>
              <w:t xml:space="preserve"> </w:t>
            </w:r>
          </w:p>
        </w:tc>
        <w:tc>
          <w:tcPr>
            <w:tcW w:w="4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15.55</w:t>
            </w:r>
            <w:r>
              <w:rPr>
                <w:rFonts w:ascii="Times;serif" w:hAnsi="Times;serif"/>
                <w:color w:val="008000"/>
                <w:position w:val="7"/>
                <w:sz w:val="16"/>
                <w:sz w:val="20"/>
                <w:highlight w:val="white"/>
              </w:rPr>
              <w:t>(5)</w:t>
            </w:r>
            <w:r>
              <w:rPr/>
              <w:t xml:space="preserve"> </w:t>
            </w:r>
          </w:p>
        </w:tc>
        <w:tc>
          <w:tcPr>
            <w:tcW w:w="13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2,513,721</w:t>
            </w:r>
          </w:p>
        </w:tc>
        <w:tc>
          <w:tcPr>
            <w:tcW w:w="9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(3)</w:t>
            </w:r>
            <w:r>
              <w:rPr/>
              <w:t xml:space="preserve"> </w:t>
            </w:r>
          </w:p>
        </w:tc>
      </w:tr>
      <w:tr>
        <w:trPr/>
        <w:tc>
          <w:tcPr>
            <w:tcW w:w="1964"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05/11/2022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28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9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2,550</w:t>
            </w:r>
            <w:r>
              <w:rPr>
                <w:rFonts w:ascii="Times;serif" w:hAnsi="Times;serif"/>
                <w:color w:val="008000"/>
                <w:position w:val="7"/>
                <w:sz w:val="16"/>
                <w:sz w:val="20"/>
                <w:highlight w:val="white"/>
              </w:rPr>
              <w:t>(6)</w:t>
            </w:r>
            <w:r>
              <w:rPr/>
              <w:t xml:space="preserve"> </w:t>
            </w:r>
          </w:p>
        </w:tc>
        <w:tc>
          <w:tcPr>
            <w:tcW w:w="4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15.55</w:t>
            </w:r>
            <w:r>
              <w:rPr>
                <w:rFonts w:ascii="Times;serif" w:hAnsi="Times;serif"/>
                <w:color w:val="008000"/>
                <w:position w:val="7"/>
                <w:sz w:val="16"/>
                <w:sz w:val="20"/>
                <w:highlight w:val="white"/>
              </w:rPr>
              <w:t>(6)</w:t>
            </w:r>
            <w:r>
              <w:rPr/>
              <w:t xml:space="preserve"> </w:t>
            </w:r>
          </w:p>
        </w:tc>
        <w:tc>
          <w:tcPr>
            <w:tcW w:w="13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2,511,171</w:t>
            </w:r>
          </w:p>
        </w:tc>
        <w:tc>
          <w:tcPr>
            <w:tcW w:w="9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(3)</w:t>
            </w:r>
            <w:r>
              <w:rPr/>
              <w:t xml:space="preserve"> </w:t>
            </w:r>
          </w:p>
        </w:tc>
      </w:tr>
      <w:tr>
        <w:trPr/>
        <w:tc>
          <w:tcPr>
            <w:tcW w:w="1964"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05/11/2022</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28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9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811</w:t>
            </w:r>
            <w:r>
              <w:rPr>
                <w:rFonts w:ascii="Times;serif" w:hAnsi="Times;serif"/>
                <w:color w:val="008000"/>
                <w:position w:val="7"/>
                <w:sz w:val="16"/>
                <w:sz w:val="20"/>
                <w:highlight w:val="white"/>
              </w:rPr>
              <w:t>(7)</w:t>
            </w:r>
            <w:r>
              <w:rPr/>
              <w:t xml:space="preserve"> </w:t>
            </w:r>
          </w:p>
        </w:tc>
        <w:tc>
          <w:tcPr>
            <w:tcW w:w="4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8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16.52</w:t>
            </w:r>
            <w:r>
              <w:rPr>
                <w:rFonts w:ascii="Times;serif" w:hAnsi="Times;serif"/>
                <w:color w:val="008000"/>
                <w:position w:val="7"/>
                <w:sz w:val="16"/>
                <w:sz w:val="20"/>
                <w:highlight w:val="white"/>
              </w:rPr>
              <w:t>(7)</w:t>
            </w:r>
            <w:r>
              <w:rPr/>
              <w:t xml:space="preserve"> </w:t>
            </w:r>
          </w:p>
        </w:tc>
        <w:tc>
          <w:tcPr>
            <w:tcW w:w="13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2,510,360</w:t>
            </w:r>
          </w:p>
        </w:tc>
        <w:tc>
          <w:tcPr>
            <w:tcW w:w="9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(3)</w:t>
            </w:r>
            <w:r>
              <w:rPr/>
              <w:t xml:space="preserve"> </w:t>
            </w:r>
          </w:p>
        </w:tc>
      </w:tr>
      <w:tr>
        <w:trPr/>
        <w:tc>
          <w:tcPr>
            <w:tcW w:w="1964"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05/11/2022</w:t>
            </w:r>
          </w:p>
        </w:tc>
        <w:tc>
          <w:tcPr>
            <w:tcW w:w="78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28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9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1,389</w:t>
            </w:r>
            <w:r>
              <w:rPr>
                <w:rFonts w:ascii="Times;serif" w:hAnsi="Times;serif"/>
                <w:color w:val="008000"/>
                <w:position w:val="7"/>
                <w:sz w:val="16"/>
                <w:sz w:val="20"/>
                <w:highlight w:val="white"/>
              </w:rPr>
              <w:t>(8)</w:t>
            </w:r>
            <w:r>
              <w:rPr/>
              <w:t xml:space="preserve"> </w:t>
            </w:r>
          </w:p>
        </w:tc>
        <w:tc>
          <w:tcPr>
            <w:tcW w:w="41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8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16.52</w:t>
            </w:r>
            <w:r>
              <w:rPr>
                <w:rFonts w:ascii="Times;serif" w:hAnsi="Times;serif"/>
                <w:color w:val="008000"/>
                <w:position w:val="7"/>
                <w:sz w:val="16"/>
                <w:sz w:val="20"/>
                <w:highlight w:val="white"/>
              </w:rPr>
              <w:t>(8)</w:t>
            </w:r>
            <w:r>
              <w:rPr/>
              <w:t xml:space="preserve"> </w:t>
            </w:r>
          </w:p>
        </w:tc>
        <w:tc>
          <w:tcPr>
            <w:tcW w:w="13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2,508,971</w:t>
            </w:r>
          </w:p>
        </w:tc>
        <w:tc>
          <w:tcPr>
            <w:tcW w:w="9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note</w:t>
            </w:r>
            <w:r>
              <w:rPr>
                <w:rFonts w:ascii="Times;serif" w:hAnsi="Times;serif"/>
                <w:color w:val="008000"/>
                <w:position w:val="7"/>
                <w:sz w:val="16"/>
                <w:sz w:val="20"/>
                <w:highlight w:val="white"/>
              </w:rPr>
              <w:t>(3)</w:t>
            </w:r>
            <w:r>
              <w:rPr/>
              <w:t xml:space="preserve"> </w:t>
            </w:r>
          </w:p>
        </w:tc>
      </w:tr>
    </w:tbl>
    <w:tbl>
      <w:tblPr>
        <w:tblW w:w="12779" w:type="dxa"/>
        <w:jc w:val="left"/>
        <w:tblInd w:w="0" w:type="dxa"/>
        <w:tblCellMar>
          <w:top w:w="60" w:type="dxa"/>
          <w:left w:w="60" w:type="dxa"/>
          <w:bottom w:w="60" w:type="dxa"/>
          <w:right w:w="60" w:type="dxa"/>
        </w:tblCellMar>
      </w:tblPr>
      <w:tblGrid>
        <w:gridCol w:w="815"/>
        <w:gridCol w:w="861"/>
        <w:gridCol w:w="891"/>
        <w:gridCol w:w="771"/>
        <w:gridCol w:w="660"/>
        <w:gridCol w:w="231"/>
        <w:gridCol w:w="276"/>
        <w:gridCol w:w="966"/>
        <w:gridCol w:w="906"/>
        <w:gridCol w:w="801"/>
        <w:gridCol w:w="891"/>
        <w:gridCol w:w="1161"/>
        <w:gridCol w:w="801"/>
        <w:gridCol w:w="1071"/>
        <w:gridCol w:w="831"/>
        <w:gridCol w:w="846"/>
      </w:tblGrid>
      <w:tr>
        <w:trPr>
          <w:tblHeader w:val="true"/>
        </w:trPr>
        <w:tc>
          <w:tcPr>
            <w:tcW w:w="1277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6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LLC Units of AIDH Topco, LLC</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05/10/2022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w:t>
            </w:r>
            <w:r>
              <w:rPr>
                <w:rFonts w:ascii="Times;serif" w:hAnsi="Times;serif"/>
                <w:color w:val="008000"/>
                <w:position w:val="7"/>
                <w:sz w:val="16"/>
                <w:sz w:val="20"/>
                <w:highlight w:val="white"/>
              </w:rPr>
              <w:t>(1)(2)</w:t>
            </w:r>
            <w:r>
              <w:rPr/>
              <w:t xml:space="preserve"> </w:t>
            </w:r>
          </w:p>
        </w:tc>
        <w:tc>
          <w:tcPr>
            <w:tcW w:w="23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2,717,042</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2,717,042</w:t>
            </w: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10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24,091,844</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See note</w:t>
            </w:r>
            <w:r>
              <w:rPr>
                <w:rFonts w:ascii="Times;serif" w:hAnsi="Times;serif"/>
                <w:color w:val="008000"/>
                <w:position w:val="7"/>
                <w:sz w:val="16"/>
                <w:sz w:val="20"/>
                <w:highlight w:val="white"/>
              </w:rPr>
              <w:t>(3)</w:t>
            </w:r>
            <w:r>
              <w:rPr/>
              <w:t xml:space="preserve"> </w:t>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SEA VII Management,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140 NEW MONTGOMERY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FRANCISCO</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SE VII DHC AIV,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140 NEW MONTGOMERY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FRANCISCO</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SE VII DHC AIV Feeder,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140 NEW MONTGOMERY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FRANCISCO</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Spectrum VII Investment Managers' Fund,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140 NEW MONTGOMERY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FRANCISCO</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9">
                    <w:r>
                      <w:rPr>
                        <w:rStyle w:val="InternetLink"/>
                      </w:rPr>
                      <w:t>Spectrum VII Co-Investment Fund,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140 NEW MONTGOMERY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FRANCISCO</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10">
                    <w:r>
                      <w:rPr>
                        <w:rStyle w:val="InternetLink"/>
                      </w:rPr>
                      <w:t>Spectrum Equity Associates VII,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140 NEW MONTGOMERY STREET,</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FRANCISCO</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94105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See Exhibit 99.1 for the text of footnote (1).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See Exhibit 99.1 for the text of footnote (2).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See Exhibit 99.1 for the text of footnote (3).</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See Exhibit 99.1 for the text of footnote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See Exhibit 99.1 for the text of footnote (5).</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See Exhibit 99.1 for the text of footnote (6).</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See Exhibit 99.1 for the text of footnote (7).</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See Exhibit 99.1 for the text of footnote (8).</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Christopher T. Mitchell, a Managing Director of Spectrum and Jeffrey C. Haywood, a Managing Director of Spectrum (together, the "Spectrum Directors"), each serve on the board of directors of the Issuer, and have been deputized to represent the Reporting Persons on the board of directors. By virtue of the Spectrum Directors' representation, for purposes of Section 16 of the Securities Exchange Act of 1934, each of the Reporting Persons may be deemed directors by deputization of the Issuer. The Spectrum Directors have filed separate Section 16 reports disclosing securities of the Issuer that they may be deemed to beneficially own for Section 16 purposes.</w:t>
            </w:r>
          </w:p>
        </w:tc>
      </w:tr>
    </w:tbl>
    <w:tbl>
      <w:tblPr>
        <w:tblW w:w="5000" w:type="pct"/>
        <w:jc w:val="left"/>
        <w:tblInd w:w="0" w:type="dxa"/>
        <w:tblCellMar>
          <w:top w:w="28" w:type="dxa"/>
          <w:left w:w="28" w:type="dxa"/>
          <w:bottom w:w="28" w:type="dxa"/>
          <w:right w:w="28" w:type="dxa"/>
        </w:tblCellMar>
      </w:tblPr>
      <w:tblGrid>
        <w:gridCol w:w="6002"/>
        <w:gridCol w:w="2156"/>
        <w:gridCol w:w="2047"/>
      </w:tblGrid>
      <w:tr>
        <w:trPr/>
        <w:tc>
          <w:tcPr>
            <w:tcW w:w="6002"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SEA VII MANAGEMENT, LLC, By: /s/ Carolina A. Picazo, Chief Administrative Officer &amp; Chief Compliance Officer</w:t>
            </w:r>
          </w:p>
        </w:tc>
        <w:tc>
          <w:tcPr>
            <w:tcW w:w="204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002"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SE VII DHC AIV, L.P., By: Spectrum Equity Associates VII, L.P., its general partner, By: SEA VII Management, LLC, its general partner, By: /s/Carolina A. Picazo, its Chief Administrative Officer &amp; Chief Compliance Officer</w:t>
            </w:r>
          </w:p>
        </w:tc>
        <w:tc>
          <w:tcPr>
            <w:tcW w:w="204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002"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SE VII DHC AIV FEEDER, L.P., By: Spectrum Equity Associates VII, L.P., its general partner, By: SEA Management, LLC, its general partner, By: /s/ Carolina A. Picazo, Chief Administrative Officer &amp; Chief Compliance Officer</w:t>
            </w:r>
          </w:p>
        </w:tc>
        <w:tc>
          <w:tcPr>
            <w:tcW w:w="204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002"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SPECTRUM VII INVESTMENT MANAGERS' FUND, L.P., By: SEA Management, LLC, its general partner, By: /s/ Carolina A. Picazo, Chief Administrative Officer &amp; Chief Compliance Officer</w:t>
            </w:r>
          </w:p>
        </w:tc>
        <w:tc>
          <w:tcPr>
            <w:tcW w:w="204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002"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SPECTRUM VII CO-INVESTMENT FUND, L.P., By: /s/ Carolina A. Picazo, Chief Administrative Officer &amp; Chief Compliance Officer</w:t>
            </w:r>
          </w:p>
        </w:tc>
        <w:tc>
          <w:tcPr>
            <w:tcW w:w="204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002"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SPECTRUM EQUITY ASSOCIATES VII, L.P., By: SEA Management, LLC, its general partner, By: /s/ Carolina A. Picazo, Chief Administrative Officer &amp; Chief Compliance Officer</w:t>
            </w:r>
          </w:p>
        </w:tc>
        <w:tc>
          <w:tcPr>
            <w:tcW w:w="2047"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002" w:type="dxa"/>
            <w:tcBorders/>
            <w:shd w:fill="auto" w:val="clear"/>
            <w:vAlign w:val="center"/>
          </w:tcPr>
          <w:p>
            <w:pPr>
              <w:pStyle w:val="TableContents"/>
              <w:spacing w:before="0" w:after="283"/>
              <w:rPr>
                <w:sz w:val="4"/>
                <w:szCs w:val="4"/>
              </w:rPr>
            </w:pPr>
            <w:r>
              <w:rPr>
                <w:sz w:val="4"/>
                <w:szCs w:val="4"/>
              </w:rPr>
            </w:r>
          </w:p>
        </w:tc>
        <w:tc>
          <w:tcPr>
            <w:tcW w:w="2156"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7"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attachment1.htm"/>
      <w:bookmarkStart w:id="3" w:name="ksattachment1"/>
      <w:bookmarkEnd w:id="2"/>
      <w:bookmarkEnd w:id="3"/>
      <w:r>
        <w:rPr/>
        <w:t xml:space="preserve">                                                                   </w:t>
      </w:r>
      <w:r>
        <w:rPr/>
        <w:t>Exhibit 99.1</w:t>
      </w:r>
    </w:p>
    <w:p>
      <w:pPr>
        <w:pStyle w:val="PreformattedText"/>
        <w:rPr/>
      </w:pPr>
      <w:r>
        <w:rPr/>
      </w:r>
    </w:p>
    <w:p>
      <w:pPr>
        <w:pStyle w:val="PreformattedText"/>
        <w:rPr/>
      </w:pPr>
      <w:r>
        <w:rPr/>
        <w:t xml:space="preserve">                                </w:t>
      </w:r>
      <w:r>
        <w:rPr/>
        <w:t>Explanatory Note</w:t>
      </w:r>
    </w:p>
    <w:p>
      <w:pPr>
        <w:pStyle w:val="PreformattedText"/>
        <w:rPr/>
      </w:pPr>
      <w:r>
        <w:rPr/>
      </w:r>
    </w:p>
    <w:p>
      <w:pPr>
        <w:pStyle w:val="PreformattedText"/>
        <w:rPr/>
      </w:pPr>
      <w:r>
        <w:rPr/>
        <w:t>(1)    Represents the exchange of limited liability company units ("LLC Units")</w:t>
      </w:r>
    </w:p>
    <w:p>
      <w:pPr>
        <w:pStyle w:val="PreformattedText"/>
        <w:rPr/>
      </w:pPr>
      <w:r>
        <w:rPr/>
        <w:t>of AIDH Topco, LLC ("Definitive OpCo"), a subsidiary of the Issuer, together</w:t>
      </w:r>
    </w:p>
    <w:p>
      <w:pPr>
        <w:pStyle w:val="PreformattedText"/>
        <w:rPr/>
      </w:pPr>
      <w:r>
        <w:rPr/>
        <w:t>with the cancellation of an equal number of the Issuer's Class B Common Stock</w:t>
      </w:r>
    </w:p>
    <w:p>
      <w:pPr>
        <w:pStyle w:val="PreformattedText"/>
        <w:rPr/>
      </w:pPr>
      <w:r>
        <w:rPr/>
        <w:t>for shares of the Issuer's Class A Common Stock on a one-for-one basis. The LLC</w:t>
      </w:r>
    </w:p>
    <w:p>
      <w:pPr>
        <w:pStyle w:val="PreformattedText"/>
        <w:rPr/>
      </w:pPr>
      <w:r>
        <w:rPr/>
        <w:t>Units exchanged and an equal number of shares of Class B Common Stock cancelled</w:t>
      </w:r>
    </w:p>
    <w:p>
      <w:pPr>
        <w:pStyle w:val="PreformattedText"/>
        <w:rPr/>
      </w:pPr>
      <w:r>
        <w:rPr/>
        <w:t>by each Spectrum Fund (as defined below) are as follows: (i) 2,710,802 by SE</w:t>
      </w:r>
    </w:p>
    <w:p>
      <w:pPr>
        <w:pStyle w:val="PreformattedText"/>
        <w:rPr/>
      </w:pPr>
      <w:r>
        <w:rPr/>
        <w:t>VII DHC AIV, L.P. ("SE VII DHC AIV"), (ii) 3,939 by Spectrum VII Investment</w:t>
      </w:r>
    </w:p>
    <w:p>
      <w:pPr>
        <w:pStyle w:val="PreformattedText"/>
        <w:rPr/>
      </w:pPr>
      <w:r>
        <w:rPr/>
        <w:t>Managers' Fund, L.P. ("Spectrum VII Investment Managers' Fund") and (iii) 2,301</w:t>
      </w:r>
    </w:p>
    <w:p>
      <w:pPr>
        <w:pStyle w:val="PreformattedText"/>
        <w:rPr/>
      </w:pPr>
      <w:r>
        <w:rPr/>
        <w:t>by Spectrum VII Co-Investment Fund, L.P. ("Spectrum VII Co-Investment Fund").</w:t>
      </w:r>
    </w:p>
    <w:p>
      <w:pPr>
        <w:pStyle w:val="PreformattedText"/>
        <w:rPr/>
      </w:pPr>
      <w:r>
        <w:rPr/>
      </w:r>
    </w:p>
    <w:p>
      <w:pPr>
        <w:pStyle w:val="PreformattedText"/>
        <w:rPr/>
      </w:pPr>
      <w:r>
        <w:rPr/>
        <w:t>(2)    The Second Amended and Restated Limited Liability Company Agreement of</w:t>
      </w:r>
    </w:p>
    <w:p>
      <w:pPr>
        <w:pStyle w:val="PreformattedText"/>
        <w:rPr/>
      </w:pPr>
      <w:r>
        <w:rPr/>
        <w:t>Definitive OpCo permits holders of LLC Units to exchange their LLC Units for</w:t>
      </w:r>
    </w:p>
    <w:p>
      <w:pPr>
        <w:pStyle w:val="PreformattedText"/>
        <w:rPr/>
      </w:pPr>
      <w:r>
        <w:rPr/>
        <w:t>shares of Class A Common Stock on a one-for-one basis, subject to certain</w:t>
      </w:r>
    </w:p>
    <w:p>
      <w:pPr>
        <w:pStyle w:val="PreformattedText"/>
        <w:rPr/>
      </w:pPr>
      <w:r>
        <w:rPr/>
        <w:t>exceptions, conditions and adjustments. At the time of any such exchange, an</w:t>
      </w:r>
    </w:p>
    <w:p>
      <w:pPr>
        <w:pStyle w:val="PreformattedText"/>
        <w:rPr/>
      </w:pPr>
      <w:r>
        <w:rPr/>
        <w:t>equal number of shares of Class B Common Stock of the Issuer held by the</w:t>
      </w:r>
    </w:p>
    <w:p>
      <w:pPr>
        <w:pStyle w:val="PreformattedText"/>
        <w:rPr/>
      </w:pPr>
      <w:r>
        <w:rPr/>
        <w:t>Reporting Person, which have no economic value and entitle holders thereof to</w:t>
      </w:r>
    </w:p>
    <w:p>
      <w:pPr>
        <w:pStyle w:val="PreformattedText"/>
        <w:rPr/>
      </w:pPr>
      <w:r>
        <w:rPr/>
        <w:t>one vote per share on all matters on which stockholders of the Issuer are</w:t>
      </w:r>
    </w:p>
    <w:p>
      <w:pPr>
        <w:pStyle w:val="PreformattedText"/>
        <w:rPr/>
      </w:pPr>
      <w:r>
        <w:rPr/>
        <w:t>entitled to vote generally, are cancelled. The LLC Units have no expiration</w:t>
      </w:r>
    </w:p>
    <w:p>
      <w:pPr>
        <w:pStyle w:val="PreformattedText"/>
        <w:rPr/>
      </w:pPr>
      <w:r>
        <w:rPr/>
        <w:t>date.</w:t>
      </w:r>
    </w:p>
    <w:p>
      <w:pPr>
        <w:pStyle w:val="PreformattedText"/>
        <w:rPr/>
      </w:pPr>
      <w:r>
        <w:rPr/>
      </w:r>
    </w:p>
    <w:p>
      <w:pPr>
        <w:pStyle w:val="PreformattedText"/>
        <w:rPr/>
      </w:pPr>
      <w:r>
        <w:rPr/>
        <w:t>(3)    SEA VII Management, LLC ("Spectrum") manages the Spectrum Funds (as</w:t>
      </w:r>
    </w:p>
    <w:p>
      <w:pPr>
        <w:pStyle w:val="PreformattedText"/>
        <w:rPr/>
      </w:pPr>
      <w:r>
        <w:rPr/>
        <w:t>defined below) that collectively own, following the reported transactions,</w:t>
      </w:r>
    </w:p>
    <w:p>
      <w:pPr>
        <w:pStyle w:val="PreformattedText"/>
        <w:rPr/>
      </w:pPr>
      <w:r>
        <w:rPr/>
        <w:t>2,508,971 shares of Class A Common Stock of the Issuer and 24,091,844 shares of</w:t>
      </w:r>
    </w:p>
    <w:p>
      <w:pPr>
        <w:pStyle w:val="PreformattedText"/>
        <w:rPr/>
      </w:pPr>
      <w:r>
        <w:rPr/>
        <w:t>Class B common stock of the Issuer, which are represented as follows: (i)</w:t>
      </w:r>
    </w:p>
    <w:p>
      <w:pPr>
        <w:pStyle w:val="PreformattedText"/>
        <w:rPr/>
      </w:pPr>
      <w:r>
        <w:rPr/>
        <w:t>2,508,971 shares of Class A Common Stock held directly by SE VII DHC AIV</w:t>
      </w:r>
    </w:p>
    <w:p>
      <w:pPr>
        <w:pStyle w:val="PreformattedText"/>
        <w:rPr/>
      </w:pPr>
      <w:r>
        <w:rPr/>
        <w:t>Feeder, L.P. ("Spectrum Feeder" and together with SE VII DHC AIV, Spectrum VII</w:t>
      </w:r>
    </w:p>
    <w:p>
      <w:pPr>
        <w:pStyle w:val="PreformattedText"/>
        <w:rPr/>
      </w:pPr>
      <w:r>
        <w:rPr/>
        <w:t>Investment Managers' Fund and Spectrum VII Co-Investment Fund, the "Spectrum</w:t>
      </w:r>
    </w:p>
    <w:p>
      <w:pPr>
        <w:pStyle w:val="PreformattedText"/>
        <w:rPr/>
      </w:pPr>
      <w:r>
        <w:rPr/>
        <w:t>Funds"), (ii) 24,036,516 shares of Class B Common Stock held directly by SE VII</w:t>
      </w:r>
    </w:p>
    <w:p>
      <w:pPr>
        <w:pStyle w:val="PreformattedText"/>
        <w:rPr/>
      </w:pPr>
      <w:r>
        <w:rPr/>
        <w:t>DHC AIV; (iii) 34,926 shares of Class B Common Stock held directly by Spectrum</w:t>
      </w:r>
    </w:p>
    <w:p>
      <w:pPr>
        <w:pStyle w:val="PreformattedText"/>
        <w:rPr/>
      </w:pPr>
      <w:r>
        <w:rPr/>
        <w:t>VII Investment Managers' Fund; and (iv) 20,402 shares of Class B Common Stock</w:t>
      </w:r>
    </w:p>
    <w:p>
      <w:pPr>
        <w:pStyle w:val="PreformattedText"/>
        <w:rPr/>
      </w:pPr>
      <w:r>
        <w:rPr/>
        <w:t>held directly by Spectrum VII Co-Investment Fund. Spectrum is the general</w:t>
      </w:r>
    </w:p>
    <w:p>
      <w:pPr>
        <w:pStyle w:val="PreformattedText"/>
        <w:rPr/>
      </w:pPr>
      <w:r>
        <w:rPr/>
        <w:t>partner of Spectrum Equity Associates VII, L.P., which in turn is the general</w:t>
      </w:r>
    </w:p>
    <w:p>
      <w:pPr>
        <w:pStyle w:val="PreformattedText"/>
        <w:rPr/>
      </w:pPr>
      <w:r>
        <w:rPr/>
        <w:t>partner of each of the Spectrum Funds. Each Reporting Person disclaims Section</w:t>
      </w:r>
    </w:p>
    <w:p>
      <w:pPr>
        <w:pStyle w:val="PreformattedText"/>
        <w:rPr/>
      </w:pPr>
      <w:r>
        <w:rPr/>
        <w:t>16 beneficial ownership of the shares reported herein except to the extent of</w:t>
      </w:r>
    </w:p>
    <w:p>
      <w:pPr>
        <w:pStyle w:val="PreformattedText"/>
        <w:rPr/>
      </w:pPr>
      <w:r>
        <w:rPr/>
        <w:t>its pecuniary interest therein, if any, and the inclusion of these shares in</w:t>
      </w:r>
    </w:p>
    <w:p>
      <w:pPr>
        <w:pStyle w:val="PreformattedText"/>
        <w:rPr/>
      </w:pPr>
      <w:r>
        <w:rPr/>
        <w:t>this report shall not be deemed an admission of beneficial ownership of any of</w:t>
      </w:r>
    </w:p>
    <w:p>
      <w:pPr>
        <w:pStyle w:val="PreformattedText"/>
        <w:rPr/>
      </w:pPr>
      <w:r>
        <w:rPr/>
        <w:t>the reported shares for purposes of Section 16 or any other purpose.</w:t>
      </w:r>
    </w:p>
    <w:p>
      <w:pPr>
        <w:pStyle w:val="PreformattedText"/>
        <w:rPr/>
      </w:pPr>
      <w:r>
        <w:rPr/>
      </w:r>
    </w:p>
    <w:p>
      <w:pPr>
        <w:pStyle w:val="PreformattedText"/>
        <w:rPr/>
      </w:pPr>
      <w:r>
        <w:rPr/>
        <w:t>(4)    Represents a pro rata distribution in kind of the Issuer's Class A</w:t>
      </w:r>
    </w:p>
    <w:p>
      <w:pPr>
        <w:pStyle w:val="PreformattedText"/>
        <w:rPr/>
      </w:pPr>
      <w:r>
        <w:rPr/>
        <w:t>Common Stock for no consideration to limited partners by the Spectrum Funds in</w:t>
      </w:r>
    </w:p>
    <w:p>
      <w:pPr>
        <w:pStyle w:val="PreformattedText"/>
        <w:rPr/>
      </w:pPr>
      <w:r>
        <w:rPr/>
        <w:t>the following amounts: (i) 282,958 shares by Spectrum Feeder and (ii) 2,710,802</w:t>
      </w:r>
    </w:p>
    <w:p>
      <w:pPr>
        <w:pStyle w:val="PreformattedText"/>
        <w:rPr/>
      </w:pPr>
      <w:r>
        <w:rPr/>
        <w:t>shares by SE VII DHC AIV. The other Spectrum Funds did not distribute any</w:t>
      </w:r>
    </w:p>
    <w:p>
      <w:pPr>
        <w:pStyle w:val="PreformattedText"/>
        <w:rPr/>
      </w:pPr>
      <w:r>
        <w:rPr/>
        <w:t>shares of Class A Common Stock.</w:t>
      </w:r>
    </w:p>
    <w:p>
      <w:pPr>
        <w:pStyle w:val="PreformattedText"/>
        <w:rPr/>
      </w:pPr>
      <w:r>
        <w:rPr/>
      </w:r>
    </w:p>
    <w:p>
      <w:pPr>
        <w:pStyle w:val="PreformattedText"/>
        <w:rPr/>
      </w:pPr>
      <w:r>
        <w:rPr/>
        <w:t>(5)    Represents the sale of shares of Class A Common Stock by Spectrum VII</w:t>
      </w:r>
    </w:p>
    <w:p>
      <w:pPr>
        <w:pStyle w:val="PreformattedText"/>
        <w:rPr/>
      </w:pPr>
      <w:r>
        <w:rPr/>
        <w:t>Co-Investment Fund. The price reported in Column 4 is a weighted average price.</w:t>
      </w:r>
    </w:p>
    <w:p>
      <w:pPr>
        <w:pStyle w:val="PreformattedText"/>
        <w:rPr/>
      </w:pPr>
      <w:r>
        <w:rPr/>
        <w:t>These shares were sold in multiple transactions at prices ranging from $15.23 to</w:t>
      </w:r>
    </w:p>
    <w:p>
      <w:pPr>
        <w:pStyle w:val="PreformattedText"/>
        <w:rPr/>
      </w:pPr>
      <w:r>
        <w:rPr/>
        <w:t>$16.19, inclusive. The Reporting Persons undertake to provide to Definitive</w:t>
      </w:r>
    </w:p>
    <w:p>
      <w:pPr>
        <w:pStyle w:val="PreformattedText"/>
        <w:rPr/>
      </w:pPr>
      <w:r>
        <w:rPr/>
        <w:t>Healthcare Corp., any security holder, or the staff of the Securities Exchange</w:t>
      </w:r>
    </w:p>
    <w:p>
      <w:pPr>
        <w:pStyle w:val="PreformattedText"/>
        <w:rPr/>
      </w:pPr>
      <w:r>
        <w:rPr/>
        <w:t>Commission, upon request, full information regarding the number of shares sold</w:t>
      </w:r>
    </w:p>
    <w:p>
      <w:pPr>
        <w:pStyle w:val="PreformattedText"/>
        <w:rPr/>
      </w:pPr>
      <w:r>
        <w:rPr/>
        <w:t>at each separate price within the ranges set for in footnotes (5), (6), (7) and</w:t>
      </w:r>
    </w:p>
    <w:p>
      <w:pPr>
        <w:pStyle w:val="PreformattedText"/>
        <w:rPr/>
      </w:pPr>
      <w:r>
        <w:rPr/>
        <w:t>(8) to Form 4.</w:t>
      </w:r>
    </w:p>
    <w:p>
      <w:pPr>
        <w:pStyle w:val="PreformattedText"/>
        <w:rPr/>
      </w:pPr>
      <w:r>
        <w:rPr/>
      </w:r>
    </w:p>
    <w:p>
      <w:pPr>
        <w:pStyle w:val="PreformattedText"/>
        <w:rPr/>
      </w:pPr>
      <w:r>
        <w:rPr/>
        <w:t>(6)    Represents the sale of shares of Class A Common Stock by Spectrum VII</w:t>
      </w:r>
    </w:p>
    <w:p>
      <w:pPr>
        <w:pStyle w:val="PreformattedText"/>
        <w:rPr/>
      </w:pPr>
      <w:r>
        <w:rPr/>
        <w:t>Investment Managers Fund. The price reported in Column 4 is a weighted average</w:t>
      </w:r>
    </w:p>
    <w:p>
      <w:pPr>
        <w:pStyle w:val="PreformattedText"/>
        <w:rPr/>
      </w:pPr>
      <w:r>
        <w:rPr/>
        <w:t>price. These shares were sold in multiple transactions at prices ranging from</w:t>
      </w:r>
    </w:p>
    <w:p>
      <w:pPr>
        <w:pStyle w:val="PreformattedText"/>
        <w:rPr/>
      </w:pPr>
      <w:r>
        <w:rPr/>
        <w:t>$15.23 to $16.19, inclusive.</w:t>
      </w:r>
    </w:p>
    <w:p>
      <w:pPr>
        <w:pStyle w:val="PreformattedText"/>
        <w:rPr/>
      </w:pPr>
      <w:r>
        <w:rPr/>
      </w:r>
    </w:p>
    <w:p>
      <w:pPr>
        <w:pStyle w:val="PreformattedText"/>
        <w:rPr/>
      </w:pPr>
      <w:r>
        <w:rPr/>
        <w:t>(7)    Represents the sale of shares of Class A Common Stock by Spectrum VII</w:t>
      </w:r>
    </w:p>
    <w:p>
      <w:pPr>
        <w:pStyle w:val="PreformattedText"/>
        <w:rPr/>
      </w:pPr>
      <w:r>
        <w:rPr/>
        <w:t>Co-Investment Fund. The price reported in Column 4 is a weighted average price.</w:t>
      </w:r>
    </w:p>
    <w:p>
      <w:pPr>
        <w:pStyle w:val="PreformattedText"/>
        <w:rPr/>
      </w:pPr>
      <w:r>
        <w:rPr/>
        <w:t>These shares were sold in multiple transactions at prices ranging from $16.23 to</w:t>
      </w:r>
    </w:p>
    <w:p>
      <w:pPr>
        <w:pStyle w:val="PreformattedText"/>
        <w:rPr/>
      </w:pPr>
      <w:r>
        <w:rPr/>
        <w:t>$17.03, inclusive.</w:t>
      </w:r>
    </w:p>
    <w:p>
      <w:pPr>
        <w:pStyle w:val="PreformattedText"/>
        <w:rPr/>
      </w:pPr>
      <w:r>
        <w:rPr/>
      </w:r>
    </w:p>
    <w:p>
      <w:pPr>
        <w:pStyle w:val="PreformattedText"/>
        <w:rPr/>
      </w:pPr>
      <w:r>
        <w:rPr/>
        <w:t>(8)    Represents the sale of shares of Class A Common Stock by Spectrum VII</w:t>
      </w:r>
    </w:p>
    <w:p>
      <w:pPr>
        <w:pStyle w:val="PreformattedText"/>
        <w:rPr/>
      </w:pPr>
      <w:r>
        <w:rPr/>
        <w:t>Investment Managers Fund. The price reported in Column 4 is a weighted average</w:t>
      </w:r>
    </w:p>
    <w:p>
      <w:pPr>
        <w:pStyle w:val="PreformattedText"/>
        <w:rPr/>
      </w:pPr>
      <w:r>
        <w:rPr/>
        <w:t>price. These shares were sold in multiple transactions at prices ranging from</w:t>
      </w:r>
    </w:p>
    <w:p>
      <w:pPr>
        <w:pStyle w:val="PreformattedText"/>
        <w:spacing w:before="0" w:after="283"/>
        <w:rPr/>
      </w:pPr>
      <w:r>
        <w:rPr/>
        <w:t>$16.23 to $17.03, inclusive.</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4265" TargetMode="External"/><Relationship Id="rId4" Type="http://schemas.openxmlformats.org/officeDocument/2006/relationships/hyperlink" Target="http://www.sec.gov/cgi-bin/browse-edgar?action=getcompany&amp;CIK=0001861795" TargetMode="External"/><Relationship Id="rId5" Type="http://schemas.openxmlformats.org/officeDocument/2006/relationships/hyperlink" Target="http://www.sec.gov/cgi-bin/browse-edgar?action=getcompany&amp;CIK=0001824265" TargetMode="External"/><Relationship Id="rId6" Type="http://schemas.openxmlformats.org/officeDocument/2006/relationships/hyperlink" Target="http://www.sec.gov/cgi-bin/browse-edgar?action=getcompany&amp;CIK=0001879386" TargetMode="External"/><Relationship Id="rId7" Type="http://schemas.openxmlformats.org/officeDocument/2006/relationships/hyperlink" Target="http://www.sec.gov/cgi-bin/browse-edgar?action=getcompany&amp;CIK=0001879377" TargetMode="External"/><Relationship Id="rId8" Type="http://schemas.openxmlformats.org/officeDocument/2006/relationships/hyperlink" Target="http://www.sec.gov/cgi-bin/browse-edgar?action=getcompany&amp;CIK=0001626997" TargetMode="External"/><Relationship Id="rId9" Type="http://schemas.openxmlformats.org/officeDocument/2006/relationships/hyperlink" Target="http://www.sec.gov/cgi-bin/browse-edgar?action=getcompany&amp;CIK=0001822087" TargetMode="External"/><Relationship Id="rId10" Type="http://schemas.openxmlformats.org/officeDocument/2006/relationships/hyperlink" Target="http://www.sec.gov/cgi-bin/browse-edgar?action=getcompany&amp;CIK=0001824228"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1848</Words>
  <CharactersWithSpaces>11425</CharactersWithSpaces>
  <Paragraphs>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