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dh-20260226.htm"/>
      <w:bookmarkStart w:id="1" w:name="ksdh20260226"/>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4"/>
        </w:rPr>
      </w:pPr>
      <w:r>
        <w:rPr>
          <w:rFonts w:ascii="Times New Roman" w:hAnsi="Times New Roman"/>
          <w:b/>
          <w:color w:val="000000"/>
          <w:sz w:val="34"/>
        </w:rPr>
        <w:t>FORM 8-K</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w:t>
      </w:r>
    </w:p>
    <w:p>
      <w:pPr>
        <w:pStyle w:val="TextBody"/>
        <w:bidi w:val="0"/>
        <w:jc w:val="center"/>
        <w:rPr>
          <w:rFonts w:ascii="Times New Roman" w:hAnsi="Times New Roman"/>
          <w:b/>
          <w:color w:val="000000"/>
          <w:sz w:val="24"/>
        </w:rPr>
      </w:pPr>
      <w:r>
        <w:rPr>
          <w:rFonts w:ascii="Times New Roman" w:hAnsi="Times New Roman"/>
          <w:b/>
          <w:color w:val="000000"/>
          <w:sz w:val="24"/>
        </w:rPr>
        <w:t>February 26, 2026</w:t>
      </w:r>
    </w:p>
    <w:p>
      <w:pPr>
        <w:pStyle w:val="TextBody"/>
        <w:pBdr>
          <w:top w:val="single" w:sz="6" w:space="1" w:color="000000"/>
        </w:pBdr>
        <w:bidi w:val="0"/>
        <w:spacing w:before="240" w:after="283"/>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Definitive Healthcare Corp.</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tbl>
      <w:tblPr>
        <w:tblW w:w="5703" w:type="dxa"/>
        <w:jc w:val="left"/>
        <w:tblInd w:w="0" w:type="dxa"/>
        <w:tblLayout w:type="fixed"/>
        <w:tblCellMar>
          <w:top w:w="28" w:type="dxa"/>
          <w:left w:w="28" w:type="dxa"/>
          <w:bottom w:w="28" w:type="dxa"/>
          <w:right w:w="28" w:type="dxa"/>
        </w:tblCellMar>
      </w:tblPr>
      <w:tblGrid>
        <w:gridCol w:w="1231"/>
        <w:gridCol w:w="3136"/>
        <w:gridCol w:w="1336"/>
      </w:tblGrid>
      <w:tr>
        <w:trPr/>
        <w:tc>
          <w:tcPr>
            <w:tcW w:w="1231"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570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 File Number 001-40815</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86-3988281</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w:t>
              <w:br/>
              <w:t>of Incorporation)</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492 Old Connecticut Path, Suite 401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Framingham, Massachusetts</w:t>
            </w:r>
            <w:r>
              <w:rPr>
                <w:rFonts w:ascii="Times New Roman" w:hAnsi="Times New Roman"/>
                <w:color w:val="000000"/>
                <w:sz w:val="20"/>
              </w:rPr>
              <w:t xml:space="preserve"> </w:t>
            </w:r>
            <w:r>
              <w:rPr>
                <w:rFonts w:ascii="Times New Roman" w:hAnsi="Times New Roman"/>
                <w:b/>
                <w:color w:val="000000"/>
                <w:sz w:val="20"/>
              </w:rPr>
              <w:t>01701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5"/>
              </w:rPr>
              <w:t>(Address of Principal Executive Offices)</w:t>
            </w:r>
            <w:r>
              <w:rPr>
                <w:rFonts w:ascii="Times New Roman" w:hAnsi="Times New Roman"/>
                <w:color w:val="000000"/>
                <w:sz w:val="20"/>
              </w:rPr>
              <w:t xml:space="preserve">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bl>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283"/>
              <w:jc w:val="left"/>
              <w:rPr>
                <w:sz w:val="4"/>
                <w:szCs w:val="4"/>
              </w:rPr>
            </w:pPr>
            <w:r>
              <w:rPr>
                <w:sz w:val="4"/>
                <w:szCs w:val="4"/>
              </w:rPr>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508</w:t>
            </w:r>
            <w:r>
              <w:rPr>
                <w:rFonts w:ascii="Times New Roman" w:hAnsi="Times New Roman"/>
                <w:color w:val="000000"/>
                <w:sz w:val="20"/>
              </w:rPr>
              <w:t xml:space="preserve"> </w:t>
            </w:r>
            <w:r>
              <w:rPr>
                <w:rFonts w:ascii="Times New Roman" w:hAnsi="Times New Roman"/>
                <w:b/>
                <w:color w:val="000000"/>
                <w:sz w:val="20"/>
              </w:rPr>
              <w:t>720-4224</w:t>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Registrant’s telephone number, including area code</w:t>
            </w:r>
          </w:p>
        </w:tc>
      </w:tr>
    </w:tbl>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6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0" w:after="6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0" w:after="6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0" w:after="6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00" w:after="16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586" w:type="dxa"/>
        <w:jc w:val="left"/>
        <w:tblInd w:w="0" w:type="dxa"/>
        <w:tblLayout w:type="fixed"/>
        <w:tblCellMar>
          <w:top w:w="28" w:type="dxa"/>
          <w:left w:w="28" w:type="dxa"/>
          <w:bottom w:w="28" w:type="dxa"/>
          <w:right w:w="28" w:type="dxa"/>
        </w:tblCellMar>
      </w:tblPr>
      <w:tblGrid>
        <w:gridCol w:w="3601"/>
        <w:gridCol w:w="109"/>
        <w:gridCol w:w="646"/>
        <w:gridCol w:w="109"/>
        <w:gridCol w:w="3121"/>
      </w:tblGrid>
      <w:tr>
        <w:trPr/>
        <w:tc>
          <w:tcPr>
            <w:tcW w:w="3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w:t>
              <w:br/>
              <w:t>Symbol</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 $0.001 par value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sz w:val="20"/>
        </w:rPr>
      </w:pPr>
      <w:r>
        <w:rPr>
          <w:rFonts w:ascii="Times New Roman" w:hAnsi="Times New Roman"/>
          <w:color w:val="000000"/>
          <w:sz w:val="2"/>
        </w:rPr>
        <w:br/>
      </w:r>
      <w:r>
        <w:rPr>
          <w:rFonts w:ascii="Times New Roman" w:hAnsi="Times New Roman"/>
          <w:color w:val="000000"/>
          <w:sz w:val="20"/>
        </w:rPr>
        <w:t> </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February 26, 2026, Definitive Healthcare Corp. (the “Company”) issued a press release announcing its financial results for the fourth quarter and fiscal year ended December 31, 2025. A copy of the press release is furnished as Exhibit 99.1 to this Current Report on Form 8-K and is incorporated by reference herein.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furnished in this Item 2.02 on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regardless of any general incorporation language in such filing.</w:t>
      </w:r>
    </w:p>
    <w:p>
      <w:pPr>
        <w:pStyle w:val="TextBody"/>
        <w:bidi w:val="0"/>
        <w:spacing w:before="120" w:after="24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Exhibits.</w:t>
      </w:r>
    </w:p>
    <w:tbl>
      <w:tblPr>
        <w:tblW w:w="7217" w:type="dxa"/>
        <w:jc w:val="left"/>
        <w:tblInd w:w="0" w:type="dxa"/>
        <w:tblLayout w:type="fixed"/>
        <w:tblCellMar>
          <w:top w:w="28" w:type="dxa"/>
          <w:left w:w="28" w:type="dxa"/>
          <w:bottom w:w="28" w:type="dxa"/>
          <w:right w:w="28" w:type="dxa"/>
        </w:tblCellMar>
      </w:tblPr>
      <w:tblGrid>
        <w:gridCol w:w="481"/>
        <w:gridCol w:w="6736"/>
      </w:tblGrid>
      <w:tr>
        <w:trPr/>
        <w:tc>
          <w:tcPr>
            <w:tcW w:w="481" w:type="dxa"/>
            <w:tcBorders/>
            <w:vAlign w:val="center"/>
          </w:tcPr>
          <w:p>
            <w:pPr>
              <w:pStyle w:val="TableContents"/>
              <w:bidi w:val="0"/>
              <w:spacing w:before="0" w:after="283"/>
              <w:jc w:val="left"/>
              <w:rPr>
                <w:sz w:val="4"/>
                <w:szCs w:val="4"/>
              </w:rPr>
            </w:pPr>
            <w:r>
              <w:rPr>
                <w:sz w:val="4"/>
                <w:szCs w:val="4"/>
              </w:rPr>
            </w:r>
          </w:p>
        </w:tc>
        <w:tc>
          <w:tcPr>
            <w:tcW w:w="6736"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736" w:type="dxa"/>
            <w:tcBorders/>
            <w:tcMar>
              <w:top w:w="0" w:type="dxa"/>
              <w:left w:w="0" w:type="dxa"/>
              <w:bottom w:w="0" w:type="dxa"/>
              <w:right w:w="0" w:type="dxa"/>
            </w:tcMar>
            <w:vAlign w:val="center"/>
          </w:tcPr>
          <w:p>
            <w:pPr>
              <w:pStyle w:val="TableContents"/>
              <w:bidi w:val="0"/>
              <w:spacing w:before="0" w:after="283"/>
              <w:jc w:val="left"/>
              <w:rPr/>
            </w:pPr>
            <w:hyperlink w:anchor="dh-ex99_1.htm">
              <w:r>
                <w:rPr>
                  <w:rStyle w:val="InternetLink"/>
                  <w:rFonts w:ascii="Times New Roman" w:hAnsi="Times New Roman"/>
                  <w:color w:val="0000FF"/>
                  <w:sz w:val="20"/>
                  <w:u w:val="single"/>
                </w:rPr>
                <w:t>Press Release Dated February 26, 2026 (furnished herewith pursuant to Item 2.02)</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3150" w:type="dxa"/>
        <w:jc w:val="left"/>
        <w:tblInd w:w="0" w:type="dxa"/>
        <w:tblLayout w:type="fixed"/>
        <w:tblCellMar>
          <w:top w:w="28" w:type="dxa"/>
          <w:left w:w="28" w:type="dxa"/>
          <w:bottom w:w="28" w:type="dxa"/>
          <w:right w:w="28" w:type="dxa"/>
        </w:tblCellMar>
      </w:tblPr>
      <w:tblGrid>
        <w:gridCol w:w="726"/>
        <w:gridCol w:w="2210"/>
        <w:gridCol w:w="214"/>
      </w:tblGrid>
      <w:tr>
        <w:trPr/>
        <w:tc>
          <w:tcPr>
            <w:tcW w:w="72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HEALTHCARE CORP.</w:t>
            </w:r>
          </w:p>
        </w:tc>
      </w:tr>
      <w:tr>
        <w:trPr/>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0"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21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Casey Heller</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2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Casey Heller</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2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0"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26,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bookmarkStart w:id="2" w:name="dh-ex99_1.htm"/>
      <w:bookmarkStart w:id="3" w:name="ksdhex99_1"/>
      <w:bookmarkEnd w:id="2"/>
      <w:bookmarkEnd w:id="3"/>
      <w:r>
        <w:rPr>
          <w:rFonts w:ascii="Arial" w:hAnsi="Arial"/>
          <w:b/>
          <w:color w:val="000000"/>
          <w:sz w:val="22"/>
        </w:rPr>
        <w:t>Exhibit 99.1</w:t>
      </w:r>
      <w:r>
        <w:br w:type="page"/>
      </w:r>
    </w:p>
    <w:p>
      <w:pPr>
        <w:pStyle w:val="TextBody"/>
        <w:bidi w:val="0"/>
        <w:jc w:val="right"/>
        <w:rPr/>
      </w:pPr>
      <w:r>
        <w:rPr/>
        <w:t> </w:t>
      </w:r>
    </w:p>
    <w:p>
      <w:pPr>
        <w:pStyle w:val="TextBody"/>
        <w:bidi w:val="0"/>
        <w:jc w:val="center"/>
        <w:rPr/>
      </w:pPr>
      <w:r>
        <w:rPr/>
        <w:t> </w:t>
      </w:r>
    </w:p>
    <w:p>
      <w:pPr>
        <w:pStyle w:val="TextBody"/>
        <w:bidi w:val="0"/>
        <w:spacing w:before="0" w:after="120"/>
        <w:jc w:val="center"/>
        <w:rPr>
          <w:rFonts w:ascii="Arial" w:hAnsi="Arial"/>
          <w:b/>
          <w:color w:val="000000"/>
          <w:sz w:val="22"/>
        </w:rPr>
      </w:pPr>
      <w:r>
        <w:rPr>
          <w:rFonts w:ascii="Arial" w:hAnsi="Arial"/>
          <w:b/>
          <w:color w:val="000000"/>
          <w:sz w:val="22"/>
        </w:rPr>
        <w:t>Definitive Healthcare Reports Financial Results for Fourth Quarter and Full Fiscal Year 2025</w:t>
      </w:r>
    </w:p>
    <w:p>
      <w:pPr>
        <w:pStyle w:val="TextBody"/>
        <w:bidi w:val="0"/>
        <w:spacing w:before="0" w:after="120"/>
        <w:jc w:val="center"/>
        <w:rPr>
          <w:rFonts w:ascii="Arial" w:hAnsi="Arial"/>
          <w:i/>
          <w:color w:val="000000"/>
          <w:sz w:val="22"/>
        </w:rPr>
      </w:pPr>
      <w:r>
        <w:rPr>
          <w:rFonts w:ascii="Arial" w:hAnsi="Arial"/>
          <w:i/>
          <w:color w:val="000000"/>
          <w:sz w:val="22"/>
        </w:rPr>
        <w:t>Fourth quarter and full year 2025 revenue exceeded guidance</w:t>
      </w:r>
    </w:p>
    <w:p>
      <w:pPr>
        <w:pStyle w:val="TextBody"/>
        <w:bidi w:val="0"/>
        <w:spacing w:before="0" w:after="120"/>
        <w:jc w:val="left"/>
        <w:rPr>
          <w:rFonts w:ascii="Times New Roman" w:hAnsi="Times New Roman"/>
          <w:sz w:val="20"/>
        </w:rPr>
      </w:pPr>
      <w:r>
        <w:rPr>
          <w:rFonts w:ascii="Arial" w:hAnsi="Arial"/>
          <w:b/>
          <w:color w:val="000000"/>
          <w:sz w:val="22"/>
        </w:rPr>
        <w:t>Framingham, MA (February 26, 2026)</w:t>
      </w:r>
      <w:r>
        <w:rPr>
          <w:rFonts w:ascii="Times New Roman" w:hAnsi="Times New Roman"/>
          <w:color w:val="000000"/>
          <w:sz w:val="20"/>
        </w:rPr>
        <w:t xml:space="preserve"> – </w:t>
      </w:r>
      <w:r>
        <w:rPr>
          <w:rFonts w:ascii="Arial" w:hAnsi="Arial"/>
          <w:color w:val="000000"/>
          <w:sz w:val="22"/>
        </w:rPr>
        <w:t>Definitive Healthcare Corp. (“Definitive Healthcare” or the “Company”) (Nasdaq: DH), an industry leader in healthcare market data and analytics, today announced financial results for the quarter and full year ended December 31, 2025.</w:t>
      </w:r>
      <w:r>
        <w:rPr>
          <w:rFonts w:ascii="Times New Roman" w:hAnsi="Times New Roman"/>
          <w:color w:val="000000"/>
          <w:sz w:val="20"/>
        </w:rPr>
        <w:t xml:space="preserve"> </w:t>
      </w:r>
    </w:p>
    <w:p>
      <w:pPr>
        <w:pStyle w:val="TextBody"/>
        <w:bidi w:val="0"/>
        <w:jc w:val="both"/>
        <w:rPr>
          <w:rFonts w:ascii="Arial" w:hAnsi="Arial"/>
          <w:b/>
          <w:color w:val="000000"/>
          <w:sz w:val="22"/>
        </w:rPr>
      </w:pPr>
      <w:r>
        <w:rPr>
          <w:rFonts w:ascii="Arial" w:hAnsi="Arial"/>
          <w:b/>
          <w:color w:val="000000"/>
          <w:sz w:val="22"/>
        </w:rPr>
        <w:t>Fourth Quarter 2025 Financial Highlights: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b/>
          <w:color w:val="000000"/>
          <w:sz w:val="22"/>
        </w:rPr>
        <w:t>Revenue</w:t>
      </w:r>
      <w:r>
        <w:rPr>
          <w:color w:val="000000"/>
        </w:rPr>
        <w:t xml:space="preserve"> </w:t>
      </w:r>
      <w:r>
        <w:rPr>
          <w:rFonts w:ascii="Arial" w:hAnsi="Arial"/>
          <w:color w:val="000000"/>
          <w:sz w:val="22"/>
        </w:rPr>
        <w:t>was $61.5 million, a decrease of 1% from $62.3 million in Q4 2024.</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Net Loss</w:t>
      </w:r>
      <w:r>
        <w:rPr>
          <w:rFonts w:ascii="Arial" w:hAnsi="Arial"/>
          <w:color w:val="000000"/>
          <w:sz w:val="22"/>
        </w:rPr>
        <w:t>, inclusive of goodwill impairment charges of $19.5 million, was $(17.1) million, or (28)% of revenue, compared to $(84.7) million in Q4 2024, inclusive of goodwill impairment charges of $97.1 million, or (136)% of revenue.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Adjusted Net Income </w:t>
      </w:r>
      <w:r>
        <w:rPr>
          <w:rFonts w:ascii="Arial" w:hAnsi="Arial"/>
          <w:color w:val="000000"/>
          <w:sz w:val="22"/>
        </w:rPr>
        <w:t>was $8.6 million, compared to $12.6 million in Q4 2024.</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Adjusted EBITDA </w:t>
      </w:r>
      <w:r>
        <w:rPr>
          <w:rFonts w:ascii="Arial" w:hAnsi="Arial"/>
          <w:color w:val="000000"/>
          <w:sz w:val="22"/>
        </w:rPr>
        <w:t>was $18.0 million, or 29% of revenue, compared to $17.5 million, or 28% of revenue in Q4 2024.</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Cash Flow from Operations </w:t>
      </w:r>
      <w:r>
        <w:rPr>
          <w:rFonts w:ascii="Arial" w:hAnsi="Arial"/>
          <w:color w:val="000000"/>
          <w:sz w:val="22"/>
        </w:rPr>
        <w:t>was $2.7 million in the quarter.</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Unlevered Free Cash Flow </w:t>
      </w:r>
      <w:r>
        <w:rPr>
          <w:rFonts w:ascii="Arial" w:hAnsi="Arial"/>
          <w:color w:val="000000"/>
          <w:sz w:val="22"/>
        </w:rPr>
        <w:t>was $2.5 million in the quarter.</w:t>
      </w:r>
    </w:p>
    <w:p>
      <w:pPr>
        <w:pStyle w:val="TextBody"/>
        <w:bidi w:val="0"/>
        <w:jc w:val="both"/>
        <w:rPr/>
      </w:pPr>
      <w:r>
        <w:rPr/>
        <w:t> </w:t>
      </w:r>
    </w:p>
    <w:p>
      <w:pPr>
        <w:pStyle w:val="TextBody"/>
        <w:bidi w:val="0"/>
        <w:spacing w:before="240" w:after="283"/>
        <w:jc w:val="both"/>
        <w:rPr>
          <w:rFonts w:ascii="Arial" w:hAnsi="Arial"/>
          <w:b/>
          <w:color w:val="000000"/>
          <w:sz w:val="22"/>
        </w:rPr>
      </w:pPr>
      <w:r>
        <w:rPr>
          <w:rFonts w:ascii="Arial" w:hAnsi="Arial"/>
          <w:b/>
          <w:color w:val="000000"/>
          <w:sz w:val="22"/>
        </w:rPr>
        <w:t>Full Year 2025 Financial Highlights: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b/>
          <w:color w:val="000000"/>
          <w:sz w:val="22"/>
        </w:rPr>
        <w:t>Revenue</w:t>
      </w:r>
      <w:r>
        <w:rPr>
          <w:color w:val="000000"/>
        </w:rPr>
        <w:t xml:space="preserve"> </w:t>
      </w:r>
      <w:r>
        <w:rPr>
          <w:rFonts w:ascii="Arial" w:hAnsi="Arial"/>
          <w:color w:val="000000"/>
          <w:sz w:val="22"/>
        </w:rPr>
        <w:t>was $241.5 million, compared to $252.2 million for the full year 2024.</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Net Loss</w:t>
      </w:r>
      <w:r>
        <w:rPr>
          <w:rFonts w:ascii="Arial" w:hAnsi="Arial"/>
          <w:color w:val="000000"/>
          <w:sz w:val="22"/>
        </w:rPr>
        <w:t>, inclusive of goodwill impairment charges of $196.1 million was $(199.3) million, or (83)% of revenue, compared to $(591.4) million, inclusive of goodwill impairment charges of $688.9 million, or (235)% of revenue for the full year 2024.</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Adjusted Net Income </w:t>
      </w:r>
      <w:r>
        <w:rPr>
          <w:rFonts w:ascii="Arial" w:hAnsi="Arial"/>
          <w:color w:val="000000"/>
          <w:sz w:val="22"/>
        </w:rPr>
        <w:t>was $34.9 million, compared to $55.1 million for the full year 2024.</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Adjusted EBITDA </w:t>
      </w:r>
      <w:r>
        <w:rPr>
          <w:rFonts w:ascii="Arial" w:hAnsi="Arial"/>
          <w:color w:val="000000"/>
          <w:sz w:val="22"/>
        </w:rPr>
        <w:t>was $70.4 million, or 29% of revenue, compared to $79.1 million, or 31% of revenue in for the full year 2024.</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Cash Flow from Operations </w:t>
      </w:r>
      <w:r>
        <w:rPr>
          <w:rFonts w:ascii="Arial" w:hAnsi="Arial"/>
          <w:color w:val="000000"/>
          <w:sz w:val="22"/>
        </w:rPr>
        <w:t>was $53.8 million for the full year 2025.</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Unlevered Free Cash Flow </w:t>
      </w:r>
      <w:r>
        <w:rPr>
          <w:rFonts w:ascii="Arial" w:hAnsi="Arial"/>
          <w:color w:val="000000"/>
          <w:sz w:val="22"/>
        </w:rPr>
        <w:t>was $54.9 million for the full year 2025.</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120"/>
        <w:jc w:val="left"/>
        <w:rPr>
          <w:color w:val="000000"/>
        </w:rPr>
      </w:pPr>
      <w:r>
        <w:rPr>
          <w:color w:val="000000"/>
        </w:rPr>
        <w:t>“</w:t>
      </w:r>
      <w:r>
        <w:rPr>
          <w:rFonts w:ascii="Arial" w:hAnsi="Arial"/>
          <w:color w:val="000000"/>
          <w:sz w:val="22"/>
        </w:rPr>
        <w:t>Our fourth quarter results were at or above the high end of our guidance ranges on both the top and bottom line, demonstrating the meaningful progress we have made across our strategic pillars throughout 2025,” said Kevin Coop, CEO of Definitive Healthcare. “As we enter 2026, we are focused on continuing to improve retention rates and increase our upsell and cross-sell activity. We remain confident that we are taking the right steps to deliver improved operational and financial performance over time.”</w:t>
      </w:r>
    </w:p>
    <w:p>
      <w:pPr>
        <w:pStyle w:val="TextBody"/>
        <w:bidi w:val="0"/>
        <w:spacing w:before="240" w:after="283"/>
        <w:jc w:val="both"/>
        <w:rPr>
          <w:rFonts w:ascii="Arial" w:hAnsi="Arial"/>
          <w:b/>
          <w:color w:val="000000"/>
          <w:sz w:val="22"/>
        </w:rPr>
      </w:pPr>
      <w:r>
        <w:rPr>
          <w:rFonts w:ascii="Arial" w:hAnsi="Arial"/>
          <w:b/>
          <w:color w:val="000000"/>
          <w:sz w:val="22"/>
        </w:rPr>
        <w:t>Recent Business and Operating Highlights:</w:t>
      </w:r>
    </w:p>
    <w:p>
      <w:pPr>
        <w:pStyle w:val="TextBody"/>
        <w:bidi w:val="0"/>
        <w:spacing w:before="360" w:after="283"/>
        <w:jc w:val="both"/>
        <w:rPr>
          <w:rFonts w:ascii="Arial" w:hAnsi="Arial"/>
          <w:b/>
          <w:color w:val="000000"/>
          <w:sz w:val="22"/>
        </w:rPr>
      </w:pPr>
      <w:r>
        <w:rPr>
          <w:rFonts w:ascii="Arial" w:hAnsi="Arial"/>
          <w:b/>
          <w:color w:val="000000"/>
          <w:sz w:val="22"/>
        </w:rPr>
        <w:t>Customer Wins</w:t>
      </w:r>
    </w:p>
    <w:p>
      <w:pPr>
        <w:pStyle w:val="TextBody"/>
        <w:bidi w:val="0"/>
        <w:spacing w:before="240" w:after="120"/>
        <w:jc w:val="left"/>
        <w:rPr>
          <w:rFonts w:ascii="Arial" w:hAnsi="Arial"/>
          <w:color w:val="000000"/>
          <w:sz w:val="22"/>
        </w:rPr>
      </w:pPr>
      <w:r>
        <w:rPr>
          <w:rFonts w:ascii="Arial" w:hAnsi="Arial"/>
          <w:color w:val="000000"/>
          <w:sz w:val="22"/>
        </w:rPr>
        <w:t>In the fourth quarter, Definitive Healthcare continued to win new logos and expansion opportunities across all end-markets, by providing the data, insights and integrations that drive their critical business use cases. Customer wins for the quarter included:</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A large, nonprofit, academic-affiliated integrated health system operating multiple hospitals, outpatient clinics, and specialty service lines selected our Population Intelligence platform to enable more targeted segmentation within their region and surrounding markets. Our seamless integration capabilities were critical to this win, where we delivered clean, enriched, and actionable data directly into their existing workflows, allowing them to hydrate records and uncover incremental patient leads more efficiently.</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A regional health system where our proactive customer success approach delivered measurable results. Our newly integrated commercial team provided focus on early risk identification capabilities and proved critical in converting what was forecasted as a churn into a successful multi-year renewal, showcasing our ability to proactively address customer concerns and deliver tailored solutions.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A global leader in integrated therapy solutions for rare diseases and critical care selected Definitive Healthcare to support their US market expansion. The company chose Definitive Healthcare based on superior data quality perfectly aligned with their therapeutic focus. This win positions Definitive Healthcare for expansion opportunities in professional services and additional data sets as the customer launches new products from their robust pipeline.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Arial" w:hAnsi="Arial"/>
          <w:b/>
          <w:color w:val="000000"/>
          <w:sz w:val="22"/>
        </w:rPr>
      </w:pPr>
      <w:r>
        <w:rPr>
          <w:rFonts w:ascii="Arial" w:hAnsi="Arial"/>
          <w:b/>
          <w:color w:val="000000"/>
          <w:sz w:val="22"/>
        </w:rPr>
        <w:t>Business Outlook</w:t>
      </w:r>
    </w:p>
    <w:p>
      <w:pPr>
        <w:pStyle w:val="TextBody"/>
        <w:bidi w:val="0"/>
        <w:spacing w:before="120" w:after="283"/>
        <w:jc w:val="both"/>
        <w:rPr>
          <w:rFonts w:ascii="Arial" w:hAnsi="Arial"/>
          <w:color w:val="000000"/>
          <w:sz w:val="22"/>
        </w:rPr>
      </w:pPr>
      <w:r>
        <w:rPr>
          <w:rFonts w:ascii="Arial" w:hAnsi="Arial"/>
          <w:color w:val="000000"/>
          <w:sz w:val="22"/>
        </w:rPr>
        <w:t>Based on information as of February 26, 2026, the Company is issuing the following financial guidance.</w:t>
      </w:r>
    </w:p>
    <w:p>
      <w:pPr>
        <w:pStyle w:val="TextBody"/>
        <w:bidi w:val="0"/>
        <w:spacing w:before="120" w:after="283"/>
        <w:jc w:val="both"/>
        <w:rPr>
          <w:rFonts w:ascii="Arial" w:hAnsi="Arial"/>
          <w:b/>
          <w:color w:val="000000"/>
          <w:sz w:val="22"/>
        </w:rPr>
      </w:pPr>
      <w:r>
        <w:rPr>
          <w:rFonts w:ascii="Arial" w:hAnsi="Arial"/>
          <w:b/>
          <w:color w:val="000000"/>
          <w:sz w:val="22"/>
        </w:rPr>
        <w:t>First Quarter 2026:</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Arial" w:hAnsi="Arial"/>
          <w:b/>
          <w:color w:val="000000"/>
          <w:sz w:val="22"/>
        </w:rPr>
        <w:t>Revenue</w:t>
      </w:r>
      <w:r>
        <w:rPr>
          <w:color w:val="000000"/>
        </w:rPr>
        <w:t xml:space="preserve"> </w:t>
      </w:r>
      <w:r>
        <w:rPr>
          <w:rFonts w:ascii="Arial" w:hAnsi="Arial"/>
          <w:color w:val="000000"/>
          <w:sz w:val="22"/>
        </w:rPr>
        <w:t xml:space="preserve">is expected to be in the range of $54.0 – $56.0 million.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Operating Income</w:t>
      </w:r>
      <w:r>
        <w:rPr>
          <w:color w:val="000000"/>
        </w:rPr>
        <w:t xml:space="preserve"> </w:t>
      </w:r>
      <w:r>
        <w:rPr>
          <w:rFonts w:ascii="Arial" w:hAnsi="Arial"/>
          <w:color w:val="000000"/>
          <w:sz w:val="22"/>
        </w:rPr>
        <w:t xml:space="preserve">is expected to be in the range of $9.5 – $10.5 million.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EBITDA</w:t>
      </w:r>
      <w:r>
        <w:rPr>
          <w:color w:val="000000"/>
        </w:rPr>
        <w:t xml:space="preserve"> </w:t>
      </w:r>
      <w:r>
        <w:rPr>
          <w:rFonts w:ascii="Arial" w:hAnsi="Arial"/>
          <w:color w:val="000000"/>
          <w:sz w:val="22"/>
        </w:rPr>
        <w:t xml:space="preserve">is expected to be in the range of $12.0 – $13.0 million, and 22 – 23% adjusted EBITDA margin.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Net Income</w:t>
      </w:r>
      <w:r>
        <w:rPr>
          <w:color w:val="000000"/>
        </w:rPr>
        <w:t xml:space="preserve"> </w:t>
      </w:r>
      <w:r>
        <w:rPr>
          <w:rFonts w:ascii="Arial" w:hAnsi="Arial"/>
          <w:color w:val="000000"/>
          <w:sz w:val="22"/>
        </w:rPr>
        <w:t xml:space="preserve">is expected to be $4.0 – $5.0 million.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Net Income Per Diluted Share</w:t>
      </w:r>
      <w:r>
        <w:rPr>
          <w:color w:val="000000"/>
        </w:rPr>
        <w:t xml:space="preserve"> </w:t>
      </w:r>
      <w:r>
        <w:rPr>
          <w:rFonts w:ascii="Arial" w:hAnsi="Arial"/>
          <w:color w:val="000000"/>
          <w:sz w:val="22"/>
        </w:rPr>
        <w:t>is expected to be $0.03 per share on approximately 143.2 million weighted-average shares outstanding.</w:t>
      </w:r>
    </w:p>
    <w:p>
      <w:pPr>
        <w:pStyle w:val="TextBody"/>
        <w:bidi w:val="0"/>
        <w:spacing w:before="120" w:after="283"/>
        <w:jc w:val="both"/>
        <w:rPr>
          <w:rFonts w:ascii="Arial" w:hAnsi="Arial"/>
          <w:b/>
          <w:color w:val="000000"/>
          <w:sz w:val="22"/>
        </w:rPr>
      </w:pPr>
      <w:r>
        <w:rPr>
          <w:rFonts w:ascii="Arial" w:hAnsi="Arial"/>
          <w:b/>
          <w:color w:val="000000"/>
          <w:sz w:val="22"/>
        </w:rPr>
        <w:t>Full Year 2026:</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Arial" w:hAnsi="Arial"/>
          <w:b/>
          <w:color w:val="000000"/>
          <w:sz w:val="22"/>
        </w:rPr>
        <w:t xml:space="preserve">Revenue </w:t>
      </w:r>
      <w:r>
        <w:rPr>
          <w:rFonts w:ascii="Arial" w:hAnsi="Arial"/>
          <w:color w:val="000000"/>
          <w:sz w:val="22"/>
        </w:rPr>
        <w:t>is expected to be in the range of $220.0 – $226.0 million.</w:t>
      </w:r>
      <w:r>
        <w:rPr>
          <w:color w:val="00000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Operating Income</w:t>
      </w:r>
      <w:r>
        <w:rPr>
          <w:color w:val="000000"/>
        </w:rPr>
        <w:t xml:space="preserve"> </w:t>
      </w:r>
      <w:r>
        <w:rPr>
          <w:rFonts w:ascii="Arial" w:hAnsi="Arial"/>
          <w:color w:val="000000"/>
          <w:sz w:val="22"/>
        </w:rPr>
        <w:t>is expected to be in the range of $41.5 – $46.5 million.</w:t>
      </w:r>
      <w:r>
        <w:rPr>
          <w:color w:val="00000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 xml:space="preserve">Adjusted EBITDA </w:t>
      </w:r>
      <w:r>
        <w:rPr>
          <w:rFonts w:ascii="Arial" w:hAnsi="Arial"/>
          <w:color w:val="000000"/>
          <w:sz w:val="22"/>
        </w:rPr>
        <w:t>is expected to be in the range of $53.0 – $58.0 million, and 24 – 26% adjusted EBITDA margin.</w:t>
      </w:r>
      <w:r>
        <w:rPr>
          <w:color w:val="00000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Net Income</w:t>
      </w:r>
      <w:r>
        <w:rPr>
          <w:color w:val="000000"/>
        </w:rPr>
        <w:t xml:space="preserve"> </w:t>
      </w:r>
      <w:r>
        <w:rPr>
          <w:rFonts w:ascii="Arial" w:hAnsi="Arial"/>
          <w:color w:val="000000"/>
          <w:sz w:val="22"/>
        </w:rPr>
        <w:t>is expected to be $21.0 – $26.0 million.</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Net Income Per Diluted Share</w:t>
      </w:r>
      <w:r>
        <w:rPr>
          <w:color w:val="000000"/>
        </w:rPr>
        <w:t xml:space="preserve"> </w:t>
      </w:r>
      <w:r>
        <w:rPr>
          <w:rFonts w:ascii="Arial" w:hAnsi="Arial"/>
          <w:color w:val="000000"/>
          <w:sz w:val="22"/>
        </w:rPr>
        <w:t>is expected to be $0.14 to $0.17 per share on approximately 145.4 million weighted-average shares outstanding.</w:t>
      </w:r>
    </w:p>
    <w:p>
      <w:pPr>
        <w:pStyle w:val="TextBody"/>
        <w:bidi w:val="0"/>
        <w:spacing w:before="120" w:after="120"/>
        <w:jc w:val="left"/>
        <w:rPr>
          <w:rFonts w:ascii="Arial" w:hAnsi="Arial"/>
          <w:i/>
          <w:color w:val="000000"/>
          <w:sz w:val="22"/>
        </w:rPr>
      </w:pPr>
      <w:r>
        <w:rPr>
          <w:rFonts w:ascii="Arial" w:hAnsi="Arial"/>
          <w:i/>
          <w:color w:val="000000"/>
          <w:sz w:val="22"/>
        </w:rPr>
        <w:t>We do not provide a quantitative reconciliation of the forward-looking non-GAAP financial measures included in this press release to the most directly comparable GAAP measures due to the high variability and difficulty in predicting certain items excluded from these non-GAAP financial measures; in particular, the effects of equity-based compensation expense, taxes and amounts under the tax receivable agreement, deferred tax assets and deferred tax liabilities, and transaction, integration, and restructuring expenses. We expect the variability of these excluded items may have a significant and potentially unpredictable impact on our future GAAP financial results.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Arial" w:hAnsi="Arial"/>
          <w:b/>
          <w:color w:val="000000"/>
          <w:sz w:val="22"/>
        </w:rPr>
      </w:pPr>
      <w:r>
        <w:rPr>
          <w:rFonts w:ascii="Arial" w:hAnsi="Arial"/>
          <w:b/>
          <w:color w:val="000000"/>
          <w:sz w:val="22"/>
        </w:rPr>
        <w:t>Conference Call Information</w:t>
      </w:r>
    </w:p>
    <w:p>
      <w:pPr>
        <w:pStyle w:val="TextBody"/>
        <w:bidi w:val="0"/>
        <w:spacing w:before="240" w:after="120"/>
        <w:jc w:val="left"/>
        <w:rPr>
          <w:rFonts w:ascii="Arial" w:hAnsi="Arial"/>
          <w:color w:val="000000"/>
          <w:sz w:val="22"/>
        </w:rPr>
      </w:pPr>
      <w:r>
        <w:rPr>
          <w:rFonts w:ascii="Arial" w:hAnsi="Arial"/>
          <w:color w:val="000000"/>
          <w:sz w:val="22"/>
        </w:rPr>
        <w:t>Definitive Healthcare will host a conference call today February 26, 2026, at 5:00 p.m. (Eastern Standard Time) to discuss the Company's full financial results and current business outlook. Participants may access the call at 1-877-358-7298 or 1-848-488-9244. Shortly after the conclusion of the call, a replay of this conference call will be available through March 26, 2026, at 1-800-645-7964 or 1-757-849-6722. The replay passcode is 1765#. A live audio webcast of the event will be available on Definitive Healthcare’s Investor Relations website at ir.definitivehc.com/.</w:t>
      </w:r>
    </w:p>
    <w:p>
      <w:pPr>
        <w:pStyle w:val="TextBody"/>
        <w:bidi w:val="0"/>
        <w:spacing w:before="240" w:after="283"/>
        <w:jc w:val="left"/>
        <w:rPr>
          <w:rFonts w:ascii="Arial" w:hAnsi="Arial"/>
          <w:b/>
          <w:color w:val="000000"/>
          <w:sz w:val="22"/>
        </w:rPr>
      </w:pPr>
      <w:r>
        <w:rPr>
          <w:rFonts w:ascii="Arial" w:hAnsi="Arial"/>
          <w:b/>
          <w:color w:val="000000"/>
          <w:sz w:val="22"/>
        </w:rPr>
        <w:t>About Definitive Healthcare</w:t>
      </w:r>
    </w:p>
    <w:p>
      <w:pPr>
        <w:pStyle w:val="TextBody"/>
        <w:bidi w:val="0"/>
        <w:spacing w:before="240" w:after="120"/>
        <w:jc w:val="left"/>
        <w:rPr>
          <w:rFonts w:ascii="Arial" w:hAnsi="Arial"/>
          <w:color w:val="000000"/>
          <w:sz w:val="22"/>
        </w:rPr>
      </w:pPr>
      <w:r>
        <w:rPr>
          <w:rFonts w:ascii="Arial" w:hAnsi="Arial"/>
          <w:color w:val="000000"/>
          <w:sz w:val="22"/>
        </w:rPr>
        <w:t>Definitive Healthcare is a data and analytics company focused on the business side of healthcare. The healthcare market is complex — our data makes it clearer. We cut through the noise to deliver the insights that healthcare organizations and companies need to make smarter, faster, more strategic decisions. Because when our customers succeed, healthcare gets better for everyone. Learn more at definitivehc.com.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both"/>
        <w:rPr>
          <w:rFonts w:ascii="Arial" w:hAnsi="Arial"/>
          <w:b/>
          <w:color w:val="000000"/>
          <w:sz w:val="22"/>
        </w:rPr>
      </w:pPr>
      <w:r>
        <w:rPr>
          <w:rFonts w:ascii="Arial" w:hAnsi="Arial"/>
          <w:b/>
          <w:color w:val="000000"/>
          <w:sz w:val="22"/>
        </w:rPr>
        <w:t>Forward-Looking Statements</w:t>
      </w:r>
    </w:p>
    <w:p>
      <w:pPr>
        <w:pStyle w:val="TextBody"/>
        <w:bidi w:val="0"/>
        <w:spacing w:before="240" w:after="120"/>
        <w:jc w:val="left"/>
        <w:rPr>
          <w:rFonts w:ascii="Times New Roman" w:hAnsi="Times New Roman"/>
          <w:sz w:val="20"/>
        </w:rPr>
      </w:pPr>
      <w:r>
        <w:rPr>
          <w:rFonts w:ascii="Arial" w:hAnsi="Arial"/>
          <w:i/>
          <w:color w:val="000000"/>
          <w:sz w:val="22"/>
        </w:rPr>
        <w:t>This press release includes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“will,” “should,” “may,” “anticipates,” “intends,” “plans,” “seeks,” “believes,” “estimates,” “expects,” “continues,” “assumes,” “would,” “potentially”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the benefits of our healthcare commercial intelligence solutions, our overall future prospects, customer behaviors and use of our solutions, the market, industry and macroeconomic environment, our plans to improve our operational and financial performance and our business, our ability to execute on our plans, customer growth, including our upsell and cross-sell opportunities, and our ability to successfully transition executive leadership.</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i/>
          <w:color w:val="000000"/>
          <w:sz w:val="22"/>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global geopolitical tension and difficult macroeconomic conditions; actual or potential changes in international, national, regional and local economic, business and financial conditions, including tariffs, sanctions, trade barriers, recessions, fluctuating inflation, high interest rates, volatility in the capital markets and related market uncertainty; our inability to acquire new customers and generate additional revenue from existing customers; our inability to generate sales of subscriptions to our platform or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loss of our access to our data providers; the failure to respond to advances in healthcare commercial intelligence; an inability to attract new customers and expand subscriptions of current customers; our ability to successfully transition executive leadership; and the possibility that our security measures are breached or unauthorized access to data is otherwise obtained.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left"/>
        <w:rPr>
          <w:rFonts w:ascii="Times New Roman" w:hAnsi="Times New Roman"/>
          <w:sz w:val="20"/>
        </w:rPr>
      </w:pPr>
      <w:r>
        <w:rPr>
          <w:rFonts w:ascii="Arial" w:hAnsi="Arial"/>
          <w:i/>
          <w:color w:val="000000"/>
          <w:sz w:val="22"/>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i/>
          <w:color w:val="000000"/>
          <w:sz w:val="22"/>
        </w:rPr>
        <w:t>For additional discussion of factors that could impact our operational and financial results, refer to our Annual Report on Form 10-K for the fiscal year ended December 31, 2025 that will be filed following this earnings release, as well as our Current Reports on Form 8-K and other subsequent SEC filings, which are or will be available on the Investor Relations page of our website at ir.definitivehc.com and on the U.S. Securities and Exchange Commission (“SEC”) website at www.sec.gov.</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i/>
          <w:color w:val="000000"/>
          <w:sz w:val="22"/>
        </w:rPr>
        <w:t>All information in this press release speaks only as of the date on which it is made. We undertake no obligation to publicly update this information, whether as a result of new information, future developments or otherwise, except as may be required by law.</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2"/>
        </w:rPr>
      </w:pPr>
      <w:r>
        <w:rPr>
          <w:rFonts w:ascii="Arial" w:hAnsi="Arial"/>
          <w:b/>
          <w:color w:val="000000"/>
          <w:sz w:val="22"/>
        </w:rPr>
        <w:t>Website</w:t>
      </w:r>
    </w:p>
    <w:p>
      <w:pPr>
        <w:pStyle w:val="TextBody"/>
        <w:bidi w:val="0"/>
        <w:spacing w:before="240" w:after="120"/>
        <w:jc w:val="left"/>
        <w:rPr>
          <w:rFonts w:ascii="Arial" w:hAnsi="Arial"/>
          <w:i/>
          <w:color w:val="000000"/>
          <w:sz w:val="22"/>
        </w:rPr>
      </w:pPr>
      <w:r>
        <w:rPr>
          <w:rFonts w:ascii="Arial" w:hAnsi="Arial"/>
          <w:i/>
          <w:color w:val="000000"/>
          <w:sz w:val="22"/>
        </w:rPr>
        <w:t>Definitive Healthcare intends to use its website as a distribution channel of material company information. Financial and other important information regarding the Company is routinely posted on and accessible through the Company’s website at definitivehc.com. Accordingly, you should monitor the investor relations portion of our website at ir.definitivehc.com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page at ir.definitivehc.com.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both"/>
        <w:rPr>
          <w:rFonts w:ascii="Times New Roman" w:hAnsi="Times New Roman"/>
          <w:sz w:val="20"/>
        </w:rPr>
      </w:pPr>
      <w:r>
        <w:rPr>
          <w:rFonts w:ascii="Arial" w:hAnsi="Arial"/>
          <w:b/>
          <w:color w:val="000000"/>
          <w:sz w:val="22"/>
        </w:rPr>
        <w:t>Non-GAAP Financial Measures</w:t>
      </w:r>
      <w:r>
        <w:rPr>
          <w:rFonts w:ascii="Times New Roman" w:hAnsi="Times New Roman"/>
          <w:color w:val="000000"/>
          <w:sz w:val="20"/>
        </w:rPr>
        <w:t xml:space="preserve"> </w:t>
      </w:r>
    </w:p>
    <w:p>
      <w:pPr>
        <w:pStyle w:val="TextBody"/>
        <w:bidi w:val="0"/>
        <w:spacing w:before="240" w:after="120"/>
        <w:jc w:val="left"/>
        <w:rPr>
          <w:rFonts w:ascii="Arial" w:hAnsi="Arial"/>
          <w:i/>
          <w:color w:val="000000"/>
          <w:sz w:val="22"/>
        </w:rPr>
      </w:pPr>
      <w:r>
        <w:rPr>
          <w:rFonts w:ascii="Arial" w:hAnsi="Arial"/>
          <w:i/>
          <w:color w:val="000000"/>
          <w:sz w:val="22"/>
        </w:rPr>
        <w:t>This earnings release contains financial measures that have not been prepared in accordance with U.S. generally accepted accounting principles (“GAAP”), including Unlevered Free Cash Flow, Adjusted EBITDA, Adjusted EBITDA Margin, Adjusted Gross Profit, Adjusted Gross Margin, Adjusted Operating Income, Adjusted Net Income and Adjusted Net Income Per Diluted Share We believe that these supplemental non-GAAP financial measures are useful to investors because they allow for an evaluation of the Company with a focus on the performance of its core operations, including providing meaningful comparisons of financial results to historical periods and to the financial results of peer and competitor companies. Our use of these non-GAAP terms may vary from the use of similar terms by other companies in our industry and accordingly may not be comparable to similarly titled measures used by other companies and are not measures of performance calculated in accordance with GAAP. Our presentation of these non-GAAP financial measures are intended as supplemental measures of our performance that are not required by, or presented in accordance with, GAAP. These non-GAAP financial measures should not be considered as alternatives to loss from operations, net loss, earnings per share, or any other performance measures derived in accordance with GAAP or as measures of operating cash flows or liquidity. A reconciliation of GAAP to non-GAAP results has been provided in the financial statement tables included at the end of this press release. In evaluating our non-GAAP financial measures, you should be aware that in the future, we may incur expenses similar to those eliminated in these presentations.</w:t>
      </w:r>
    </w:p>
    <w:p>
      <w:pPr>
        <w:pStyle w:val="TextBody"/>
        <w:bidi w:val="0"/>
        <w:jc w:val="both"/>
        <w:rPr>
          <w:rFonts w:ascii="Times New Roman" w:hAnsi="Times New Roman"/>
          <w:sz w:val="20"/>
        </w:rPr>
      </w:pPr>
      <w:r>
        <w:rPr>
          <w:rFonts w:ascii="Arial" w:hAnsi="Arial"/>
          <w:i/>
          <w:color w:val="000000"/>
          <w:sz w:val="22"/>
        </w:rPr>
        <w:t>These non-GAAP financial measures are not required by or prepared in accordance with GAAP. These are supplemental financial measures of our performance and should not be considered substitutes for cash provided by operating activities, loss from operations, net loss, net income margin, gross profit, gross margin, or any other measure derived in accordance with GAAP.</w:t>
      </w:r>
      <w:r>
        <w:rPr>
          <w:rFonts w:ascii="Times New Roman" w:hAnsi="Times New Roman"/>
          <w:color w:val="000000"/>
          <w:sz w:val="20"/>
        </w:rPr>
        <w:t xml:space="preserve"> </w:t>
      </w:r>
    </w:p>
    <w:p>
      <w:pPr>
        <w:pStyle w:val="TextBody"/>
        <w:bidi w:val="0"/>
        <w:spacing w:before="360" w:after="283"/>
        <w:jc w:val="both"/>
        <w:rPr>
          <w:rFonts w:ascii="Arial" w:hAnsi="Arial"/>
          <w:b/>
          <w:color w:val="000000"/>
          <w:sz w:val="22"/>
        </w:rPr>
      </w:pPr>
      <w:r>
        <w:rPr>
          <w:rFonts w:ascii="Arial" w:hAnsi="Arial"/>
          <w:b/>
          <w:color w:val="000000"/>
          <w:sz w:val="22"/>
        </w:rPr>
        <w:t>Reconciliations to Certain Non-GAAP Measures</w:t>
      </w:r>
    </w:p>
    <w:p>
      <w:pPr>
        <w:pStyle w:val="TextBody"/>
        <w:bidi w:val="0"/>
        <w:spacing w:before="120" w:after="120"/>
        <w:jc w:val="both"/>
        <w:rPr>
          <w:rFonts w:ascii="Arial" w:hAnsi="Arial"/>
          <w:b/>
          <w:color w:val="000000"/>
          <w:sz w:val="22"/>
        </w:rPr>
      </w:pPr>
      <w:r>
        <w:rPr>
          <w:rFonts w:ascii="Arial" w:hAnsi="Arial"/>
          <w:b/>
          <w:color w:val="000000"/>
          <w:sz w:val="22"/>
        </w:rPr>
        <w:t>Unlevered Free Cash Flow</w:t>
      </w:r>
    </w:p>
    <w:p>
      <w:pPr>
        <w:pStyle w:val="TextBody"/>
        <w:bidi w:val="0"/>
        <w:jc w:val="both"/>
        <w:rPr>
          <w:rFonts w:ascii="Times New Roman" w:hAnsi="Times New Roman"/>
          <w:sz w:val="20"/>
        </w:rPr>
      </w:pPr>
      <w:r>
        <w:rPr>
          <w:rFonts w:ascii="Arial" w:hAnsi="Arial"/>
          <w:i/>
          <w:color w:val="000000"/>
          <w:sz w:val="22"/>
        </w:rPr>
        <w:t>We define Unlevered Free Cash Flow as net cash provided by operating activities less purchases of property, equipment and data assets, plus cash interest expense, and cash payments related to transaction, integration, and restructuring related expenses, earnouts, and other non-core items paid in cash. Unlevered Free Cash Flow does not represent residual cash flow available for discretionary expenditures since, among other things, we have mandatory debt service requirements.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120"/>
        <w:jc w:val="both"/>
        <w:rPr>
          <w:rFonts w:ascii="Arial" w:hAnsi="Arial"/>
          <w:b/>
          <w:color w:val="000000"/>
          <w:sz w:val="22"/>
        </w:rPr>
      </w:pPr>
      <w:r>
        <w:rPr>
          <w:rFonts w:ascii="Arial" w:hAnsi="Arial"/>
          <w:b/>
          <w:color w:val="000000"/>
          <w:sz w:val="22"/>
        </w:rPr>
        <w:t>EBITDA, Adjusted EBITDA and Adjusted EBITDA Margin</w:t>
      </w:r>
    </w:p>
    <w:p>
      <w:pPr>
        <w:pStyle w:val="TextBody"/>
        <w:bidi w:val="0"/>
        <w:jc w:val="both"/>
        <w:rPr>
          <w:rFonts w:ascii="Times New Roman" w:hAnsi="Times New Roman"/>
          <w:sz w:val="20"/>
        </w:rPr>
      </w:pPr>
      <w:r>
        <w:rPr>
          <w:rFonts w:ascii="Arial" w:hAnsi="Arial"/>
          <w:i/>
          <w:color w:val="000000"/>
          <w:sz w:val="22"/>
        </w:rPr>
        <w:t>We define EBITDA as earnings before debt-related costs, including interest expense (income), net, and loss on partial extinguishment of debt, income taxes and depreciation and amortization. Adjusted EBITDA is defined as EBITDA adjusted to exclude certain items of a significant or unusual nature, including other income, net, equity-based compensation, transaction, integration, and restructuring expenses, goodwill impairments and other non-core expenses. Adjusted EBITDA Margin is defined as Adjusted EBITDA as a percentage of revenue. Adjusted EBITDA and Adjusted EBITDA Margin are key metrics used by management and our board of directors to assess the profitability of our operations. We believe that Adjusted EBITDA and Adjusted EBITDA Margin provide useful information to help investors to assess our operating performance because these metrics eliminate non-core and unusual items and non-cash expenses, which we do not consider indicative of ongoing operational performance. We believe that these metrics are helpful to investors in measuring the profitability of our operations on a consolidated level.</w:t>
      </w:r>
      <w:r>
        <w:rPr>
          <w:rFonts w:ascii="Times New Roman" w:hAnsi="Times New Roman"/>
          <w:color w:val="000000"/>
          <w:sz w:val="20"/>
        </w:rPr>
        <w:t xml:space="preserve"> </w:t>
      </w:r>
    </w:p>
    <w:p>
      <w:pPr>
        <w:pStyle w:val="TextBody"/>
        <w:bidi w:val="0"/>
        <w:spacing w:before="120" w:after="120"/>
        <w:jc w:val="both"/>
        <w:rPr>
          <w:rFonts w:ascii="Arial" w:hAnsi="Arial"/>
          <w:b/>
          <w:color w:val="000000"/>
          <w:sz w:val="22"/>
        </w:rPr>
      </w:pPr>
      <w:r>
        <w:rPr>
          <w:rFonts w:ascii="Arial" w:hAnsi="Arial"/>
          <w:b/>
          <w:color w:val="000000"/>
          <w:sz w:val="22"/>
        </w:rPr>
        <w:t>Adjusted Gross Profit and Adjusted Gross Margin</w:t>
      </w:r>
    </w:p>
    <w:p>
      <w:pPr>
        <w:pStyle w:val="TextBody"/>
        <w:bidi w:val="0"/>
        <w:jc w:val="both"/>
        <w:rPr>
          <w:rFonts w:ascii="Times New Roman" w:hAnsi="Times New Roman"/>
          <w:sz w:val="20"/>
        </w:rPr>
      </w:pPr>
      <w:r>
        <w:rPr>
          <w:rFonts w:ascii="Arial" w:hAnsi="Arial"/>
          <w:i/>
          <w:color w:val="000000"/>
          <w:sz w:val="22"/>
        </w:rPr>
        <w:t>We define Adjusted Gross Profit as gross profit excluding acquisition-related amortization and equity-based compensation costs and Adjusted Gross Margin is defined as Adjusted Gross Profit as a percentage of revenue. Adjusted Gross Profit and Adjusted Gross Margin are key metrics used by management and our board of directors to assess our operations. We exclude acquisition-related depreciation and amortization expenses as they have no direct correlation to the cost of operating our business on an ongoing basis. A small portion of equity-based compensation is included in cost of revenue in accordance with GAAP but is excluded from our Adjusted Gross Profit calculations due to its non-cash nature.</w:t>
      </w:r>
      <w:r>
        <w:rPr>
          <w:rFonts w:ascii="Times New Roman" w:hAnsi="Times New Roman"/>
          <w:color w:val="000000"/>
          <w:sz w:val="20"/>
        </w:rPr>
        <w:t xml:space="preserve"> </w:t>
      </w:r>
    </w:p>
    <w:p>
      <w:pPr>
        <w:pStyle w:val="TextBody"/>
        <w:bidi w:val="0"/>
        <w:spacing w:before="120" w:after="120"/>
        <w:jc w:val="both"/>
        <w:rPr>
          <w:rFonts w:ascii="Arial" w:hAnsi="Arial"/>
          <w:b/>
          <w:color w:val="000000"/>
          <w:sz w:val="22"/>
        </w:rPr>
      </w:pPr>
      <w:r>
        <w:rPr>
          <w:rFonts w:ascii="Arial" w:hAnsi="Arial"/>
          <w:b/>
          <w:color w:val="000000"/>
          <w:sz w:val="22"/>
        </w:rPr>
        <w:t>Adjusted Operating Income</w:t>
      </w:r>
    </w:p>
    <w:p>
      <w:pPr>
        <w:pStyle w:val="TextBody"/>
        <w:bidi w:val="0"/>
        <w:jc w:val="both"/>
        <w:rPr>
          <w:rFonts w:ascii="Times New Roman" w:hAnsi="Times New Roman"/>
          <w:sz w:val="20"/>
        </w:rPr>
      </w:pPr>
      <w:r>
        <w:rPr>
          <w:rFonts w:ascii="Arial" w:hAnsi="Arial"/>
          <w:i/>
          <w:color w:val="000000"/>
          <w:sz w:val="22"/>
        </w:rPr>
        <w:t>We define Adjusted Operating Income as loss from operations plus acquisition related amortization, equity-based compensation, transaction, integration, and restructuring expenses, goodwill impairments and other non-core expenses.</w:t>
      </w:r>
      <w:r>
        <w:rPr>
          <w:rFonts w:ascii="Times New Roman" w:hAnsi="Times New Roman"/>
          <w:color w:val="000000"/>
          <w:sz w:val="20"/>
        </w:rPr>
        <w:t xml:space="preserve"> </w:t>
      </w:r>
    </w:p>
    <w:p>
      <w:pPr>
        <w:pStyle w:val="TextBody"/>
        <w:bidi w:val="0"/>
        <w:spacing w:before="120" w:after="120"/>
        <w:jc w:val="both"/>
        <w:rPr>
          <w:rFonts w:ascii="Arial" w:hAnsi="Arial"/>
          <w:b/>
          <w:color w:val="000000"/>
          <w:sz w:val="22"/>
        </w:rPr>
      </w:pPr>
      <w:r>
        <w:rPr>
          <w:rFonts w:ascii="Arial" w:hAnsi="Arial"/>
          <w:b/>
          <w:color w:val="000000"/>
          <w:sz w:val="22"/>
        </w:rPr>
        <w:t>Adjusted Net Income and Adjusted Net Income Per Diluted Share</w:t>
      </w:r>
    </w:p>
    <w:p>
      <w:pPr>
        <w:pStyle w:val="TextBody"/>
        <w:bidi w:val="0"/>
        <w:spacing w:before="0" w:after="120"/>
        <w:jc w:val="both"/>
        <w:rPr>
          <w:rFonts w:ascii="Times New Roman" w:hAnsi="Times New Roman"/>
          <w:sz w:val="20"/>
        </w:rPr>
      </w:pPr>
      <w:r>
        <w:rPr>
          <w:rFonts w:ascii="Arial" w:hAnsi="Arial"/>
          <w:i/>
          <w:color w:val="000000"/>
          <w:sz w:val="22"/>
        </w:rPr>
        <w:t>We define Adjusted Net Income as Adjusted Operating Income less interest expense net, recurring income tax (provision) benefit, foreign currency (loss) gain, and tax impacts of adjustments. We define Adjusted Net Income Per Diluted Share as Adjusted Net Income divided by diluted outstanding shares.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i/>
          <w:color w:val="000000"/>
          <w:sz w:val="22"/>
        </w:rPr>
        <w:t>In evaluating our non-GAAP financial measures, you should be aware that in the future we may incur expenses similar to those eliminated in these presentations.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Times New Roman" w:hAnsi="Times New Roman"/>
          <w:sz w:val="20"/>
        </w:rPr>
      </w:pPr>
      <w:r>
        <w:rPr>
          <w:rFonts w:ascii="Arial" w:hAnsi="Arial"/>
          <w:b/>
          <w:color w:val="000000"/>
          <w:sz w:val="22"/>
        </w:rPr>
        <w:t>Investor Contact:</w:t>
      </w:r>
      <w:r>
        <w:rPr>
          <w:rFonts w:ascii="Times New Roman" w:hAnsi="Times New Roman"/>
          <w:color w:val="000000"/>
          <w:sz w:val="20"/>
        </w:rPr>
        <w:t xml:space="preserve"> </w:t>
      </w:r>
    </w:p>
    <w:p>
      <w:pPr>
        <w:pStyle w:val="TextBody"/>
        <w:bidi w:val="0"/>
        <w:jc w:val="left"/>
        <w:rPr>
          <w:rFonts w:ascii="Arial" w:hAnsi="Arial"/>
          <w:color w:val="000000"/>
          <w:sz w:val="22"/>
        </w:rPr>
      </w:pPr>
      <w:r>
        <w:rPr>
          <w:rFonts w:ascii="Arial" w:hAnsi="Arial"/>
          <w:color w:val="000000"/>
          <w:sz w:val="22"/>
        </w:rPr>
        <w:t>Brian Denyeau</w:t>
      </w:r>
    </w:p>
    <w:p>
      <w:pPr>
        <w:pStyle w:val="TextBody"/>
        <w:bidi w:val="0"/>
        <w:jc w:val="left"/>
        <w:rPr>
          <w:rFonts w:ascii="Times New Roman" w:hAnsi="Times New Roman"/>
          <w:sz w:val="20"/>
        </w:rPr>
      </w:pPr>
      <w:r>
        <w:rPr>
          <w:rFonts w:ascii="Arial" w:hAnsi="Arial"/>
          <w:color w:val="000000"/>
          <w:sz w:val="22"/>
        </w:rPr>
        <w:t>ICR for Definitive Healthcare</w:t>
      </w:r>
      <w:r>
        <w:rPr>
          <w:rFonts w:ascii="Times New Roman" w:hAnsi="Times New Roman"/>
          <w:color w:val="000000"/>
          <w:sz w:val="20"/>
        </w:rPr>
        <w:t xml:space="preserve"> </w:t>
      </w:r>
    </w:p>
    <w:p>
      <w:pPr>
        <w:pStyle w:val="TextBody"/>
        <w:bidi w:val="0"/>
        <w:jc w:val="left"/>
        <w:rPr>
          <w:rFonts w:ascii="Arial" w:hAnsi="Arial"/>
          <w:color w:val="0000FF"/>
          <w:sz w:val="22"/>
          <w:u w:val="single"/>
        </w:rPr>
      </w:pPr>
      <w:r>
        <w:rPr>
          <w:rFonts w:ascii="Arial" w:hAnsi="Arial"/>
          <w:color w:val="0000FF"/>
          <w:sz w:val="22"/>
          <w:u w:val="single"/>
        </w:rPr>
        <w:t>brian.denyeau@icrinc.com</w:t>
      </w:r>
    </w:p>
    <w:p>
      <w:pPr>
        <w:pStyle w:val="TextBody"/>
        <w:bidi w:val="0"/>
        <w:jc w:val="left"/>
        <w:rPr>
          <w:rFonts w:ascii="Arial" w:hAnsi="Arial"/>
          <w:color w:val="000000"/>
          <w:sz w:val="22"/>
        </w:rPr>
      </w:pPr>
      <w:r>
        <w:rPr>
          <w:rFonts w:ascii="Arial" w:hAnsi="Arial"/>
          <w:color w:val="000000"/>
          <w:sz w:val="22"/>
        </w:rPr>
        <w:t>646-277-1251</w:t>
      </w:r>
    </w:p>
    <w:p>
      <w:pPr>
        <w:pStyle w:val="TextBody"/>
        <w:bidi w:val="0"/>
        <w:spacing w:before="240" w:after="283"/>
        <w:jc w:val="left"/>
        <w:rPr>
          <w:rFonts w:ascii="Times New Roman" w:hAnsi="Times New Roman"/>
          <w:sz w:val="20"/>
        </w:rPr>
      </w:pPr>
      <w:r>
        <w:rPr>
          <w:rFonts w:ascii="Arial" w:hAnsi="Arial"/>
          <w:b/>
          <w:color w:val="000000"/>
          <w:sz w:val="22"/>
        </w:rPr>
        <w:t>Media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 xml:space="preserve">Bethany Swackhamer </w:t>
        <w:br/>
      </w:r>
      <w:r>
        <w:rPr>
          <w:rFonts w:ascii="Arial" w:hAnsi="Arial"/>
          <w:color w:val="0000FF"/>
          <w:sz w:val="22"/>
          <w:u w:val="single"/>
        </w:rPr>
        <w:t>bswackhamer@definitivehc.com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6478"/>
        <w:gridCol w:w="246"/>
        <w:gridCol w:w="228"/>
        <w:gridCol w:w="1009"/>
        <w:gridCol w:w="166"/>
        <w:gridCol w:w="246"/>
        <w:gridCol w:w="228"/>
        <w:gridCol w:w="1009"/>
        <w:gridCol w:w="595"/>
      </w:tblGrid>
      <w:tr>
        <w:trPr/>
        <w:tc>
          <w:tcPr>
            <w:tcW w:w="647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961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Definitive Healthcare Corp.</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 Balance Sheets</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(amounts in thousands, except number of shares and par value; unaudited)</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3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3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105,378</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184,786</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53,232</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13,040</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13,736</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370,172</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7,521</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14,389</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297,933</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393,283</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1,089,389</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10,763</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40,896</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93,344</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161,161</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229,368</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Receivable Agreement liability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49,511</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25,088</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9,449</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482,195</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par value $0.001, 600,000,000 shares authorized, 104,020,957 and 113,953,554 shares issued and outstanding at December 31, 2025 and 2024, respectively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par value $0.00001, 65,000,000 shares authorized, 38,339,076 shares issued and outstanding at December 31, 2025, and 39,439,198 and 39,375,806 shares issued and outstanding, respectively, at December 31, 2024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1,085,445</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(640,574</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162,819</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607,194</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 and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1,089,389</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3372" w:type="dxa"/>
        <w:jc w:val="left"/>
        <w:tblInd w:w="0" w:type="dxa"/>
        <w:tblLayout w:type="fixed"/>
        <w:tblCellMar>
          <w:top w:w="28" w:type="dxa"/>
          <w:left w:w="28" w:type="dxa"/>
          <w:bottom w:w="28" w:type="dxa"/>
          <w:right w:w="28" w:type="dxa"/>
        </w:tblCellMar>
      </w:tblPr>
      <w:tblGrid>
        <w:gridCol w:w="2551"/>
        <w:gridCol w:w="1346"/>
        <w:gridCol w:w="211"/>
        <w:gridCol w:w="1141"/>
        <w:gridCol w:w="446"/>
        <w:gridCol w:w="446"/>
        <w:gridCol w:w="211"/>
        <w:gridCol w:w="1141"/>
        <w:gridCol w:w="546"/>
        <w:gridCol w:w="546"/>
        <w:gridCol w:w="211"/>
        <w:gridCol w:w="1141"/>
        <w:gridCol w:w="546"/>
        <w:gridCol w:w="546"/>
        <w:gridCol w:w="211"/>
        <w:gridCol w:w="1141"/>
        <w:gridCol w:w="991"/>
      </w:tblGrid>
      <w:tr>
        <w:trPr/>
        <w:tc>
          <w:tcPr>
            <w:tcW w:w="255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12381"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Definitive Healthcare Corp.</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381"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 Statements of Operations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381"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(amounts in thousands, except share amounts and per share data; unaudited)</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61,534</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62,288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241,521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252,202</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 xml:space="preserve">Cost of revenue exclusive of amortization </w:t>
            </w:r>
            <w:r>
              <w:rPr>
                <w:rFonts w:ascii="Times New Roman" w:hAnsi="Times New Roman"/>
                <w:color w:val="000000"/>
                <w:sz w:val="13"/>
              </w:rPr>
              <w:t>(1)</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9,944</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40,684</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14,049</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Gross profit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46,909</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183,275</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197,469</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 xml:space="preserve">Sales and marketing </w:t>
            </w:r>
            <w:r>
              <w:rPr>
                <w:rFonts w:ascii="Times New Roman" w:hAnsi="Times New Roman"/>
                <w:color w:val="000000"/>
                <w:sz w:val="13"/>
              </w:rPr>
              <w:t>(1)</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20,135</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81,637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83,807</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 xml:space="preserve">Product development </w:t>
            </w:r>
            <w:r>
              <w:rPr>
                <w:rFonts w:ascii="Times New Roman" w:hAnsi="Times New Roman"/>
                <w:color w:val="000000"/>
                <w:sz w:val="13"/>
              </w:rPr>
              <w:t>(1)</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9,954</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34,776</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36,518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(1)</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14,321</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49,267</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 and 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9,214</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Transaction, integration, and restructuring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12,225</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Goodwill impairment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19,533</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97,060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196,064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688,854</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operating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73,536</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147,165</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407,546</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908,289</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Loss from operations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(26,627</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(99,563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(224,271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(710,820</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income, net: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expense, net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Other income, net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10,811</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77,320</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other income, net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9,427</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77,075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Loss before income taxes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(17,200</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(90,612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(209,256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(633,745</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Benefit from income taxes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9,959</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42,299</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(17,147</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(199,297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(591,446</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(7,832</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(178,322</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(9,315</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(59,075</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(138,932</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(413,124</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per share of Class A common stock:</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 and diluted</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common stock outstanding:</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 and diluted</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103,357,212</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115,015,489</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106,650,845</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116,640,183</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49"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Amounts include equity-based compensation expense as follows: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6,235</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8,579</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16,597</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22,432</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equity-based compensation expense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8,161</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7,365</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29,144</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38,085</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2896"/>
        <w:gridCol w:w="208"/>
        <w:gridCol w:w="734"/>
        <w:gridCol w:w="176"/>
        <w:gridCol w:w="154"/>
        <w:gridCol w:w="208"/>
        <w:gridCol w:w="797"/>
        <w:gridCol w:w="966"/>
        <w:gridCol w:w="946"/>
        <w:gridCol w:w="196"/>
        <w:gridCol w:w="751"/>
        <w:gridCol w:w="166"/>
        <w:gridCol w:w="146"/>
        <w:gridCol w:w="196"/>
        <w:gridCol w:w="751"/>
        <w:gridCol w:w="914"/>
      </w:tblGrid>
      <w:tr>
        <w:trPr/>
        <w:tc>
          <w:tcPr>
            <w:tcW w:w="289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9291"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Definitive Healthcare Corp.</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291"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 Statements of Cash Flows</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291"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(amounts in thousands; unaudited)</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provided by (used in) operating activities:</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loss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(17,147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(84,717</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(591,446</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provided by operating activities:</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Depreciation and amortization</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2,245</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Amortization of intangible assets</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12,904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12,606</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49,422</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Amortization of deferred contract costs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3,978</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15,441</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Equity-based compensation</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7,365</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38,085</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Amortization of debt issuance costs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Write-off of deferred offering costs</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Provision for (recovery of) bad debt expense</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Loss on partial extinguishment of debt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Non-cash restructuring charges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Goodwill impairment charges</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19,533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97,060</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688,854</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Tax Receivable Agreement remeasurement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(8,758</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(76,909</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Changes in fair value of contingent consideration</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1,460</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(1,780</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Deferred income taxes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(6,061</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(42,670</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Accounts receivable</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(17,967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(17,455</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5,693</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Prepaid expenses and other assets</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(7,832</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Deferred contract costs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(4,481</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(12,756</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Contingent consideration</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Accounts payable, accrued expenses, and other liabilities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(5,458</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Deferred revenue</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7,356</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7,157</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(4,979</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operating activities</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2,720</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8,135</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58,196</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(used in) provided by investing activities:</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Purchases of property, equipment, and data assets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(10,901</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(12,344</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Purchases of short-term investments</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(111,634</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(304,304</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Maturities of short-term investments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60,791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96,265</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303,769</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paid for acquisitions and investments, net of cash acquired</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(13,530</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investing activities</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56,351</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(26,270</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(26,409</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(used in) provided by financing activities:</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Repayments of term loans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(3,437</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(13,750</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term loan</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Payments of debt issuance costs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Taxes paid related to net share settlement of equity awards</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(7,548</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Repurchases of Class A common stock</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(7,329</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(22,366</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Payments of contingent consideration</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Payments under Tax Receivable Agreement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(6,950</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Member distributions</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(2,324</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(5,135</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financing activities</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(3,911</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(13,368</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(56,749</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and cash equivalents</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55,160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(31,503</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(24,962</w:t>
            </w:r>
          </w:p>
        </w:tc>
        <w:tc>
          <w:tcPr>
            <w:tcW w:w="9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Effect of exchange rate changes on cash and cash equivalents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w:t>
            </w:r>
          </w:p>
        </w:tc>
        <w:tc>
          <w:tcPr>
            <w:tcW w:w="9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and cash equivalents, beginning of period</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108,317</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137,609</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130,976</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and cash equivalents, end of period</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163,627</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105,378</w:t>
            </w:r>
          </w:p>
        </w:tc>
        <w:tc>
          <w:tcPr>
            <w:tcW w:w="9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163,627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105,378</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3688"/>
        <w:gridCol w:w="235"/>
        <w:gridCol w:w="614"/>
        <w:gridCol w:w="175"/>
        <w:gridCol w:w="175"/>
        <w:gridCol w:w="235"/>
        <w:gridCol w:w="614"/>
        <w:gridCol w:w="646"/>
        <w:gridCol w:w="646"/>
        <w:gridCol w:w="224"/>
        <w:gridCol w:w="689"/>
        <w:gridCol w:w="167"/>
        <w:gridCol w:w="167"/>
        <w:gridCol w:w="224"/>
        <w:gridCol w:w="689"/>
        <w:gridCol w:w="1017"/>
      </w:tblGrid>
      <w:tr>
        <w:trPr/>
        <w:tc>
          <w:tcPr>
            <w:tcW w:w="368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9188"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Definitive Healthcare Corp.</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188"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 Statements of Cash Flows (Continued)</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188"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(amounts in thousands; unaudited)</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cash flow disclosures:</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8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paid during the period for:</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3,310</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14,196</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68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taxes</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Acquisitions:</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368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assets acquired, net of cash acquired</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13,675</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Working capital adjustment receivable</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3688"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paid for acquisitions</w:t>
            </w:r>
          </w:p>
        </w:tc>
        <w:tc>
          <w:tcPr>
            <w:tcW w:w="23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7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6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13,530</w:t>
            </w:r>
          </w:p>
        </w:tc>
        <w:tc>
          <w:tcPr>
            <w:tcW w:w="1017"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800"/>
              <w:jc w:val="left"/>
              <w:rPr/>
            </w:pPr>
            <w:r>
              <w:rPr/>
              <w:t> </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investing activities:</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8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Capital expenditures included in accounts payable and accrued expenses and other liabilities</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4,537</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6,870</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6,870</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Reconciliations of Non-GAAP Financial Measures to Closest GAAP Equivalent</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58"/>
        <w:gridCol w:w="285"/>
        <w:gridCol w:w="855"/>
        <w:gridCol w:w="224"/>
        <w:gridCol w:w="197"/>
        <w:gridCol w:w="285"/>
        <w:gridCol w:w="998"/>
        <w:gridCol w:w="203"/>
        <w:gridCol w:w="179"/>
        <w:gridCol w:w="258"/>
        <w:gridCol w:w="902"/>
        <w:gridCol w:w="203"/>
        <w:gridCol w:w="179"/>
        <w:gridCol w:w="258"/>
        <w:gridCol w:w="902"/>
        <w:gridCol w:w="519"/>
      </w:tblGrid>
      <w:tr>
        <w:trPr/>
        <w:tc>
          <w:tcPr>
            <w:tcW w:w="37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9686"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Operating Cash Flow to Unlevered Free Cash Flow</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86"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 unaudited)</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8,135</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53,777</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58,196</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property, equipment, and data assets</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(4,440</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(12,344</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5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paid in cash</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10,800</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14,196</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Transaction, integration, and restructuring expenses paid in cash</w:t>
            </w:r>
            <w:r>
              <w:rPr>
                <w:rFonts w:ascii="Times New Roman" w:hAnsi="Times New Roman"/>
                <w:color w:val="000000"/>
                <w:sz w:val="13"/>
              </w:rPr>
              <w:t>(a)</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Earnout payment </w:t>
            </w:r>
            <w:r>
              <w:rPr>
                <w:rFonts w:ascii="Times New Roman" w:hAnsi="Times New Roman"/>
                <w:color w:val="000000"/>
                <w:sz w:val="13"/>
              </w:rPr>
              <w:t>(b)</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non-core items </w:t>
            </w:r>
            <w:r>
              <w:rPr>
                <w:rFonts w:ascii="Times New Roman" w:hAnsi="Times New Roman"/>
                <w:color w:val="000000"/>
                <w:sz w:val="13"/>
              </w:rPr>
              <w:t>(c)</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75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Unlevered Free Cash Flow</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54,874</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72,480</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86"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Transaction and integration expenses paid in cash primarily represent legal, accounting, and consulting expenses related to our acquisitions and strategic partnerships. Restructuring expenses paid in cash relate to our restructuring plans.</w:t>
              <w:br/>
              <w:t xml:space="preserve">(b) Earnout payment represents final settlement of contingent consideration included in cash flow from operations. </w:t>
              <w:br/>
              <w:t>(c) Non-core items paid in cash represent expenses driven by events that are typically by nature one-time, non-operational, and unrelated to our core operations.</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pPr>
      <w:r>
        <w:rPr/>
        <w:t> </w:t>
      </w:r>
    </w:p>
    <w:tbl>
      <w:tblPr>
        <w:tblW w:w="10311" w:type="dxa"/>
        <w:jc w:val="left"/>
        <w:tblInd w:w="0" w:type="dxa"/>
        <w:tblLayout w:type="fixed"/>
        <w:tblCellMar>
          <w:top w:w="28" w:type="dxa"/>
          <w:left w:w="28" w:type="dxa"/>
          <w:bottom w:w="28" w:type="dxa"/>
          <w:right w:w="28" w:type="dxa"/>
        </w:tblCellMar>
      </w:tblPr>
      <w:tblGrid>
        <w:gridCol w:w="1496"/>
        <w:gridCol w:w="211"/>
        <w:gridCol w:w="1141"/>
        <w:gridCol w:w="266"/>
        <w:gridCol w:w="246"/>
        <w:gridCol w:w="211"/>
        <w:gridCol w:w="1141"/>
        <w:gridCol w:w="946"/>
        <w:gridCol w:w="946"/>
        <w:gridCol w:w="211"/>
        <w:gridCol w:w="1141"/>
        <w:gridCol w:w="246"/>
        <w:gridCol w:w="246"/>
        <w:gridCol w:w="211"/>
        <w:gridCol w:w="1141"/>
        <w:gridCol w:w="511"/>
      </w:tblGrid>
      <w:tr>
        <w:trPr/>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800"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Net Loss to Adjusted Net Income and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00"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GAAP Operating Loss to Adjusted Operating Income</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00"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per share amounts; unaudited)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(17,147</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(84,717</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(199,297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(591,446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Income tax benefit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(5,895</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Interest expense,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Loss from extinguishment from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Other income,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(9,254</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(77,320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Loss from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(99,563</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(224,271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(710,820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Amortization of intangible assets acquired through business combinations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11,370</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45,304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Equity-based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7,365</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Transaction, integration, and restructuring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Goodwill impairment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97,060</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196,064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688,854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Other non-core items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Adjusted Operating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15,756</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Interest expense,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Less: Recurring income tax (provision) benefit </w:t>
            </w:r>
            <w:r>
              <w:rPr>
                <w:rFonts w:ascii="Times New Roman" w:hAnsi="Times New Roman"/>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Foreign currency (loss) gain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Tax impacts of adjustments to net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Adjusted Net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12,551</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Shares for Adjusted Net Income Per Diluted Share </w:t>
            </w:r>
            <w:r>
              <w:rPr>
                <w:rFonts w:ascii="Times New Roman" w:hAnsi="Times New Roman"/>
                <w:color w:val="000000"/>
                <w:sz w:val="13"/>
              </w:rPr>
              <w:t>(b)</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141,698,454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154,404,162</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145,295,054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155,853,282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Net Income Per Diluted Share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00"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Recurring income tax (provision) benefit excludes the income tax impact of goodwill impairment charges.</w:t>
              <w:br/>
              <w:t>(b) Diluted Adjusted Net Income Per Share is computed by giving effect to all potential weighted average Class A common stock and any securities that are convertible into Class A common stock, including Definitive OpCo units and restricted stock units. The dilutive effect of outstanding awards and convertible securities is reflected in diluted earnings per share by application of the treasury stock method assuming proceeds from unrecognized compensation as required by GAAP. Fully diluted shares are 156,127,407 and 162,498,543 as of December 31, 2025 and 2024, respectively.</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pPr>
      <w:r>
        <w:rPr/>
        <w:t> </w:t>
      </w:r>
    </w:p>
    <w:p>
      <w:pPr>
        <w:pStyle w:val="TextBody"/>
        <w:bidi w:val="0"/>
        <w:spacing w:before="0" w:after="240"/>
        <w:jc w:val="center"/>
        <w:rPr/>
      </w:pPr>
      <w:r>
        <w:rPr/>
        <w:t> </w:t>
      </w:r>
    </w:p>
    <w:tbl>
      <w:tblPr>
        <w:tblW w:w="10484" w:type="dxa"/>
        <w:jc w:val="left"/>
        <w:tblInd w:w="0" w:type="dxa"/>
        <w:tblLayout w:type="fixed"/>
        <w:tblCellMar>
          <w:top w:w="28" w:type="dxa"/>
          <w:left w:w="28" w:type="dxa"/>
          <w:bottom w:w="28" w:type="dxa"/>
          <w:right w:w="28" w:type="dxa"/>
        </w:tblCellMar>
      </w:tblPr>
      <w:tblGrid>
        <w:gridCol w:w="1411"/>
        <w:gridCol w:w="146"/>
        <w:gridCol w:w="196"/>
        <w:gridCol w:w="601"/>
        <w:gridCol w:w="146"/>
        <w:gridCol w:w="146"/>
        <w:gridCol w:w="243"/>
        <w:gridCol w:w="478"/>
        <w:gridCol w:w="256"/>
        <w:gridCol w:w="146"/>
        <w:gridCol w:w="196"/>
        <w:gridCol w:w="601"/>
        <w:gridCol w:w="146"/>
        <w:gridCol w:w="146"/>
        <w:gridCol w:w="243"/>
        <w:gridCol w:w="478"/>
        <w:gridCol w:w="256"/>
        <w:gridCol w:w="146"/>
        <w:gridCol w:w="196"/>
        <w:gridCol w:w="691"/>
        <w:gridCol w:w="146"/>
        <w:gridCol w:w="146"/>
        <w:gridCol w:w="243"/>
        <w:gridCol w:w="478"/>
        <w:gridCol w:w="256"/>
        <w:gridCol w:w="146"/>
        <w:gridCol w:w="196"/>
        <w:gridCol w:w="691"/>
        <w:gridCol w:w="146"/>
        <w:gridCol w:w="146"/>
        <w:gridCol w:w="243"/>
        <w:gridCol w:w="478"/>
        <w:gridCol w:w="30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183" w:type="dxa"/>
            <w:gridSpan w:val="3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Gross Profit and Margin to Adjusted Gross Profit and Margin</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183" w:type="dxa"/>
            <w:gridSpan w:val="3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unaudited)</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Reported gross profit</w:t>
            </w:r>
            <w:r>
              <w:rPr>
                <w:rFonts w:ascii="Times New Roman" w:hAnsi="Times New Roman"/>
                <w:color w:val="000000"/>
                <w:sz w:val="18"/>
              </w:rPr>
              <w:t xml:space="preserve"> </w:t>
            </w:r>
            <w:r>
              <w:rPr>
                <w:rFonts w:ascii="Times New Roman" w:hAnsi="Times New Roman"/>
                <w:b/>
                <w:color w:val="000000"/>
                <w:sz w:val="18"/>
              </w:rPr>
              <w:t>and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intangible assets resulting from acquisition-related purchase accounting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Equity-based compensation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gross profit and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196,676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208,174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pPr>
      <w:r>
        <w:rPr/>
        <w:t> </w:t>
      </w:r>
    </w:p>
    <w:tbl>
      <w:tblPr>
        <w:tblW w:w="10373" w:type="dxa"/>
        <w:jc w:val="left"/>
        <w:tblInd w:w="0" w:type="dxa"/>
        <w:tblLayout w:type="fixed"/>
        <w:tblCellMar>
          <w:top w:w="28" w:type="dxa"/>
          <w:left w:w="28" w:type="dxa"/>
          <w:bottom w:w="28" w:type="dxa"/>
          <w:right w:w="28" w:type="dxa"/>
        </w:tblCellMar>
      </w:tblPr>
      <w:tblGrid>
        <w:gridCol w:w="1186"/>
        <w:gridCol w:w="196"/>
        <w:gridCol w:w="661"/>
        <w:gridCol w:w="166"/>
        <w:gridCol w:w="146"/>
        <w:gridCol w:w="213"/>
        <w:gridCol w:w="508"/>
        <w:gridCol w:w="241"/>
        <w:gridCol w:w="146"/>
        <w:gridCol w:w="196"/>
        <w:gridCol w:w="661"/>
        <w:gridCol w:w="166"/>
        <w:gridCol w:w="146"/>
        <w:gridCol w:w="180"/>
        <w:gridCol w:w="541"/>
        <w:gridCol w:w="241"/>
        <w:gridCol w:w="146"/>
        <w:gridCol w:w="196"/>
        <w:gridCol w:w="751"/>
        <w:gridCol w:w="166"/>
        <w:gridCol w:w="146"/>
        <w:gridCol w:w="213"/>
        <w:gridCol w:w="508"/>
        <w:gridCol w:w="241"/>
        <w:gridCol w:w="146"/>
        <w:gridCol w:w="196"/>
        <w:gridCol w:w="751"/>
        <w:gridCol w:w="166"/>
        <w:gridCol w:w="146"/>
        <w:gridCol w:w="180"/>
        <w:gridCol w:w="541"/>
        <w:gridCol w:w="286"/>
      </w:tblGrid>
      <w:tr>
        <w:trPr/>
        <w:tc>
          <w:tcPr>
            <w:tcW w:w="11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087" w:type="dxa"/>
            <w:gridSpan w:val="3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Net Loss to Adjusted EBITDA</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087" w:type="dxa"/>
            <w:gridSpan w:val="3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unaudited)</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loss and margin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(591,446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expense,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Income tax benefit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Loss from extinguishment of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Depreciation &amp; amortization</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EBITDA and margin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(581,833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 xml:space="preserve">Other income, net </w:t>
            </w:r>
            <w:r>
              <w:rPr>
                <w:rFonts w:ascii="Times New Roman" w:hAnsi="Times New Roman"/>
                <w:color w:val="000000"/>
                <w:sz w:val="11"/>
              </w:rPr>
              <w:t>(a)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 xml:space="preserve">Equity-based compensation </w:t>
            </w:r>
            <w:r>
              <w:rPr>
                <w:rFonts w:ascii="Times New Roman" w:hAnsi="Times New Roman"/>
                <w:color w:val="000000"/>
                <w:sz w:val="11"/>
              </w:rPr>
              <w:t>(b)</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 xml:space="preserve">Transaction, integration, and restructuring expenses </w:t>
            </w:r>
            <w:r>
              <w:rPr>
                <w:rFonts w:ascii="Times New Roman" w:hAnsi="Times New Roman"/>
                <w:color w:val="000000"/>
                <w:sz w:val="11"/>
              </w:rPr>
              <w:t>(c)</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 xml:space="preserve">Goodwill impairment </w:t>
            </w:r>
            <w:r>
              <w:rPr>
                <w:rFonts w:ascii="Times New Roman" w:hAnsi="Times New Roman"/>
                <w:color w:val="000000"/>
                <w:sz w:val="11"/>
              </w:rPr>
              <w:t>(d)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688,854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 xml:space="preserve">Other non-core items </w:t>
            </w:r>
            <w:r>
              <w:rPr>
                <w:rFonts w:ascii="Times New Roman" w:hAnsi="Times New Roman"/>
                <w:color w:val="000000"/>
                <w:sz w:val="11"/>
              </w:rPr>
              <w:t>(e)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Adjusted EBITDA and margin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87" w:type="dxa"/>
            <w:gridSpan w:val="31"/>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Primarily represents foreign exchange and TRA liability remeasurement gains and losses.</w:t>
              <w:br/>
              <w:t>(b) Equity-based compensation represents non-cash compensation expense recognized in association with equity awards made to employees and directors.</w:t>
              <w:br/>
              <w:t>(c) Transaction and integration expenses primarily represent legal, accounting, and consulting expenses and fair value adjustments for contingent consideration related to our acquisitions and strategic partnerships, inclusive of an integration charge in the third quarter of 2025 to recognize a liability for a major data contract from a prior acquisition that no longer provided an economic benefit to the Company. Restructuring expenses relate to the 2024 Restructuring Plan as well as impairment and restructuring charges related to office closures, relocations, and consolidations.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67"/>
        <w:gridCol w:w="546"/>
        <w:gridCol w:w="248"/>
        <w:gridCol w:w="496"/>
        <w:gridCol w:w="289"/>
        <w:gridCol w:w="289"/>
        <w:gridCol w:w="248"/>
        <w:gridCol w:w="673"/>
        <w:gridCol w:w="646"/>
        <w:gridCol w:w="646"/>
        <w:gridCol w:w="211"/>
        <w:gridCol w:w="631"/>
        <w:gridCol w:w="266"/>
        <w:gridCol w:w="246"/>
        <w:gridCol w:w="211"/>
        <w:gridCol w:w="676"/>
        <w:gridCol w:w="216"/>
      </w:tblGrid>
      <w:tr>
        <w:trPr/>
        <w:tc>
          <w:tcPr>
            <w:tcW w:w="366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Merger and acquisition due diligence and transaction costs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Integration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Fair value adjustment for contingent consideration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Restructuring charges for severance and other separation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Office closure and relocation restructuring charges and impairments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transaction, integration and restructuring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12,225</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(d) Goodwill impairment represents non-cash, pre-tax, goodwill impairment charges. We experienced declines in our market capitalization as a result of sustained decreases in our stock price, which represented triggering events requiring our management to perform multiple quantitative goodwill impairment tests during the years ended December 31, 2025, 2024, and 2023. As a result of each impairment test conducted in their respective periods, we determined that the fair value of our single reporting unit was lower than its carrying value and, accordingly, recorded these impairment charges.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 Other non-core items represent expenses driven by events that are typically by nature one-time, non-operational, and/or unrelated to our core operations. These expenses are comprised of non-core legal and regulatory costs isolated to unique and extraordinary litigation, legal and regulatory matters that are not considered normal and recurring business activity, including sales tax accrual adjustments inclusive of penalties and interest for sales taxes that we may have been required to collect from customers in certain previous years, and other non-recurring legal and regulatory matters. Other non-core items also include consulting fees and severance costs associated with strategic transition initiatives, as well as professional fees related to financing, capital structure changes, and other non-core items, including a charge in the third quarter of 2025 for the write-off of deferred offering costs associated with the Company’s expired shelf registration.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56"/>
        <w:gridCol w:w="546"/>
        <w:gridCol w:w="237"/>
        <w:gridCol w:w="643"/>
        <w:gridCol w:w="277"/>
        <w:gridCol w:w="277"/>
        <w:gridCol w:w="237"/>
        <w:gridCol w:w="710"/>
        <w:gridCol w:w="646"/>
        <w:gridCol w:w="646"/>
        <w:gridCol w:w="211"/>
        <w:gridCol w:w="571"/>
        <w:gridCol w:w="246"/>
        <w:gridCol w:w="246"/>
        <w:gridCol w:w="211"/>
        <w:gridCol w:w="631"/>
        <w:gridCol w:w="214"/>
      </w:tblGrid>
      <w:tr>
        <w:trPr/>
        <w:tc>
          <w:tcPr>
            <w:tcW w:w="365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Non-core legal and regulatory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Consulting and severance costs for strategic transition initiatives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non-core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non-core items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5677</Words>
  <Characters>31559</Characters>
  <CharactersWithSpaces>38089</CharactersWithSpaces>
  <Paragraphs>3552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