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July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4"/>
          <w:szCs w:val="24"/>
          <w:color w:val="auto"/>
        </w:rPr>
      </w:pPr>
    </w:p>
    <w:tbl>
      <w:tblPr>
        <w:tblLayout w:type="fixed"/>
        <w:tblInd w:w="1420" w:type="dxa"/>
        <w:tblCellMar>
          <w:top w:w="0" w:type="dxa"/>
          <w:left w:w="0" w:type="dxa"/>
          <w:bottom w:w="0" w:type="dxa"/>
          <w:right w:w="0" w:type="dxa"/>
        </w:tblCellMar>
      </w:tblPr>
      <w:tr>
        <w:trPr>
          <w:trHeight w:val="530"/>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43"/>
                <w:szCs w:val="43"/>
                <w:b w:val="1"/>
                <w:bCs w:val="1"/>
                <w:color w:val="auto"/>
                <w:w w:val="93"/>
              </w:rPr>
              <w:t>Definitive Healthcare Corp.</w:t>
            </w:r>
          </w:p>
        </w:tc>
      </w:tr>
      <w:tr>
        <w:trPr>
          <w:trHeight w:val="174"/>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Arial" w:cs="Arial" w:eastAsia="Arial" w:hAnsi="Arial"/>
                <w:sz w:val="13"/>
                <w:szCs w:val="13"/>
                <w:b w:val="1"/>
                <w:bCs w:val="1"/>
                <w:color w:val="auto"/>
                <w:w w:val="94"/>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66"/>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18"/>
                <w:szCs w:val="18"/>
                <w:b w:val="1"/>
                <w:bCs w:val="1"/>
                <w:color w:val="auto"/>
                <w:w w:val="90"/>
              </w:rPr>
              <w:t>Commission File Number 1-40815</w:t>
            </w:r>
          </w:p>
        </w:tc>
      </w:tr>
      <w:tr>
        <w:trPr>
          <w:trHeight w:val="486"/>
        </w:trPr>
        <w:tc>
          <w:tcPr>
            <w:tcW w:w="1320" w:type="dxa"/>
            <w:vAlign w:val="bottom"/>
          </w:tcPr>
          <w:p>
            <w:pPr>
              <w:jc w:val="center"/>
              <w:ind w:right="245"/>
              <w:spacing w:after="0"/>
              <w:rPr>
                <w:sz w:val="20"/>
                <w:szCs w:val="20"/>
                <w:color w:val="auto"/>
              </w:rPr>
            </w:pPr>
            <w:r>
              <w:rPr>
                <w:rFonts w:ascii="Arial" w:cs="Arial" w:eastAsia="Arial" w:hAnsi="Arial"/>
                <w:sz w:val="18"/>
                <w:szCs w:val="18"/>
                <w:b w:val="1"/>
                <w:bCs w:val="1"/>
                <w:color w:val="auto"/>
                <w:w w:val="91"/>
              </w:rPr>
              <w:t>Delaware</w:t>
            </w:r>
          </w:p>
        </w:tc>
        <w:tc>
          <w:tcPr>
            <w:tcW w:w="7120" w:type="dxa"/>
            <w:vAlign w:val="bottom"/>
            <w:gridSpan w:val="3"/>
          </w:tcPr>
          <w:p>
            <w:pPr>
              <w:jc w:val="center"/>
              <w:ind w:left="5966"/>
              <w:spacing w:after="0"/>
              <w:rPr>
                <w:sz w:val="20"/>
                <w:szCs w:val="20"/>
                <w:color w:val="auto"/>
              </w:rPr>
            </w:pPr>
            <w:r>
              <w:rPr>
                <w:rFonts w:ascii="Arial" w:cs="Arial" w:eastAsia="Arial" w:hAnsi="Arial"/>
                <w:sz w:val="18"/>
                <w:szCs w:val="18"/>
                <w:b w:val="1"/>
                <w:bCs w:val="1"/>
                <w:color w:val="auto"/>
                <w:w w:val="89"/>
              </w:rPr>
              <w:t>86-3988281</w:t>
            </w:r>
          </w:p>
        </w:tc>
      </w:tr>
      <w:tr>
        <w:trPr>
          <w:trHeight w:val="149"/>
        </w:trPr>
        <w:tc>
          <w:tcPr>
            <w:tcW w:w="1320" w:type="dxa"/>
            <w:vAlign w:val="bottom"/>
          </w:tcPr>
          <w:p>
            <w:pPr>
              <w:jc w:val="center"/>
              <w:ind w:right="265"/>
              <w:spacing w:after="0"/>
              <w:rPr>
                <w:sz w:val="20"/>
                <w:szCs w:val="20"/>
                <w:color w:val="auto"/>
              </w:rPr>
            </w:pPr>
            <w:r>
              <w:rPr>
                <w:rFonts w:ascii="Arial" w:cs="Arial" w:eastAsia="Arial" w:hAnsi="Arial"/>
                <w:sz w:val="13"/>
                <w:szCs w:val="13"/>
                <w:b w:val="1"/>
                <w:bCs w:val="1"/>
                <w:color w:val="auto"/>
                <w:w w:val="94"/>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1993"/>
              <w:spacing w:after="0"/>
              <w:rPr>
                <w:sz w:val="20"/>
                <w:szCs w:val="20"/>
                <w:color w:val="auto"/>
              </w:rPr>
            </w:pPr>
            <w:r>
              <w:rPr>
                <w:rFonts w:ascii="Arial" w:cs="Arial" w:eastAsia="Arial" w:hAnsi="Arial"/>
                <w:sz w:val="13"/>
                <w:szCs w:val="13"/>
                <w:b w:val="1"/>
                <w:bCs w:val="1"/>
                <w:color w:val="auto"/>
                <w:w w:val="96"/>
              </w:rPr>
              <w:t>(IRS Employer</w:t>
            </w:r>
          </w:p>
        </w:tc>
      </w:tr>
      <w:tr>
        <w:trPr>
          <w:trHeight w:val="170"/>
        </w:trPr>
        <w:tc>
          <w:tcPr>
            <w:tcW w:w="1320" w:type="dxa"/>
            <w:vAlign w:val="bottom"/>
          </w:tcPr>
          <w:p>
            <w:pPr>
              <w:jc w:val="center"/>
              <w:ind w:right="245"/>
              <w:spacing w:after="0"/>
              <w:rPr>
                <w:sz w:val="20"/>
                <w:szCs w:val="20"/>
                <w:color w:val="auto"/>
              </w:rPr>
            </w:pPr>
            <w:r>
              <w:rPr>
                <w:rFonts w:ascii="Arial" w:cs="Arial" w:eastAsia="Arial" w:hAnsi="Arial"/>
                <w:sz w:val="13"/>
                <w:szCs w:val="13"/>
                <w:b w:val="1"/>
                <w:bCs w:val="1"/>
                <w:color w:val="auto"/>
                <w:w w:val="96"/>
              </w:rPr>
              <w:t>of Incorporation)</w:t>
            </w:r>
          </w:p>
        </w:tc>
        <w:tc>
          <w:tcPr>
            <w:tcW w:w="1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120" w:type="dxa"/>
            <w:vAlign w:val="bottom"/>
          </w:tcPr>
          <w:p>
            <w:pPr>
              <w:jc w:val="center"/>
              <w:ind w:left="1993"/>
              <w:spacing w:after="0"/>
              <w:rPr>
                <w:sz w:val="20"/>
                <w:szCs w:val="20"/>
                <w:color w:val="auto"/>
              </w:rPr>
            </w:pPr>
            <w:r>
              <w:rPr>
                <w:rFonts w:ascii="Arial" w:cs="Arial" w:eastAsia="Arial" w:hAnsi="Arial"/>
                <w:sz w:val="13"/>
                <w:szCs w:val="13"/>
                <w:b w:val="1"/>
                <w:bCs w:val="1"/>
                <w:color w:val="auto"/>
                <w:w w:val="96"/>
              </w:rPr>
              <w:t>Identification No.)</w:t>
            </w:r>
          </w:p>
        </w:tc>
      </w:tr>
      <w:tr>
        <w:trPr>
          <w:trHeight w:val="234"/>
        </w:trPr>
        <w:tc>
          <w:tcPr>
            <w:tcW w:w="1320" w:type="dxa"/>
            <w:vAlign w:val="bottom"/>
          </w:tcPr>
          <w:p>
            <w:pPr>
              <w:spacing w:after="0"/>
              <w:rPr>
                <w:sz w:val="20"/>
                <w:szCs w:val="20"/>
                <w:color w:val="auto"/>
              </w:rPr>
            </w:pPr>
          </w:p>
        </w:tc>
        <w:tc>
          <w:tcPr>
            <w:tcW w:w="7120" w:type="dxa"/>
            <w:vAlign w:val="bottom"/>
            <w:gridSpan w:val="3"/>
          </w:tcPr>
          <w:p>
            <w:pPr>
              <w:jc w:val="center"/>
              <w:ind w:right="1273"/>
              <w:spacing w:after="0"/>
              <w:rPr>
                <w:sz w:val="20"/>
                <w:szCs w:val="20"/>
                <w:color w:val="auto"/>
              </w:rPr>
            </w:pPr>
            <w:r>
              <w:rPr>
                <w:rFonts w:ascii="Arial" w:cs="Arial" w:eastAsia="Arial" w:hAnsi="Arial"/>
                <w:sz w:val="18"/>
                <w:szCs w:val="18"/>
                <w:b w:val="1"/>
                <w:bCs w:val="1"/>
                <w:color w:val="auto"/>
                <w:w w:val="90"/>
              </w:rPr>
              <w:t>492 Old Connecticut Path, Suite 401</w:t>
            </w:r>
          </w:p>
        </w:tc>
      </w:tr>
      <w:tr>
        <w:trPr>
          <w:trHeight w:val="243"/>
        </w:trPr>
        <w:tc>
          <w:tcPr>
            <w:tcW w:w="1320" w:type="dxa"/>
            <w:vAlign w:val="bottom"/>
          </w:tcPr>
          <w:p>
            <w:pPr>
              <w:spacing w:after="0"/>
              <w:rPr>
                <w:sz w:val="21"/>
                <w:szCs w:val="21"/>
                <w:color w:val="auto"/>
              </w:rPr>
            </w:pPr>
          </w:p>
        </w:tc>
        <w:tc>
          <w:tcPr>
            <w:tcW w:w="7120" w:type="dxa"/>
            <w:vAlign w:val="bottom"/>
            <w:gridSpan w:val="3"/>
          </w:tcPr>
          <w:p>
            <w:pPr>
              <w:jc w:val="center"/>
              <w:ind w:right="1233"/>
              <w:spacing w:after="0"/>
              <w:rPr>
                <w:sz w:val="20"/>
                <w:szCs w:val="20"/>
                <w:color w:val="auto"/>
              </w:rPr>
            </w:pPr>
            <w:r>
              <w:rPr>
                <w:rFonts w:ascii="Arial" w:cs="Arial" w:eastAsia="Arial" w:hAnsi="Arial"/>
                <w:sz w:val="18"/>
                <w:szCs w:val="18"/>
                <w:b w:val="1"/>
                <w:bCs w:val="1"/>
                <w:color w:val="auto"/>
                <w:w w:val="89"/>
              </w:rPr>
              <w:t>Framingham, Massachusetts 01701</w:t>
            </w:r>
          </w:p>
        </w:tc>
      </w:tr>
      <w:tr>
        <w:trPr>
          <w:trHeight w:val="229"/>
        </w:trPr>
        <w:tc>
          <w:tcPr>
            <w:tcW w:w="1320" w:type="dxa"/>
            <w:vAlign w:val="bottom"/>
          </w:tcPr>
          <w:p>
            <w:pPr>
              <w:spacing w:after="0"/>
              <w:rPr>
                <w:sz w:val="19"/>
                <w:szCs w:val="19"/>
                <w:color w:val="auto"/>
              </w:rPr>
            </w:pPr>
          </w:p>
        </w:tc>
        <w:tc>
          <w:tcPr>
            <w:tcW w:w="7120" w:type="dxa"/>
            <w:vAlign w:val="bottom"/>
            <w:gridSpan w:val="3"/>
          </w:tcPr>
          <w:p>
            <w:pPr>
              <w:jc w:val="center"/>
              <w:ind w:right="1333"/>
              <w:spacing w:after="0"/>
              <w:rPr>
                <w:sz w:val="20"/>
                <w:szCs w:val="20"/>
                <w:color w:val="auto"/>
              </w:rPr>
            </w:pPr>
            <w:r>
              <w:rPr>
                <w:rFonts w:ascii="Arial" w:cs="Arial" w:eastAsia="Arial" w:hAnsi="Arial"/>
                <w:sz w:val="13"/>
                <w:szCs w:val="13"/>
                <w:b w:val="1"/>
                <w:bCs w:val="1"/>
                <w:color w:val="auto"/>
                <w:w w:val="93"/>
              </w:rPr>
              <w:t>(Address of Principal Executive Offices)</w:t>
            </w:r>
          </w:p>
        </w:tc>
      </w:tr>
      <w:tr>
        <w:trPr>
          <w:trHeight w:val="500"/>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Arial" w:cs="Arial" w:eastAsia="Arial" w:hAnsi="Arial"/>
                <w:sz w:val="18"/>
                <w:szCs w:val="18"/>
                <w:b w:val="1"/>
                <w:bCs w:val="1"/>
                <w:color w:val="auto"/>
                <w:w w:val="89"/>
              </w:rPr>
              <w:t>508 720-4224</w:t>
            </w:r>
          </w:p>
        </w:tc>
        <w:tc>
          <w:tcPr>
            <w:tcW w:w="3120" w:type="dxa"/>
            <w:vAlign w:val="bottom"/>
          </w:tcPr>
          <w:p>
            <w:pPr>
              <w:spacing w:after="0"/>
              <w:rPr>
                <w:sz w:val="24"/>
                <w:szCs w:val="24"/>
                <w:color w:val="auto"/>
              </w:rPr>
            </w:pPr>
          </w:p>
        </w:tc>
      </w:tr>
      <w:tr>
        <w:trPr>
          <w:trHeight w:val="188"/>
        </w:trPr>
        <w:tc>
          <w:tcPr>
            <w:tcW w:w="1320" w:type="dxa"/>
            <w:vAlign w:val="bottom"/>
          </w:tcPr>
          <w:p>
            <w:pPr>
              <w:spacing w:after="0"/>
              <w:rPr>
                <w:sz w:val="16"/>
                <w:szCs w:val="16"/>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13"/>
                <w:szCs w:val="13"/>
                <w:b w:val="1"/>
                <w:bCs w:val="1"/>
                <w:color w:val="auto"/>
                <w:w w:val="92"/>
              </w:rPr>
              <w:t>Registrant’s telephone number, including area code</w:t>
            </w:r>
          </w:p>
        </w:tc>
      </w:tr>
      <w:tr>
        <w:trPr>
          <w:trHeight w:val="635"/>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13"/>
              <w:spacing w:after="0"/>
              <w:rPr>
                <w:sz w:val="20"/>
                <w:szCs w:val="20"/>
                <w:color w:val="auto"/>
              </w:rPr>
            </w:pPr>
            <w:r>
              <w:rPr>
                <w:rFonts w:ascii="Arial" w:cs="Arial" w:eastAsia="Arial" w:hAnsi="Arial"/>
                <w:sz w:val="18"/>
                <w:szCs w:val="18"/>
                <w:b w:val="1"/>
                <w:bCs w:val="1"/>
                <w:color w:val="auto"/>
                <w:w w:val="90"/>
              </w:rPr>
              <w:t>Not Applicable</w:t>
            </w:r>
          </w:p>
        </w:tc>
      </w:tr>
      <w:tr>
        <w:trPr>
          <w:trHeight w:val="175"/>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13"/>
                <w:szCs w:val="13"/>
                <w:b w:val="1"/>
                <w:bCs w:val="1"/>
                <w:color w:val="auto"/>
                <w:w w:val="94"/>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128905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5" w:lineRule="exact"/>
        <w:rPr>
          <w:sz w:val="24"/>
          <w:szCs w:val="24"/>
          <w:color w:val="auto"/>
        </w:rPr>
      </w:pPr>
    </w:p>
    <w:tbl>
      <w:tblPr>
        <w:tblLayout w:type="fixed"/>
        <w:tblInd w:w="84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14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Title of Each Class</w:t>
            </w: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Symbol</w:t>
            </w:r>
          </w:p>
        </w:tc>
        <w:tc>
          <w:tcPr>
            <w:tcW w:w="140" w:type="dxa"/>
            <w:vAlign w:val="bottom"/>
          </w:tcPr>
          <w:p>
            <w:pPr>
              <w:spacing w:after="0"/>
              <w:rPr>
                <w:sz w:val="15"/>
                <w:szCs w:val="15"/>
                <w:color w:val="auto"/>
              </w:rPr>
            </w:pPr>
          </w:p>
        </w:tc>
        <w:tc>
          <w:tcPr>
            <w:tcW w:w="33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228"/>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89"/>
              </w:rPr>
              <w:t>Class A Common Stock, $0.001 par value</w:t>
            </w:r>
          </w:p>
        </w:tc>
        <w:tc>
          <w:tcPr>
            <w:tcW w:w="1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DH</w:t>
            </w:r>
          </w:p>
        </w:tc>
        <w:tc>
          <w:tcPr>
            <w:tcW w:w="140" w:type="dxa"/>
            <w:vAlign w:val="bottom"/>
          </w:tcPr>
          <w:p>
            <w:pPr>
              <w:spacing w:after="0"/>
              <w:rPr>
                <w:sz w:val="19"/>
                <w:szCs w:val="19"/>
                <w:color w:val="auto"/>
              </w:rPr>
            </w:pPr>
          </w:p>
        </w:tc>
        <w:tc>
          <w:tcPr>
            <w:tcW w:w="3360" w:type="dxa"/>
            <w:vAlign w:val="bottom"/>
          </w:tcPr>
          <w:p>
            <w:pPr>
              <w:ind w:left="380"/>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14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166"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424180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63"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On August 1, 2023, Definitive Healthcare, Corp. (the “Company”) issued a press release announcing certain preliminary, unaudited financial results for the fiscal quarter ended June 30, 2023. These preliminary financial results are unaudited, based on currently available information and do not present all necessary information for a complete understanding of the Company’s financial condition as of June 30, 2023 or its results of operations for the quarter ended June 30, 2023. A copy of the press release is furnished as Exhibit 99.1 to this Current Report on Form 8-K and incorporated by reference herein.</w:t>
      </w:r>
    </w:p>
    <w:p>
      <w:pPr>
        <w:spacing w:after="0" w:line="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July 27, 2023, the Company committed to a restructuring plan (the “Plan”) intended to reduce operating costs, improve operating margins, and continue advancing the Company’s ongoing commitment to profitable growth. The Plan provides for a reduction of the Company’s current workforce by 42 people, or approximately 4 percent of its total workforce.</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estimates that in the third quarter of 2023 it will incur pre-tax cash restructuring and related charges to its GAAP financial results of approximately $1.8 million to $2.0 million, consisting primarily of severance payments, employee benefits, and related cash expenses, as well as a non-cash charge related to the vesting of share-based awards for employees who are terminated. The Company expects the Plan will be substantially complete by the end of the third quarter of 2023.</w:t>
      </w:r>
    </w:p>
    <w:p>
      <w:pPr>
        <w:spacing w:after="0" w:line="7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estimates of the charges and expenditures that the Company expects to incur in connection with the Plan, and the timing thereof, are subject to a number of assumptions and actual amounts may differ materially from estimates. In addition, the Company may incur other charges or cash expenditures not currently contemplated due to unanticipated events that may occur, including in connection with the implementation of the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4.02 Non-Reliance on Previously Issued Financial Statements or a Related Audit Report or Completed Interim Review.</w:t>
      </w:r>
    </w:p>
    <w:p>
      <w:pPr>
        <w:spacing w:after="0" w:line="229"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On July 31, 2023, the Audit Committee of the Board of Directors of the Company (the “Audit Committee”), based on the recommendation of, and after consultation with, the Company’s management, concluded that the Company’s previously issued audited consolidated financial statements as of December 31, 2022 and 2021 and for the years ended December 31, 2022, 2021 and 2020 , included in the Company’s Annual Report on Form 10-K for the year ended December 31, 2022 (the “2022 Annual Report”), and the Company’s unaudited condensed consolidated financial statements included in the Quarterly Reports on Form 10-Q for the quarterly periods within those years (the “Historical Quarterly Reports”), as well as the unaudited condensed consolidated financial statements included in the Company’s Quarterly Report on Form 10-Q for the quarter ended March 31, 2023 (the “Q1 2023 Quarterly Report” and, together with the 2022 Annual Report and the Historical Quarterly Reports, the “Reports” and all financial statements included in the Reports, collectively the “Affected Financials”), should no longer be relied upon. Similarly, related press releases, shareholder communications, investor presentations or other communications describing relevant portions of the Affected Financials should no longer be relied upon.</w:t>
      </w:r>
    </w:p>
    <w:p>
      <w:pPr>
        <w:spacing w:after="0" w:line="5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the first quarter of 2023, the Company began a review of its sales tax positions, and related accounting matters, with the assistance of outside consultants. As a result of the review, the Company determined during the second quarter of 2023 that sales in certain states were subject to sales tax and that the Company had not assessed such sales tax on sales of its services to customers. While the Company is still in the process of assessing the taxability of certain customers, the Company determined that it did not accrue sales taxes and will record sales tax accruals through general and administrative expense as of the end of the periods presented in the Reports. These accrual amounts assume that (i) customers who have not yet provided certificates or other documentation of exemption from sales tax are taxable, (ii) maximum interest and penalty assessments may be imposed, and (iii) the Company will not receive waivers of interest and penalties or other benefits under agreements it may obtain with jurisdictions from its outreach with voluntarily disclosures. The Company expects to make adjustments to the sales tax liability in future periods as and if it obtains any waivers of interest and penalties or other benefits from its voluntary disclosures and as and if it obtains additional documentation from customers supporting exemption from sales tax. The Company also expects to adjust tax receivable agreement (“TRA”) remeasurement gains and losses and amounts attributable to noncontrolling interests for an allocable share of the sales tax adjustment amounts.</w:t>
      </w:r>
    </w:p>
    <w:p>
      <w:pPr>
        <w:spacing w:after="0" w:line="7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Company expects to record an aggregate increase to previously reported general and administrative expense of between $6.8 million to $10.2 million over the periods impacted, with an offset to accrued expenses. In addition, TRA remeasurement gains recorded in other income (expense), net are expected to increase previously reported gains between $0.5 million to $0.7 million over the periods impacted, with offsets to the TRA liability, net of current portion and additional paid-in-capital. Lastly, the amounts attributable to noncontrolling interest for its allocable share of the sales tax adjustment amounts will increase previously reported loss allocable to noncontrolling interests between $1.1 million to $1.7 million over the periods impacted, with offsets to noncontrolling interests and additional paid-in-capital within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both"/>
        <w:ind w:firstLine="509"/>
        <w:spacing w:after="0" w:line="254" w:lineRule="auto"/>
        <w:rPr>
          <w:sz w:val="20"/>
          <w:szCs w:val="20"/>
          <w:color w:val="auto"/>
        </w:rPr>
      </w:pPr>
      <w:r>
        <w:rPr>
          <w:rFonts w:ascii="Arial" w:cs="Arial" w:eastAsia="Arial" w:hAnsi="Arial"/>
          <w:sz w:val="18"/>
          <w:szCs w:val="18"/>
          <w:color w:val="auto"/>
        </w:rPr>
        <w:t>The Company’s management evaluated its prior conclusions regarding the effectiveness of the Company’s disclosure controls and procedures and internal control over financial reporting. Based on that evaluation, management has concluded that this matter resulted from a material weakness in the Company’s internal control over financial reporting. As a result of the material weakness, the Company has concluded that its internal control over financial reporting and its disclosure controls and procedures were ineffective as of the periods referenced above. The Company is taking steps to enhance its procedures and controls surrounding the accounting for sales and use taxes and will continue to refine these procedures and controls. The material weakness will not be considered remediated until the applicable remedial controls operate for a sufficient time and management has concluded, through testing, that these controls are operating effectively.</w:t>
      </w:r>
    </w:p>
    <w:p>
      <w:pPr>
        <w:spacing w:after="0" w:line="8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Company management and the Audit Committee have discussed the matters disclosed in this Item 4.02 with the Company’s independent registered public accounting firm, Deloitte &amp; Touche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 letter to the Company’s employees from Robert Musslewhite, the Company’s Chief Executive Officer, regarding the employee restructuring under the Plan is furnished as Exhibit 99.2 to this Current Report on Form 8-K and is incorporated by reference herein.</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information furnished in this Item 7.01 on this Current Report on Form 8-K, including Exhibit 99.2, shall not be deemed “filed” for purposes of Section 18 of the Exchange Act, or otherwise subject to the liabilities of that section, nor shall it be deemed incorporated by reference into any filing under the Securities Act of 1933, as amended, or the Exchange Act, regardless of any general incorporation language in such filing.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2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This Current Report on Form 8-K, and Exhibits 99.1 and 99.2 furnished herewith and incorporated by reference herein, contain forward-looking statements within the meaning of Section 27A of the Securities Act of 1933, as amended, and Section 21E of the Securities Exchange Act of 1934, as amended. Forward-looking statements include all statements that do not relate solely to historical or current facts, and can generally be identified by words or phrases written in the future tense and/or preceded by words such as “likely,” “should,” “may,” “will,” “contemplates,” “anticipates,” “intends,” “plans,” “seeks,” “believes,” “estimates,” “expects” or similar words or variations thereof, or the negative thereof, references to future periods, or by the inclusion of forecasts or projections. Examples of forward-looking statements include, but are not limited to, statements regarding the timing of completion of the Plan, estimates of the charges and expenditures that the Company expects to incur in connection with the Plan, and the timing thereof, the Company’s intent to reduce operating costs, improve operating margins, and continue advancing its commitment to profitable growth, as well as statements regarding the expected quantitative effects of the restatement described above and the Company’s expectation that it will make adjustments to the sales tax liability in future periods as and if it obtains sales tax exemption certificates from customers and any benefits from its voluntary disclosures.</w:t>
      </w:r>
    </w:p>
    <w:p>
      <w:pPr>
        <w:spacing w:after="0" w:line="6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Forward-looking statements are based on the Company’s current expectations and assumptions regarding the Company’s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but are not limited to: the risk that the restructuring costs and charges may be greater than anticipated; the risk that the Company’s restructuring efforts may adversely affect the Company’s internal programs and the Company’s ability to recruit and retain skilled and motivated personnel, and may be distracting to employees and management; the risk that the Company’s restructuring efforts may negatively impact the Company’s business operations and reputation with or ability to serve customers; the risk that the Company’s restructuring efforts may not generate their intended benefits to the extent or as quickly as anticipated; the discovery of additional information relevant to the Affected Financials; changes in the effects of the restatement on the Company’s financial statements or financial results; the Company’s ability to obtain additional sales tax exemption certificates from customers; the Company’s ability to obtain any waivers of interest and penalties or other benefits from its voluntary disclosures; the war between Russia and Ukraine, global geopolitical tension and worsening macroeconomic conditions; actual or potential changes in international, national, regional and local economic, business and financial conditions, including recessions, inflation, rising interest rates, volatility in the capital markets and related market uncertainty; the impact of worsening macroeconomic conditions on the Company’s new and existing customers; the Company’s ability to acquire new customers and generate additional revenue from existing customers; the Company’s inability to generate sales of subscriptions to the Company’s platform or any decline in demand for the Company’s platform and the data the Company offers; the competitiveness of the market in which the Company operates and the Company’s ability to compete effectively; the failure to maintain and improve the Company’s platform, or develop new modules or insights for healthcare commercial intelligence; the inability to obtain and maintain accurate, comprehensive or reliable data, which could result in reduced demand for the Company’s platform; the risk that the Company’s recent growth rates may not be indicative of the Company’s future growth; the inability to achieve or sustain profitability in the future compared to historical levels as the Company increases investments in its business; the loss of the Company’s access to its data providers; the failure to respond to advances in healthcare commercial intelligence; an inability to attract new customers and expand subscriptions of current customers; the risk of cyber-attacks and security vulnerabilities; litigation, investigations or other legal, governmental or regulatory actions; and the possibility that the Company’s security measures are breached or unauthorized access to data is otherwise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both"/>
        <w:ind w:firstLine="509"/>
        <w:spacing w:after="0" w:line="259" w:lineRule="auto"/>
        <w:rPr>
          <w:sz w:val="20"/>
          <w:szCs w:val="20"/>
          <w:color w:val="auto"/>
        </w:rPr>
      </w:pPr>
      <w:r>
        <w:rPr>
          <w:rFonts w:ascii="Arial" w:cs="Arial" w:eastAsia="Arial" w:hAnsi="Arial"/>
          <w:sz w:val="18"/>
          <w:szCs w:val="18"/>
          <w:color w:val="auto"/>
        </w:rPr>
        <w:t>Additional factors or events that could cause actual results to differ from these forward-looking statements may emerge from time to time, and it is not possible for the Company to predict all of them. Should one or more of these risks or uncertainties materialize, or should any of the Company’s assumptions prove incorrect, the Company’s actual financial condition, results of operations, future performance and business may vary in material respects from the performance projected in these forward-looking statements.</w:t>
      </w:r>
    </w:p>
    <w:p>
      <w:pPr>
        <w:spacing w:after="0" w:line="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For additional discussion of factors that could impact the Company’s operational and financial results, refer to the Company’s Annual Report on Form 10-K for the fiscal year ended December 31, 2022, its Quarterly Reports on Form 10-Q, Current Reports on Form 8-K and other subsequent SEC filings, which are or will be available on the Investor Relations page of the Company’s website at ir.definitivehc.com and on the SEC website at www.sec.gov.</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All information in this Form 8-K speaks only as of the date on which it is made. The Company undertakes no obligation to publicly update this information, whether as a result of new information, future developments, or otherwise, except as may be required by law.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(d) Exhibits.</w:t>
            </w:r>
          </w:p>
        </w:tc>
        <w:tc>
          <w:tcPr>
            <w:tcW w:w="56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300" w:type="dxa"/>
            <w:vAlign w:val="bottom"/>
          </w:tcPr>
          <w:p>
            <w:pPr>
              <w:ind w:left="20"/>
              <w:spacing w:after="0"/>
              <w:rPr>
                <w:sz w:val="20"/>
                <w:szCs w:val="20"/>
                <w:color w:val="auto"/>
              </w:rPr>
            </w:pPr>
            <w:r>
              <w:rPr>
                <w:rFonts w:ascii="Arial" w:cs="Arial" w:eastAsia="Arial" w:hAnsi="Arial"/>
                <w:sz w:val="18"/>
                <w:szCs w:val="18"/>
                <w:color w:val="auto"/>
              </w:rPr>
              <w:t>99.1</w:t>
            </w:r>
          </w:p>
        </w:tc>
        <w:tc>
          <w:tcPr>
            <w:tcW w:w="9940" w:type="dxa"/>
            <w:vAlign w:val="bottom"/>
            <w:gridSpan w:val="3"/>
          </w:tcPr>
          <w:p>
            <w:pPr>
              <w:spacing w:after="0"/>
              <w:rPr>
                <w:sz w:val="20"/>
                <w:szCs w:val="20"/>
                <w:color w:val="auto"/>
              </w:rPr>
            </w:pPr>
            <w:r>
              <w:rPr>
                <w:rFonts w:ascii="Arial" w:cs="Arial" w:eastAsia="Arial" w:hAnsi="Arial"/>
                <w:sz w:val="18"/>
                <w:szCs w:val="18"/>
                <w:color w:val="0000FF"/>
              </w:rPr>
              <w:t>Press Release Dated August 1, 2023 (furnished herewith pursuant to Item 2.02)</w:t>
            </w:r>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5680" w:type="dxa"/>
            <w:vAlign w:val="bottom"/>
            <w:shd w:val="clear" w:color="auto" w:fill="0000FF"/>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99.2</w:t>
            </w:r>
          </w:p>
        </w:tc>
        <w:tc>
          <w:tcPr>
            <w:tcW w:w="9940" w:type="dxa"/>
            <w:vAlign w:val="bottom"/>
            <w:gridSpan w:val="3"/>
          </w:tcPr>
          <w:p>
            <w:pPr>
              <w:spacing w:after="0"/>
              <w:rPr>
                <w:sz w:val="20"/>
                <w:szCs w:val="20"/>
                <w:color w:val="auto"/>
              </w:rPr>
            </w:pPr>
            <w:r>
              <w:rPr>
                <w:rFonts w:ascii="Arial" w:cs="Arial" w:eastAsia="Arial" w:hAnsi="Arial"/>
                <w:sz w:val="18"/>
                <w:szCs w:val="18"/>
                <w:color w:val="0000FF"/>
                <w:w w:val="94"/>
              </w:rPr>
              <w:t>Email to Definitive Healthcare employees from Robert Musslewhite, dated August 1, 2023 (furnished herewith pursuant to Item 7.01)</w:t>
            </w:r>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96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1300" w:type="dxa"/>
            <w:vAlign w:val="bottom"/>
          </w:tcPr>
          <w:p>
            <w:pPr>
              <w:ind w:left="20"/>
              <w:spacing w:after="0"/>
              <w:rPr>
                <w:sz w:val="20"/>
                <w:szCs w:val="20"/>
                <w:color w:val="auto"/>
              </w:rPr>
            </w:pPr>
            <w:r>
              <w:rPr>
                <w:rFonts w:ascii="Arial" w:cs="Arial" w:eastAsia="Arial" w:hAnsi="Arial"/>
                <w:sz w:val="18"/>
                <w:szCs w:val="18"/>
                <w:color w:val="auto"/>
              </w:rPr>
              <w:t>104</w:t>
            </w:r>
          </w:p>
        </w:tc>
        <w:tc>
          <w:tcPr>
            <w:tcW w:w="99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30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DEFINITIVE HEALTHCARE CORP.</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Booth</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Richard Booth</w:t>
            </w:r>
          </w:p>
        </w:tc>
      </w:tr>
      <w:tr>
        <w:trPr>
          <w:trHeight w:val="24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0140"/>
        <w:spacing w:after="0"/>
        <w:rPr>
          <w:sz w:val="20"/>
          <w:szCs w:val="20"/>
          <w:color w:val="auto"/>
        </w:rPr>
      </w:pPr>
      <w:r>
        <w:rPr>
          <w:rFonts w:ascii="Arial" w:cs="Arial" w:eastAsia="Arial" w:hAnsi="Arial"/>
          <w:sz w:val="19"/>
          <w:szCs w:val="19"/>
          <w:b w:val="1"/>
          <w:bCs w:val="1"/>
          <w:color w:val="auto"/>
        </w:rPr>
        <w:t>Exhibit 99.1</w:t>
      </w:r>
    </w:p>
    <w:p>
      <w:pPr>
        <w:spacing w:after="0" w:line="214"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b w:val="1"/>
          <w:bCs w:val="1"/>
          <w:color w:val="auto"/>
        </w:rPr>
        <w:t>Definitive Healthcare Reports Preliminary Financial Results for Second Quarter Fiscal Year 2023, Reaffirms Full Year Guidance for Revenue and Adjusted EBITDA, and Announces Restatement of Previously Issued Financials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Q2 2023 Earnings Call Moved to August 14, 2023</w:t>
      </w:r>
    </w:p>
    <w:p>
      <w:pPr>
        <w:spacing w:after="0" w:line="198"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b w:val="1"/>
          <w:bCs w:val="1"/>
          <w:color w:val="auto"/>
        </w:rPr>
        <w:t xml:space="preserve">Framingham, MA (August 1, 2023) – </w:t>
      </w:r>
      <w:r>
        <w:rPr>
          <w:rFonts w:ascii="Arial" w:cs="Arial" w:eastAsia="Arial" w:hAnsi="Arial"/>
          <w:sz w:val="20"/>
          <w:szCs w:val="20"/>
          <w:color w:val="auto"/>
        </w:rPr>
        <w:t>Definitive Healthcare Corp. (“Definitive Healthcare” or the “Company”) (Nasdaq: DH), an</w:t>
      </w:r>
      <w:r>
        <w:rPr>
          <w:rFonts w:ascii="Arial" w:cs="Arial" w:eastAsia="Arial" w:hAnsi="Arial"/>
          <w:sz w:val="20"/>
          <w:szCs w:val="20"/>
          <w:b w:val="1"/>
          <w:bCs w:val="1"/>
          <w:color w:val="auto"/>
        </w:rPr>
        <w:t xml:space="preserve"> </w:t>
      </w:r>
      <w:r>
        <w:rPr>
          <w:rFonts w:ascii="Arial" w:cs="Arial" w:eastAsia="Arial" w:hAnsi="Arial"/>
          <w:sz w:val="20"/>
          <w:szCs w:val="20"/>
          <w:color w:val="auto"/>
        </w:rPr>
        <w:t>industry leader in healthcare commercial intelligence, today announced selected preliminary financial results for the quarter ended June 30, 2023.</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Financial Highlights:</w:t>
      </w:r>
    </w:p>
    <w:p>
      <w:pPr>
        <w:spacing w:after="0" w:line="94"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$61.0 million</w:t>
      </w:r>
    </w:p>
    <w:p>
      <w:pPr>
        <w:spacing w:after="0" w:line="23" w:lineRule="exact"/>
        <w:rPr>
          <w:rFonts w:ascii="Arial" w:cs="Arial" w:eastAsia="Arial" w:hAnsi="Arial"/>
          <w:sz w:val="20"/>
          <w:szCs w:val="20"/>
          <w:color w:val="auto"/>
        </w:rPr>
      </w:pPr>
    </w:p>
    <w:p>
      <w:pPr>
        <w:ind w:left="1020" w:hanging="503"/>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is expected to be in the range of $11.4 million to $11.8 million or $(0.08) per share</w:t>
      </w:r>
    </w:p>
    <w:p>
      <w:pPr>
        <w:ind w:left="1020" w:hanging="503"/>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in the range of $12.3 million to $12.4 million or $0.08 per diluted share</w:t>
      </w:r>
    </w:p>
    <w:p>
      <w:pPr>
        <w:ind w:left="1020" w:hanging="503"/>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$17.2 million</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These preliminary financial results are unaudited, based on currently available information and do not present all necessary information for a complete understanding of the Company’s financial condition as of June 30, 2023 or its results of operations for the quarter ended June 30, 2023.</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Outlook</w:t>
      </w:r>
    </w:p>
    <w:p>
      <w:pPr>
        <w:spacing w:after="0" w:line="239" w:lineRule="exact"/>
        <w:rPr>
          <w:sz w:val="20"/>
          <w:szCs w:val="20"/>
          <w:color w:val="auto"/>
        </w:rPr>
      </w:pPr>
    </w:p>
    <w:p>
      <w:pPr>
        <w:ind w:right="780"/>
        <w:spacing w:after="0" w:line="247" w:lineRule="auto"/>
        <w:rPr>
          <w:sz w:val="20"/>
          <w:szCs w:val="20"/>
          <w:color w:val="auto"/>
        </w:rPr>
      </w:pPr>
      <w:r>
        <w:rPr>
          <w:rFonts w:ascii="Arial" w:cs="Arial" w:eastAsia="Arial" w:hAnsi="Arial"/>
          <w:sz w:val="20"/>
          <w:szCs w:val="20"/>
          <w:color w:val="auto"/>
        </w:rPr>
        <w:t>Based on information as of the date hereof, the Company is reaffirming its full year 2023 revenue and Adjusted EBITDA guidance:</w:t>
      </w:r>
    </w:p>
    <w:p>
      <w:pPr>
        <w:spacing w:after="0" w:line="5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$249.0 – $255.0 million, up 12% – 15% from the prior year.</w:t>
      </w:r>
    </w:p>
    <w:p>
      <w:pPr>
        <w:spacing w:after="0" w:line="215" w:lineRule="exact"/>
        <w:rPr>
          <w:rFonts w:ascii="Arial" w:cs="Arial" w:eastAsia="Arial" w:hAnsi="Arial"/>
          <w:sz w:val="20"/>
          <w:szCs w:val="20"/>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$67.0 - $71.0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Restatement of Historical Financial Results</w:t>
      </w:r>
    </w:p>
    <w:p>
      <w:pPr>
        <w:spacing w:after="0" w:line="21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On July 31, 2023, the Audit Committee of the Board of Directors of the Company (the “Audit Committee”), based on the recommendation of, and after consultation with, the Company’s management, concluded that the Company’s previously issued audited consolidated financial statements as of December 31, 2022 and 2021 and for the years ended December 31, 2022, 2021 and 2020, included in the Company’s Annual Report on Form 10-K for the year ended December 31, 2022 (the “2022 Annual Report”), and the Company’s unaudited condensed consolidated financial statements included in the Quarterly Reports on Form 10-Q for the quarterly periods within those years (the “Historical Quarterly Reports”), as well as the unaudited condensed consolidated financial statements included in the Company’s Quarterly Report on Form 10-Q for the quarter ended March 31, 2023 (the “Q1 2023 Quarterly Report” and, together with the 2022 Annual Report and the Historical Quarterly Reports, the “Reports” and all financial statements included in the Reports, collectively the “Affected Financials”), should no longer be relied upon. Similarly, related press releases, shareholder communications, investor presentations or other communications describing relevant portions of the Affected Financials should no longer be relied upon.</w:t>
      </w:r>
    </w:p>
    <w:p>
      <w:pPr>
        <w:spacing w:after="0" w:line="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 the first quarter of 2023, the Company began a review of its sales tax positions, and related accounting matters, with the assistance of outside consultants. As a result of the review, the Company determined during the second quarter of 2023 that sales in certain states were subject to sales tax and that the Company had not assessed such sales tax on sales of its services to customers. While the Company is still in the process of assessing the taxability of certain customers, the Company determined that it did not accrue sales taxes and will record sales tax accruals through general and administrative expense as of the end of the periods presented in the Reports. These accrual amounts assume that (i) customers who have not yet provided certificates or other documentation of exemption from sales tax are taxable, (ii) maximum interest and penalty assessments may be imposed, and (iii) the Company will not receive waivers of interest and penalties or other benefits under agreements it may obtain with jurisdictions from its outreach with voluntarily disclosures. The Company expects to make adjustments to the sales tax liability in future periods as and if it obtains any waivers of interest and penalties or other benefits from its voluntary disclosures and as and if it obtains additional documentation from customers supporting exemption from sales tax. The Company also expects to adjust tax receivable agreement (“TRA”) remeasurement gains and losses and amounts attributable to noncontrolling interests for an allocable share of the sales tax adjustment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 w:name="page9"/>
    <w:bookmarkEnd w:id="8"/>
    <w:p>
      <w:pPr>
        <w:jc w:val="both"/>
        <w:spacing w:after="0" w:line="230" w:lineRule="auto"/>
        <w:rPr>
          <w:sz w:val="20"/>
          <w:szCs w:val="20"/>
          <w:color w:val="auto"/>
        </w:rPr>
      </w:pPr>
      <w:r>
        <w:rPr>
          <w:rFonts w:ascii="Arial" w:cs="Arial" w:eastAsia="Arial" w:hAnsi="Arial"/>
          <w:sz w:val="20"/>
          <w:szCs w:val="20"/>
          <w:color w:val="auto"/>
        </w:rPr>
        <w:t>The Company expects to record an aggregate increase to previously reported general and administrative expense of between $6.8 million to $10.2 million over the periods impacted, with an offset to accrued expenses. In addition, TRA remeasurement gains recorded in other income (expense), net are expected to increase previously reported gains between $0.5 million to $0.7 million over the periods impacted, with offsets to the TRA liability, net of current portion and additional paid-in-capital. Lastly, the amounts attributable to noncontrolling interest for its allocable share of the sales tax adjustment amounts will increase previously reported loss allocable to noncontrolling interests between $1.1 million to $1.7 million over the periods impacted, with offsets to noncontrolling interests and additional paid-in-capital within stockholders’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Next Steps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As a result of the restatement, the Company will experience a delay in the filing of its Quarterly Report on Form 10-Q for the quarter ended June 30, 2023 (the “Q2 2023 10-Q”) and expects to file a notification of late filing on Form 12b-25 with the SEC. The Company expects to file the Q2 2023 10-Q within the extension period of 5 calendar days as provided by Rule 12b-25 under the Securities Exchange Act of 1934, as amended.</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Definitive Healthcare will host a conference call, previously scheduled for August 3, 2023, on August 14, 2023, at 5:00 p.m. (Eastern Time) to discuss the Company's full financial results and current business outlook. Participants may access the call at 1-877-358-7298 or 1-848-488-9244. Shortly after the conclusion of the call, a replay of this conference call will be available through September 13, 2023 at 1-800-645-7964 or 1-757-849-6722. The replay passcode is 1765#. A live audio webcast of the event will be available on the Definitive Healthcare’s Investor Relations website at https://ir.definitivehc.com/.</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Definitive Healthcare</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Forward-Looking Statements</w:t>
      </w:r>
    </w:p>
    <w:p>
      <w:pPr>
        <w:spacing w:after="0" w:line="98" w:lineRule="exact"/>
        <w:rPr>
          <w:sz w:val="20"/>
          <w:szCs w:val="20"/>
          <w:color w:val="auto"/>
        </w:rPr>
      </w:pPr>
    </w:p>
    <w:p>
      <w:pPr>
        <w:spacing w:after="0" w:line="227" w:lineRule="auto"/>
        <w:rPr>
          <w:sz w:val="20"/>
          <w:szCs w:val="20"/>
          <w:color w:val="auto"/>
        </w:rPr>
      </w:pPr>
      <w:r>
        <w:rPr>
          <w:rFonts w:ascii="Arial" w:cs="Arial" w:eastAsia="Arial" w:hAnsi="Arial"/>
          <w:sz w:val="20"/>
          <w:szCs w:val="20"/>
          <w:i w:val="1"/>
          <w:iCs w:val="1"/>
          <w:color w:val="auto"/>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“will,” “contemplates,” “anticipates,” “intends,” “plans,” “seeks,” “believes,” “estimates,” “expects” or similar words or variations thereof, or the negative thereof, references to future periods, or by the inclusion of forecasts or projections. Examples of forward-looking statements include, but are not limited to, statements we make regarding our expected financial results for the second quarter of 2023, our financial guidance, as well as statements regarding the expected quantitative effects of the restatement described above, our expectation that we will make adjustments to the sales tax liability in future periods as and if we obtain additional sales tax exemption certificates from customers and any benefits from our voluntary disclosures, and the Company's expected timing for filing the Q2 2023 10-Q.</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9"/>
          <w:szCs w:val="19"/>
          <w:i w:val="1"/>
          <w:iCs w:val="1"/>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the discovery of additional information relevant to the Affected Financials; changes in the effects of the restatement on the Company’s financial statements or financial results; our ability to obtain additional sales tax exemption certificates from customers; our ability to obtain any waivers of interest and penalties or other benefits from our voluntary disclosures; the risk that the completion and filing of the Q2 2023 10-Q will take longer than expected and will not be completed by the extension period provided by Rule 12b-25 of the Securities Exchange Act of 1934, as amended; the war between Russia and Ukraine, global geopolitical tension and worsening macroeconomic conditions; actual or potential changes in international, national, regional and local economic, business and financial conditions, including recessions, inflation, rising interest rates, volatility in the capital markets and related market uncertainty; the impact of worsening macroeconomic conditions on our new and existing customers;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profitability in the future compared to historical levels as we increase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0" w:name="page11"/>
    <w:bookmarkEnd w:id="10"/>
    <w:p>
      <w:pPr>
        <w:ind w:right="200"/>
        <w:spacing w:after="0" w:line="230" w:lineRule="auto"/>
        <w:rPr>
          <w:sz w:val="20"/>
          <w:szCs w:val="20"/>
          <w:color w:val="auto"/>
        </w:rPr>
      </w:pPr>
      <w:r>
        <w:rPr>
          <w:rFonts w:ascii="Arial" w:cs="Arial" w:eastAsia="Arial" w:hAnsi="Arial"/>
          <w:sz w:val="20"/>
          <w:szCs w:val="20"/>
          <w:i w:val="1"/>
          <w:iCs w:val="1"/>
          <w:color w:val="auto"/>
        </w:rPr>
        <w:t>in our business; the loss of our access to our data providers; the failure to respond to advances in healthcare commercial intelligence; an inability to attract new customers and expand subscriptions of current customers; the risk of cyber-attacks and security vulnerabilities; litigation, investigations or other legal, governmental or regulatory actions; and the possibility that our security measures are breached or unauthorized access to data is otherwise obtained.</w:t>
      </w:r>
    </w:p>
    <w:p>
      <w:pPr>
        <w:spacing w:after="0" w:line="2"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 For additional discussion of factors that could impact our operational and financial results, refer to our Annual Report on Form 10-K for the fiscal year ended December 31, 2022, our Quarterly Reports on Form 10-Q, Current Reports on Form 8-K and other subsequent SEC filings, which are or will be available on the Investor Relations page of our website at ir.definitivehc.com and on the SEC website at www.sec.gov.</w:t>
      </w:r>
    </w:p>
    <w:p>
      <w:pPr>
        <w:spacing w:after="0" w:line="3" w:lineRule="exact"/>
        <w:rPr>
          <w:sz w:val="20"/>
          <w:szCs w:val="20"/>
          <w:color w:val="auto"/>
        </w:rPr>
      </w:pPr>
    </w:p>
    <w:p>
      <w:pPr>
        <w:spacing w:after="0" w:line="232" w:lineRule="auto"/>
        <w:rPr>
          <w:sz w:val="20"/>
          <w:szCs w:val="20"/>
          <w:color w:val="auto"/>
        </w:rPr>
      </w:pPr>
      <w:r>
        <w:rPr>
          <w:rFonts w:ascii="Arial" w:cs="Arial" w:eastAsia="Arial" w:hAnsi="Arial"/>
          <w:sz w:val="20"/>
          <w:szCs w:val="20"/>
          <w:i w:val="1"/>
          <w:iCs w:val="1"/>
          <w:color w:val="auto"/>
        </w:rPr>
        <w:t>All information in this press release speaks only as of the date on which it is made. We undertake no obligation to publicly update this information, whether as a result of new information, future developments or otherwise, except as may be required by law.</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Website</w:t>
      </w:r>
    </w:p>
    <w:p>
      <w:pPr>
        <w:spacing w:after="0" w:line="104" w:lineRule="exact"/>
        <w:rPr>
          <w:sz w:val="20"/>
          <w:szCs w:val="20"/>
          <w:color w:val="auto"/>
        </w:rPr>
      </w:pPr>
    </w:p>
    <w:p>
      <w:pPr>
        <w:ind w:right="180"/>
        <w:spacing w:after="0" w:line="231" w:lineRule="auto"/>
        <w:rPr>
          <w:sz w:val="20"/>
          <w:szCs w:val="20"/>
          <w:color w:val="auto"/>
        </w:rPr>
      </w:pPr>
      <w:r>
        <w:rPr>
          <w:rFonts w:ascii="Arial" w:cs="Arial" w:eastAsia="Arial" w:hAnsi="Arial"/>
          <w:sz w:val="20"/>
          <w:szCs w:val="20"/>
          <w:color w:val="auto"/>
        </w:rPr>
        <w:t>Definitive Healthcare intends to use its website as a distribution channel of material company information. Financial and other important information regarding the Company is routinely posted on and accessible through the Company’s website at https://www.definitivehc.com/. Accordingly, you should monitor the investor relations portion of our website at https://ir.definitivehc.com/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https://ir.definitivehc.com/</w:t>
      </w:r>
      <w:r>
        <w:rPr>
          <w:rFonts w:ascii="Arial" w:cs="Arial" w:eastAsia="Arial" w:hAnsi="Arial"/>
          <w:sz w:val="20"/>
          <w:szCs w:val="20"/>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2" w:right="37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Non-GAAP Financial Measures</w:t>
      </w:r>
    </w:p>
    <w:p>
      <w:pPr>
        <w:spacing w:after="0" w:line="98" w:lineRule="exact"/>
        <w:rPr>
          <w:sz w:val="20"/>
          <w:szCs w:val="20"/>
          <w:color w:val="auto"/>
        </w:rPr>
      </w:pPr>
    </w:p>
    <w:p>
      <w:pPr>
        <w:ind w:right="80" w:firstLine="509"/>
        <w:spacing w:after="0" w:line="233" w:lineRule="auto"/>
        <w:rPr>
          <w:sz w:val="20"/>
          <w:szCs w:val="20"/>
          <w:color w:val="auto"/>
        </w:rPr>
      </w:pPr>
      <w:r>
        <w:rPr>
          <w:rFonts w:ascii="Arial" w:cs="Arial" w:eastAsia="Arial" w:hAnsi="Arial"/>
          <w:sz w:val="20"/>
          <w:szCs w:val="20"/>
          <w:i w:val="1"/>
          <w:iCs w:val="1"/>
          <w:color w:val="auto"/>
        </w:rPr>
        <w:t>We have presented supplemental non-GAAP financial measures as part of this press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A reconciliation of GAAP to Non-GAAP results has been provided in the financial statement tables included at the end of this press release.</w:t>
      </w:r>
    </w:p>
    <w:p>
      <w:pPr>
        <w:spacing w:after="0" w:line="72" w:lineRule="exact"/>
        <w:rPr>
          <w:sz w:val="20"/>
          <w:szCs w:val="20"/>
          <w:color w:val="auto"/>
        </w:rPr>
      </w:pPr>
    </w:p>
    <w:p>
      <w:pPr>
        <w:ind w:right="140" w:firstLine="509"/>
        <w:spacing w:after="0" w:line="236" w:lineRule="auto"/>
        <w:rPr>
          <w:sz w:val="20"/>
          <w:szCs w:val="20"/>
          <w:color w:val="auto"/>
        </w:rPr>
      </w:pPr>
      <w:r>
        <w:rPr>
          <w:rFonts w:ascii="Arial" w:cs="Arial" w:eastAsia="Arial" w:hAnsi="Arial"/>
          <w:sz w:val="20"/>
          <w:szCs w:val="20"/>
          <w:i w:val="1"/>
          <w:iCs w:val="1"/>
          <w:color w:val="auto"/>
        </w:rPr>
        <w:t>We refer to Adjusted EBITDA, Adjusted Operating Income, Adjusted Net Income, and Adjusted Net Income as non-GAAP financial measures. These non-GAAP financial measures are not prepared in accordance with generally accepted accounting principles in the U.S., (“GAAP”). These are supplemental financial measures of our performance and should not be considered substitutes for net loss or any other measure derived in accordance with GAAP.</w:t>
      </w:r>
    </w:p>
    <w:p>
      <w:pPr>
        <w:spacing w:after="0" w:line="67" w:lineRule="exact"/>
        <w:rPr>
          <w:sz w:val="20"/>
          <w:szCs w:val="20"/>
          <w:color w:val="auto"/>
        </w:rPr>
      </w:pPr>
    </w:p>
    <w:p>
      <w:pPr>
        <w:ind w:firstLine="509"/>
        <w:spacing w:after="0" w:line="230" w:lineRule="auto"/>
        <w:rPr>
          <w:sz w:val="20"/>
          <w:szCs w:val="20"/>
          <w:color w:val="auto"/>
        </w:rPr>
      </w:pPr>
      <w:r>
        <w:rPr>
          <w:rFonts w:ascii="Arial" w:cs="Arial" w:eastAsia="Arial" w:hAnsi="Arial"/>
          <w:sz w:val="20"/>
          <w:szCs w:val="20"/>
          <w:i w:val="1"/>
          <w:iCs w:val="1"/>
          <w:color w:val="auto"/>
        </w:rPr>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 expense, equity-based compensation, transaction, integration, and restructuring expenses and other non-recurring expenses. Adjusted EBITDA is a key metric used by management and our board of directors to assess the profitability of our operations. We believe that Adjusted EBITDA provides useful information to help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73" w:lineRule="exact"/>
        <w:rPr>
          <w:sz w:val="20"/>
          <w:szCs w:val="20"/>
          <w:color w:val="auto"/>
        </w:rPr>
      </w:pPr>
    </w:p>
    <w:p>
      <w:pPr>
        <w:ind w:right="840" w:firstLine="509"/>
        <w:spacing w:after="0" w:line="253" w:lineRule="auto"/>
        <w:rPr>
          <w:sz w:val="20"/>
          <w:szCs w:val="20"/>
          <w:color w:val="auto"/>
        </w:rPr>
      </w:pPr>
      <w:r>
        <w:rPr>
          <w:rFonts w:ascii="Arial" w:cs="Arial" w:eastAsia="Arial" w:hAnsi="Arial"/>
          <w:sz w:val="20"/>
          <w:szCs w:val="20"/>
          <w:i w:val="1"/>
          <w:iCs w:val="1"/>
          <w:color w:val="auto"/>
        </w:rPr>
        <w:t>We define Adjusted Operating Income as loss from operations plus acquisition related amortization, equity-based compensation, transaction, integration, and restructuring expenses and other non-recurring expenses.</w:t>
      </w:r>
    </w:p>
    <w:p>
      <w:pPr>
        <w:spacing w:after="0" w:line="55" w:lineRule="exact"/>
        <w:rPr>
          <w:sz w:val="20"/>
          <w:szCs w:val="20"/>
          <w:color w:val="auto"/>
        </w:rPr>
      </w:pPr>
    </w:p>
    <w:p>
      <w:pPr>
        <w:ind w:right="160" w:firstLine="509"/>
        <w:spacing w:after="0" w:line="236" w:lineRule="auto"/>
        <w:rPr>
          <w:sz w:val="20"/>
          <w:szCs w:val="20"/>
          <w:color w:val="auto"/>
        </w:rPr>
      </w:pPr>
      <w:r>
        <w:rPr>
          <w:rFonts w:ascii="Arial" w:cs="Arial" w:eastAsia="Arial" w:hAnsi="Arial"/>
          <w:sz w:val="20"/>
          <w:szCs w:val="20"/>
          <w:i w:val="1"/>
          <w:iCs w:val="1"/>
          <w:color w:val="auto"/>
        </w:rPr>
        <w:t>We define Adjusted Net Income as Adjusted Operating Income less interest expense, net, other expense, net, excluding TRA liability remeasurement expense and recurring income tax expense including the incremental tax effects of adjustments to arrive at Adjusted Operating Income. We define Adjusted Net Income Per Diluted Share as Adjusted Net Income divided by diluted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2" w:name="page13"/>
    <w:bookmarkEnd w:id="12"/>
    <w:p>
      <w:pPr>
        <w:ind w:firstLine="509"/>
        <w:spacing w:after="0" w:line="232" w:lineRule="auto"/>
        <w:rPr>
          <w:sz w:val="20"/>
          <w:szCs w:val="20"/>
          <w:color w:val="auto"/>
        </w:rPr>
      </w:pPr>
      <w:r>
        <w:rPr>
          <w:rFonts w:ascii="Arial" w:cs="Arial" w:eastAsia="Arial" w:hAnsi="Arial"/>
          <w:sz w:val="20"/>
          <w:szCs w:val="20"/>
          <w:i w:val="1"/>
          <w:iCs w:val="1"/>
          <w:color w:val="auto"/>
        </w:rPr>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from operations, net loss, earnings per share or any other performance measures derived in accordance with GAAP, or as measures of operating cash flows or liquidity.</w:t>
      </w:r>
    </w:p>
    <w:p>
      <w:pPr>
        <w:spacing w:after="0" w:line="70" w:lineRule="exact"/>
        <w:rPr>
          <w:sz w:val="20"/>
          <w:szCs w:val="20"/>
          <w:color w:val="auto"/>
        </w:rPr>
      </w:pPr>
    </w:p>
    <w:p>
      <w:pPr>
        <w:ind w:right="20" w:firstLine="509"/>
        <w:spacing w:after="0" w:line="232" w:lineRule="auto"/>
        <w:rPr>
          <w:sz w:val="20"/>
          <w:szCs w:val="20"/>
          <w:color w:val="auto"/>
        </w:rPr>
      </w:pPr>
      <w:r>
        <w:rPr>
          <w:rFonts w:ascii="Arial" w:cs="Arial" w:eastAsia="Arial" w:hAnsi="Arial"/>
          <w:sz w:val="20"/>
          <w:szCs w:val="20"/>
          <w:i w:val="1"/>
          <w:iCs w:val="1"/>
          <w:color w:val="auto"/>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spacing w:after="0" w:line="70" w:lineRule="exact"/>
        <w:rPr>
          <w:sz w:val="20"/>
          <w:szCs w:val="20"/>
          <w:color w:val="auto"/>
        </w:rPr>
      </w:pPr>
    </w:p>
    <w:p>
      <w:pPr>
        <w:ind w:right="80" w:firstLine="509"/>
        <w:spacing w:after="0" w:line="253" w:lineRule="auto"/>
        <w:rPr>
          <w:sz w:val="20"/>
          <w:szCs w:val="20"/>
          <w:color w:val="auto"/>
        </w:rPr>
      </w:pPr>
      <w:r>
        <w:rPr>
          <w:rFonts w:ascii="Arial" w:cs="Arial" w:eastAsia="Arial" w:hAnsi="Arial"/>
          <w:sz w:val="20"/>
          <w:szCs w:val="20"/>
          <w:i w:val="1"/>
          <w:iCs w:val="1"/>
          <w:color w:val="auto"/>
        </w:rPr>
        <w:t>In evaluating our non-GAAP financial measures, you should be aware that in the future we may incur expenses similar to those eliminated in these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0" w:right="4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Investor Contact:</w:t>
      </w:r>
    </w:p>
    <w:p>
      <w:pPr>
        <w:spacing w:after="0" w:line="235" w:lineRule="auto"/>
        <w:rPr>
          <w:sz w:val="20"/>
          <w:szCs w:val="20"/>
          <w:color w:val="auto"/>
        </w:rPr>
      </w:pPr>
      <w:r>
        <w:rPr>
          <w:rFonts w:ascii="Arial" w:cs="Arial" w:eastAsia="Arial" w:hAnsi="Arial"/>
          <w:sz w:val="20"/>
          <w:szCs w:val="20"/>
          <w:color w:val="auto"/>
        </w:rPr>
        <w:t>Brian Denyeau</w:t>
      </w:r>
    </w:p>
    <w:p>
      <w:pPr>
        <w:spacing w:after="0" w:line="238" w:lineRule="auto"/>
        <w:rPr>
          <w:sz w:val="20"/>
          <w:szCs w:val="20"/>
          <w:color w:val="auto"/>
        </w:rPr>
      </w:pPr>
      <w:r>
        <w:rPr>
          <w:rFonts w:ascii="Arial" w:cs="Arial" w:eastAsia="Arial" w:hAnsi="Arial"/>
          <w:sz w:val="19"/>
          <w:szCs w:val="19"/>
          <w:color w:val="auto"/>
        </w:rPr>
        <w:t>ICR for Definitive Healthcare</w:t>
      </w:r>
    </w:p>
    <w:p>
      <w:pPr>
        <w:spacing w:after="0" w:line="225" w:lineRule="auto"/>
        <w:rPr>
          <w:sz w:val="20"/>
          <w:szCs w:val="20"/>
          <w:color w:val="auto"/>
        </w:rPr>
      </w:pPr>
      <w:r>
        <w:rPr>
          <w:rFonts w:ascii="Arial" w:cs="Arial" w:eastAsia="Arial" w:hAnsi="Arial"/>
          <w:sz w:val="20"/>
          <w:szCs w:val="20"/>
          <w:u w:val="single" w:color="auto"/>
          <w:color w:val="0000FF"/>
        </w:rPr>
        <w:t>brian.denyeau@icrinc.com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646-277-1251</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5" w:lineRule="auto"/>
        <w:rPr>
          <w:sz w:val="20"/>
          <w:szCs w:val="20"/>
          <w:color w:val="auto"/>
        </w:rPr>
      </w:pPr>
      <w:r>
        <w:rPr>
          <w:rFonts w:ascii="Arial" w:cs="Arial" w:eastAsia="Arial" w:hAnsi="Arial"/>
          <w:sz w:val="20"/>
          <w:szCs w:val="20"/>
          <w:color w:val="auto"/>
        </w:rPr>
        <w:t>Danielle Johns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djohns@definitivehc.com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2"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Financial Measures to Closest GAAP Equivalent</w:t>
      </w:r>
    </w:p>
    <w:p>
      <w:pPr>
        <w:spacing w:after="0" w:line="251" w:lineRule="exact"/>
        <w:rPr>
          <w:sz w:val="20"/>
          <w:szCs w:val="20"/>
          <w:color w:val="auto"/>
        </w:rPr>
      </w:pPr>
    </w:p>
    <w:p>
      <w:pPr>
        <w:jc w:val="center"/>
        <w:ind w:right="140"/>
        <w:spacing w:after="0" w:line="295" w:lineRule="auto"/>
        <w:rPr>
          <w:sz w:val="20"/>
          <w:szCs w:val="20"/>
          <w:color w:val="auto"/>
        </w:rPr>
      </w:pPr>
      <w:r>
        <w:rPr>
          <w:rFonts w:ascii="Arial" w:cs="Arial" w:eastAsia="Arial" w:hAnsi="Arial"/>
          <w:sz w:val="18"/>
          <w:szCs w:val="18"/>
          <w:color w:val="auto"/>
        </w:rPr>
        <w:t xml:space="preserve">Reconciliation of Estimated GAAP Net Loss to Estimated Adjusted Net Income and GAAP Operating Loss to Adjusted Operating Income </w:t>
      </w:r>
      <w:r>
        <w:rPr>
          <w:rFonts w:ascii="Arial" w:cs="Arial" w:eastAsia="Arial" w:hAnsi="Arial"/>
          <w:sz w:val="18"/>
          <w:szCs w:val="18"/>
          <w:i w:val="1"/>
          <w:iCs w:val="1"/>
          <w:color w:val="auto"/>
        </w:rPr>
        <w:t>(in thousands, except per share amounts;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Three Months Ended June 30, 2023</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52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$(11,405) - $(11,805)</w:t>
            </w:r>
          </w:p>
        </w:tc>
        <w:tc>
          <w:tcPr>
            <w:tcW w:w="140" w:type="dxa"/>
            <w:vAlign w:val="bottom"/>
          </w:tcPr>
          <w:p>
            <w:pPr>
              <w:spacing w:after="0"/>
              <w:rPr>
                <w:sz w:val="20"/>
                <w:szCs w:val="20"/>
                <w:color w:val="auto"/>
              </w:rPr>
            </w:pPr>
          </w:p>
        </w:tc>
      </w:tr>
      <w:tr>
        <w:trPr>
          <w:trHeight w:val="249"/>
        </w:trPr>
        <w:tc>
          <w:tcPr>
            <w:tcW w:w="7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 Income tax benefit</w:t>
            </w:r>
          </w:p>
        </w:tc>
        <w:tc>
          <w:tcPr>
            <w:tcW w:w="520" w:type="dxa"/>
            <w:vAlign w:val="bottom"/>
            <w:shd w:val="clear" w:color="auto" w:fill="CFF0FC"/>
          </w:tcPr>
          <w:p>
            <w:pPr>
              <w:spacing w:after="0"/>
              <w:rPr>
                <w:sz w:val="21"/>
                <w:szCs w:val="21"/>
                <w:color w:val="auto"/>
              </w:rPr>
            </w:pPr>
          </w:p>
        </w:tc>
        <w:tc>
          <w:tcPr>
            <w:tcW w:w="3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(1,484 )</w:t>
            </w:r>
          </w:p>
        </w:tc>
      </w:tr>
      <w:tr>
        <w:trPr>
          <w:trHeight w:val="237"/>
        </w:trPr>
        <w:tc>
          <w:tcPr>
            <w:tcW w:w="7100" w:type="dxa"/>
            <w:vAlign w:val="bottom"/>
          </w:tcPr>
          <w:p>
            <w:pPr>
              <w:ind w:left="120"/>
              <w:spacing w:after="0"/>
              <w:rPr>
                <w:sz w:val="20"/>
                <w:szCs w:val="20"/>
                <w:color w:val="auto"/>
              </w:rPr>
            </w:pPr>
            <w:r>
              <w:rPr>
                <w:rFonts w:ascii="Arial" w:cs="Arial" w:eastAsia="Arial" w:hAnsi="Arial"/>
                <w:sz w:val="18"/>
                <w:szCs w:val="18"/>
                <w:color w:val="auto"/>
              </w:rPr>
              <w:t>Add: Interest expense, net</w:t>
            </w:r>
          </w:p>
        </w:tc>
        <w:tc>
          <w:tcPr>
            <w:tcW w:w="52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0"/>
                <w:szCs w:val="20"/>
                <w:color w:val="auto"/>
              </w:rPr>
            </w:pPr>
          </w:p>
        </w:tc>
      </w:tr>
      <w:tr>
        <w:trPr>
          <w:trHeight w:val="249"/>
        </w:trPr>
        <w:tc>
          <w:tcPr>
            <w:tcW w:w="7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Add: Other expense, net</w:t>
            </w:r>
          </w:p>
        </w:tc>
        <w:tc>
          <w:tcPr>
            <w:tcW w:w="520" w:type="dxa"/>
            <w:vAlign w:val="bottom"/>
            <w:tcBorders>
              <w:bottom w:val="single" w:sz="8" w:color="auto"/>
            </w:tcBorders>
            <w:shd w:val="clear" w:color="auto" w:fill="CFF0FC"/>
          </w:tcPr>
          <w:p>
            <w:pPr>
              <w:spacing w:after="0"/>
              <w:rPr>
                <w:sz w:val="21"/>
                <w:szCs w:val="21"/>
                <w:color w:val="auto"/>
              </w:rPr>
            </w:pPr>
          </w:p>
        </w:tc>
        <w:tc>
          <w:tcPr>
            <w:tcW w:w="3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100" w:type="dxa"/>
            <w:vAlign w:val="bottom"/>
          </w:tcPr>
          <w:p>
            <w:pPr>
              <w:ind w:left="300"/>
              <w:spacing w:after="0"/>
              <w:rPr>
                <w:sz w:val="20"/>
                <w:szCs w:val="20"/>
                <w:color w:val="auto"/>
              </w:rPr>
            </w:pPr>
            <w:r>
              <w:rPr>
                <w:rFonts w:ascii="Arial" w:cs="Arial" w:eastAsia="Arial" w:hAnsi="Arial"/>
                <w:sz w:val="18"/>
                <w:szCs w:val="18"/>
                <w:b w:val="1"/>
                <w:bCs w:val="1"/>
                <w:color w:val="auto"/>
              </w:rPr>
              <w:t>Loss from operations</w:t>
            </w:r>
          </w:p>
        </w:tc>
        <w:tc>
          <w:tcPr>
            <w:tcW w:w="5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 - (12,271)</w:t>
            </w:r>
          </w:p>
        </w:tc>
        <w:tc>
          <w:tcPr>
            <w:tcW w:w="140" w:type="dxa"/>
            <w:vAlign w:val="bottom"/>
          </w:tcPr>
          <w:p>
            <w:pPr>
              <w:spacing w:after="0"/>
              <w:rPr>
                <w:sz w:val="20"/>
                <w:szCs w:val="20"/>
                <w:color w:val="auto"/>
              </w:rPr>
            </w:pPr>
          </w:p>
        </w:tc>
      </w:tr>
      <w:tr>
        <w:trPr>
          <w:trHeight w:val="237"/>
        </w:trPr>
        <w:tc>
          <w:tcPr>
            <w:tcW w:w="7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 Amortization of intangible assets acquired through business combinations</w:t>
            </w:r>
          </w:p>
        </w:tc>
        <w:tc>
          <w:tcPr>
            <w:tcW w:w="520" w:type="dxa"/>
            <w:vAlign w:val="bottom"/>
            <w:shd w:val="clear" w:color="auto" w:fill="CFF0FC"/>
          </w:tcPr>
          <w:p>
            <w:pPr>
              <w:spacing w:after="0"/>
              <w:rPr>
                <w:sz w:val="20"/>
                <w:szCs w:val="20"/>
                <w:color w:val="auto"/>
              </w:rPr>
            </w:pPr>
          </w:p>
        </w:tc>
        <w:tc>
          <w:tcPr>
            <w:tcW w:w="3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11,556</w:t>
            </w:r>
          </w:p>
        </w:tc>
        <w:tc>
          <w:tcPr>
            <w:tcW w:w="140" w:type="dxa"/>
            <w:vAlign w:val="bottom"/>
            <w:shd w:val="clear" w:color="auto" w:fill="CFF0FC"/>
          </w:tcPr>
          <w:p>
            <w:pPr>
              <w:spacing w:after="0"/>
              <w:rPr>
                <w:sz w:val="20"/>
                <w:szCs w:val="20"/>
                <w:color w:val="auto"/>
              </w:rPr>
            </w:pPr>
          </w:p>
        </w:tc>
      </w:tr>
      <w:tr>
        <w:trPr>
          <w:trHeight w:val="237"/>
        </w:trPr>
        <w:tc>
          <w:tcPr>
            <w:tcW w:w="7100" w:type="dxa"/>
            <w:vAlign w:val="bottom"/>
          </w:tcPr>
          <w:p>
            <w:pPr>
              <w:ind w:left="120"/>
              <w:spacing w:after="0"/>
              <w:rPr>
                <w:sz w:val="20"/>
                <w:szCs w:val="20"/>
                <w:color w:val="auto"/>
              </w:rPr>
            </w:pPr>
            <w:r>
              <w:rPr>
                <w:rFonts w:ascii="Arial" w:cs="Arial" w:eastAsia="Arial" w:hAnsi="Arial"/>
                <w:sz w:val="18"/>
                <w:szCs w:val="18"/>
                <w:color w:val="auto"/>
              </w:rPr>
              <w:t>Add: Equity-based compensation</w:t>
            </w:r>
          </w:p>
        </w:tc>
        <w:tc>
          <w:tcPr>
            <w:tcW w:w="52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12,363</w:t>
            </w:r>
          </w:p>
        </w:tc>
        <w:tc>
          <w:tcPr>
            <w:tcW w:w="140" w:type="dxa"/>
            <w:vAlign w:val="bottom"/>
          </w:tcPr>
          <w:p>
            <w:pPr>
              <w:spacing w:after="0"/>
              <w:rPr>
                <w:sz w:val="20"/>
                <w:szCs w:val="20"/>
                <w:color w:val="auto"/>
              </w:rPr>
            </w:pPr>
          </w:p>
        </w:tc>
      </w:tr>
      <w:tr>
        <w:trPr>
          <w:trHeight w:val="249"/>
        </w:trPr>
        <w:tc>
          <w:tcPr>
            <w:tcW w:w="7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 Transaction, integration, and restructuring expenses</w:t>
            </w:r>
          </w:p>
        </w:tc>
        <w:tc>
          <w:tcPr>
            <w:tcW w:w="520" w:type="dxa"/>
            <w:vAlign w:val="bottom"/>
            <w:shd w:val="clear" w:color="auto" w:fill="CFF0FC"/>
          </w:tcPr>
          <w:p>
            <w:pPr>
              <w:spacing w:after="0"/>
              <w:rPr>
                <w:sz w:val="21"/>
                <w:szCs w:val="21"/>
                <w:color w:val="auto"/>
              </w:rPr>
            </w:pPr>
          </w:p>
        </w:tc>
        <w:tc>
          <w:tcPr>
            <w:tcW w:w="3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140" w:type="dxa"/>
            <w:vAlign w:val="bottom"/>
            <w:shd w:val="clear" w:color="auto" w:fill="CFF0FC"/>
          </w:tcPr>
          <w:p>
            <w:pPr>
              <w:spacing w:after="0"/>
              <w:rPr>
                <w:sz w:val="21"/>
                <w:szCs w:val="21"/>
                <w:color w:val="auto"/>
              </w:rPr>
            </w:pPr>
          </w:p>
        </w:tc>
      </w:tr>
      <w:tr>
        <w:trPr>
          <w:trHeight w:val="243"/>
        </w:trPr>
        <w:tc>
          <w:tcPr>
            <w:tcW w:w="7100" w:type="dxa"/>
            <w:vAlign w:val="bottom"/>
          </w:tcPr>
          <w:p>
            <w:pPr>
              <w:ind w:left="120"/>
              <w:spacing w:after="0"/>
              <w:rPr>
                <w:sz w:val="20"/>
                <w:szCs w:val="20"/>
                <w:color w:val="auto"/>
              </w:rPr>
            </w:pPr>
            <w:r>
              <w:rPr>
                <w:rFonts w:ascii="Arial" w:cs="Arial" w:eastAsia="Arial" w:hAnsi="Arial"/>
                <w:sz w:val="18"/>
                <w:szCs w:val="18"/>
                <w:color w:val="auto"/>
              </w:rPr>
              <w:t>Add: Other non-recurring items</w:t>
            </w:r>
          </w:p>
        </w:tc>
        <w:tc>
          <w:tcPr>
            <w:tcW w:w="52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400 - 800</w:t>
            </w:r>
          </w:p>
        </w:tc>
        <w:tc>
          <w:tcPr>
            <w:tcW w:w="140" w:type="dxa"/>
            <w:vAlign w:val="bottom"/>
          </w:tcPr>
          <w:p>
            <w:pPr>
              <w:spacing w:after="0"/>
              <w:rPr>
                <w:sz w:val="21"/>
                <w:szCs w:val="21"/>
                <w:color w:val="auto"/>
              </w:rPr>
            </w:pPr>
          </w:p>
        </w:tc>
      </w:tr>
      <w:tr>
        <w:trPr>
          <w:trHeight w:val="237"/>
        </w:trPr>
        <w:tc>
          <w:tcPr>
            <w:tcW w:w="71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Adjusted Operating Income</w:t>
            </w:r>
          </w:p>
        </w:tc>
        <w:tc>
          <w:tcPr>
            <w:tcW w:w="520" w:type="dxa"/>
            <w:vAlign w:val="bottom"/>
            <w:tcBorders>
              <w:bottom w:val="single" w:sz="8" w:color="auto"/>
            </w:tcBorders>
            <w:shd w:val="clear" w:color="auto" w:fill="CFF0FC"/>
          </w:tcPr>
          <w:p>
            <w:pPr>
              <w:spacing w:after="0"/>
              <w:rPr>
                <w:sz w:val="20"/>
                <w:szCs w:val="20"/>
                <w:color w:val="auto"/>
              </w:rPr>
            </w:pPr>
          </w:p>
        </w:tc>
        <w:tc>
          <w:tcPr>
            <w:tcW w:w="3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7100" w:type="dxa"/>
            <w:vAlign w:val="bottom"/>
          </w:tcPr>
          <w:p>
            <w:pPr>
              <w:ind w:left="120"/>
              <w:spacing w:after="0"/>
              <w:rPr>
                <w:sz w:val="20"/>
                <w:szCs w:val="20"/>
                <w:color w:val="auto"/>
              </w:rPr>
            </w:pPr>
            <w:r>
              <w:rPr>
                <w:rFonts w:ascii="Arial" w:cs="Arial" w:eastAsia="Arial" w:hAnsi="Arial"/>
                <w:sz w:val="18"/>
                <w:szCs w:val="18"/>
                <w:color w:val="auto"/>
              </w:rPr>
              <w:t>Less: Interest expense, net</w:t>
            </w:r>
          </w:p>
        </w:tc>
        <w:tc>
          <w:tcPr>
            <w:tcW w:w="520" w:type="dxa"/>
            <w:vAlign w:val="bottom"/>
          </w:tcPr>
          <w:p>
            <w:pPr>
              <w:spacing w:after="0"/>
              <w:rPr>
                <w:sz w:val="20"/>
                <w:szCs w:val="20"/>
                <w:color w:val="auto"/>
              </w:rPr>
            </w:pPr>
          </w:p>
        </w:tc>
        <w:tc>
          <w:tcPr>
            <w:tcW w:w="3620" w:type="dxa"/>
            <w:vAlign w:val="bottom"/>
            <w:gridSpan w:val="2"/>
          </w:tcPr>
          <w:p>
            <w:pPr>
              <w:jc w:val="right"/>
              <w:ind w:right="60"/>
              <w:spacing w:after="0"/>
              <w:rPr>
                <w:sz w:val="20"/>
                <w:szCs w:val="20"/>
                <w:color w:val="auto"/>
              </w:rPr>
            </w:pPr>
            <w:r>
              <w:rPr>
                <w:rFonts w:ascii="Arial" w:cs="Arial" w:eastAsia="Arial" w:hAnsi="Arial"/>
                <w:sz w:val="18"/>
                <w:szCs w:val="18"/>
                <w:color w:val="auto"/>
              </w:rPr>
              <w:t>(221 )</w:t>
            </w:r>
          </w:p>
        </w:tc>
      </w:tr>
      <w:tr>
        <w:trPr>
          <w:trHeight w:val="249"/>
        </w:trPr>
        <w:tc>
          <w:tcPr>
            <w:tcW w:w="7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Recurring income tax benefit</w:t>
            </w:r>
          </w:p>
        </w:tc>
        <w:tc>
          <w:tcPr>
            <w:tcW w:w="520" w:type="dxa"/>
            <w:vAlign w:val="bottom"/>
            <w:shd w:val="clear" w:color="auto" w:fill="CFF0FC"/>
          </w:tcPr>
          <w:p>
            <w:pPr>
              <w:spacing w:after="0"/>
              <w:rPr>
                <w:sz w:val="21"/>
                <w:szCs w:val="21"/>
                <w:color w:val="auto"/>
              </w:rPr>
            </w:pPr>
          </w:p>
        </w:tc>
        <w:tc>
          <w:tcPr>
            <w:tcW w:w="3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140" w:type="dxa"/>
            <w:vAlign w:val="bottom"/>
            <w:shd w:val="clear" w:color="auto" w:fill="CFF0FC"/>
          </w:tcPr>
          <w:p>
            <w:pPr>
              <w:spacing w:after="0"/>
              <w:rPr>
                <w:sz w:val="21"/>
                <w:szCs w:val="21"/>
                <w:color w:val="auto"/>
              </w:rPr>
            </w:pPr>
          </w:p>
        </w:tc>
      </w:tr>
      <w:tr>
        <w:trPr>
          <w:trHeight w:val="237"/>
        </w:trPr>
        <w:tc>
          <w:tcPr>
            <w:tcW w:w="7100" w:type="dxa"/>
            <w:vAlign w:val="bottom"/>
          </w:tcPr>
          <w:p>
            <w:pPr>
              <w:ind w:left="120"/>
              <w:spacing w:after="0"/>
              <w:rPr>
                <w:sz w:val="20"/>
                <w:szCs w:val="20"/>
                <w:color w:val="auto"/>
              </w:rPr>
            </w:pPr>
            <w:r>
              <w:rPr>
                <w:rFonts w:ascii="Arial" w:cs="Arial" w:eastAsia="Arial" w:hAnsi="Arial"/>
                <w:sz w:val="18"/>
                <w:szCs w:val="18"/>
                <w:color w:val="auto"/>
              </w:rPr>
              <w:t>Less: Foreign currency gain</w:t>
            </w:r>
          </w:p>
        </w:tc>
        <w:tc>
          <w:tcPr>
            <w:tcW w:w="52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20"/>
                <w:szCs w:val="20"/>
                <w:color w:val="auto"/>
              </w:rPr>
            </w:pPr>
          </w:p>
        </w:tc>
      </w:tr>
      <w:tr>
        <w:trPr>
          <w:trHeight w:val="249"/>
        </w:trPr>
        <w:tc>
          <w:tcPr>
            <w:tcW w:w="7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Less: Tax impacts of adjustments to net loss</w:t>
            </w:r>
          </w:p>
        </w:tc>
        <w:tc>
          <w:tcPr>
            <w:tcW w:w="520" w:type="dxa"/>
            <w:vAlign w:val="bottom"/>
            <w:tcBorders>
              <w:bottom w:val="single" w:sz="8" w:color="auto"/>
            </w:tcBorders>
            <w:shd w:val="clear" w:color="auto" w:fill="CFF0FC"/>
          </w:tcPr>
          <w:p>
            <w:pPr>
              <w:spacing w:after="0"/>
              <w:rPr>
                <w:sz w:val="21"/>
                <w:szCs w:val="21"/>
                <w:color w:val="auto"/>
              </w:rPr>
            </w:pPr>
          </w:p>
        </w:tc>
        <w:tc>
          <w:tcPr>
            <w:tcW w:w="3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(5,207) - (5,327)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100" w:type="dxa"/>
            <w:vAlign w:val="bottom"/>
          </w:tcPr>
          <w:p>
            <w:pPr>
              <w:ind w:left="300"/>
              <w:spacing w:after="0"/>
              <w:rPr>
                <w:sz w:val="20"/>
                <w:szCs w:val="20"/>
                <w:color w:val="auto"/>
              </w:rPr>
            </w:pPr>
            <w:r>
              <w:rPr>
                <w:rFonts w:ascii="Arial" w:cs="Arial" w:eastAsia="Arial" w:hAnsi="Arial"/>
                <w:sz w:val="18"/>
                <w:szCs w:val="18"/>
                <w:b w:val="1"/>
                <w:bCs w:val="1"/>
                <w:color w:val="auto"/>
              </w:rPr>
              <w:t>Adjusted Net Income</w:t>
            </w:r>
          </w:p>
        </w:tc>
        <w:tc>
          <w:tcPr>
            <w:tcW w:w="5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$12,304 - $12,424</w:t>
            </w:r>
          </w:p>
        </w:tc>
        <w:tc>
          <w:tcPr>
            <w:tcW w:w="140" w:type="dxa"/>
            <w:vAlign w:val="bottom"/>
          </w:tcPr>
          <w:p>
            <w:pPr>
              <w:spacing w:after="0"/>
              <w:rPr>
                <w:sz w:val="20"/>
                <w:szCs w:val="20"/>
                <w:color w:val="auto"/>
              </w:rPr>
            </w:pPr>
          </w:p>
        </w:tc>
      </w:tr>
      <w:tr>
        <w:trPr>
          <w:trHeight w:val="237"/>
        </w:trPr>
        <w:tc>
          <w:tcPr>
            <w:tcW w:w="7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 and Diluted Weighted Average Class A Common Stock Outstanding</w:t>
            </w:r>
          </w:p>
        </w:tc>
        <w:tc>
          <w:tcPr>
            <w:tcW w:w="520" w:type="dxa"/>
            <w:vAlign w:val="bottom"/>
            <w:shd w:val="clear" w:color="auto" w:fill="CFF0FC"/>
          </w:tcPr>
          <w:p>
            <w:pPr>
              <w:spacing w:after="0"/>
              <w:rPr>
                <w:sz w:val="20"/>
                <w:szCs w:val="20"/>
                <w:color w:val="auto"/>
              </w:rPr>
            </w:pPr>
          </w:p>
        </w:tc>
        <w:tc>
          <w:tcPr>
            <w:tcW w:w="3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111,768,782</w:t>
            </w:r>
          </w:p>
        </w:tc>
        <w:tc>
          <w:tcPr>
            <w:tcW w:w="140" w:type="dxa"/>
            <w:vAlign w:val="bottom"/>
            <w:shd w:val="clear" w:color="auto" w:fill="CFF0FC"/>
          </w:tcPr>
          <w:p>
            <w:pPr>
              <w:spacing w:after="0"/>
              <w:rPr>
                <w:sz w:val="20"/>
                <w:szCs w:val="20"/>
                <w:color w:val="auto"/>
              </w:rPr>
            </w:pPr>
          </w:p>
        </w:tc>
      </w:tr>
      <w:tr>
        <w:trPr>
          <w:trHeight w:val="243"/>
        </w:trPr>
        <w:tc>
          <w:tcPr>
            <w:tcW w:w="7100" w:type="dxa"/>
            <w:vAlign w:val="bottom"/>
          </w:tcPr>
          <w:p>
            <w:pPr>
              <w:ind w:left="120"/>
              <w:spacing w:after="0" w:line="243" w:lineRule="exact"/>
              <w:rPr>
                <w:sz w:val="20"/>
                <w:szCs w:val="20"/>
                <w:color w:val="auto"/>
              </w:rPr>
            </w:pPr>
            <w:r>
              <w:rPr>
                <w:rFonts w:ascii="Arial" w:cs="Arial" w:eastAsia="Arial" w:hAnsi="Arial"/>
                <w:sz w:val="18"/>
                <w:szCs w:val="18"/>
                <w:color w:val="auto"/>
              </w:rPr>
              <w:t xml:space="preserve">Shares for Adjusted Net Income Per Diluted Share </w:t>
            </w:r>
            <w:r>
              <w:rPr>
                <w:rFonts w:ascii="Arial" w:cs="Arial" w:eastAsia="Arial" w:hAnsi="Arial"/>
                <w:sz w:val="24"/>
                <w:szCs w:val="24"/>
                <w:color w:val="auto"/>
                <w:vertAlign w:val="superscript"/>
              </w:rPr>
              <w:t>(a)</w:t>
            </w:r>
          </w:p>
        </w:tc>
        <w:tc>
          <w:tcPr>
            <w:tcW w:w="5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155,599,967</w:t>
            </w:r>
          </w:p>
        </w:tc>
        <w:tc>
          <w:tcPr>
            <w:tcW w:w="140" w:type="dxa"/>
            <w:vAlign w:val="bottom"/>
          </w:tcPr>
          <w:p>
            <w:pPr>
              <w:spacing w:after="0"/>
              <w:rPr>
                <w:sz w:val="21"/>
                <w:szCs w:val="21"/>
                <w:color w:val="auto"/>
              </w:rPr>
            </w:pPr>
          </w:p>
        </w:tc>
      </w:tr>
      <w:tr>
        <w:trPr>
          <w:trHeight w:val="243"/>
        </w:trPr>
        <w:tc>
          <w:tcPr>
            <w:tcW w:w="7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Per Share Attributable to Definitive Healthcare Corp.</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3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(0.08 )</w:t>
            </w:r>
          </w:p>
        </w:tc>
      </w:tr>
      <w:tr>
        <w:trPr>
          <w:trHeight w:val="230"/>
        </w:trPr>
        <w:tc>
          <w:tcPr>
            <w:tcW w:w="7100" w:type="dxa"/>
            <w:vAlign w:val="bottom"/>
          </w:tcPr>
          <w:p>
            <w:pPr>
              <w:ind w:left="120"/>
              <w:spacing w:after="0"/>
              <w:rPr>
                <w:sz w:val="20"/>
                <w:szCs w:val="20"/>
                <w:color w:val="auto"/>
              </w:rPr>
            </w:pPr>
            <w:r>
              <w:rPr>
                <w:rFonts w:ascii="Arial" w:cs="Arial" w:eastAsia="Arial" w:hAnsi="Arial"/>
                <w:sz w:val="18"/>
                <w:szCs w:val="18"/>
                <w:color w:val="auto"/>
              </w:rPr>
              <w:t>Adjusted Net Income Per Diluted Share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348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-2357120</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-1405890</wp:posOffset>
            </wp:positionV>
            <wp:extent cx="8572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-779780</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235" w:lineRule="exact"/>
        <w:rPr>
          <w:sz w:val="20"/>
          <w:szCs w:val="20"/>
          <w:color w:val="auto"/>
        </w:rPr>
      </w:pPr>
    </w:p>
    <w:p>
      <w:pPr>
        <w:ind w:left="20" w:right="160" w:firstLine="1"/>
        <w:spacing w:after="0" w:line="259"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161,996,676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1124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Reconciliation of Estimated GAAP Net Loss to Estimated Adjusted EBITDA</w:t>
            </w:r>
          </w:p>
        </w:tc>
      </w:tr>
      <w:tr>
        <w:trPr>
          <w:trHeight w:val="243"/>
        </w:trPr>
        <w:tc>
          <w:tcPr>
            <w:tcW w:w="4280" w:type="dxa"/>
            <w:vAlign w:val="bottom"/>
          </w:tcPr>
          <w:p>
            <w:pPr>
              <w:spacing w:after="0"/>
              <w:rPr>
                <w:sz w:val="21"/>
                <w:szCs w:val="21"/>
                <w:color w:val="auto"/>
              </w:rPr>
            </w:pPr>
          </w:p>
        </w:tc>
        <w:tc>
          <w:tcPr>
            <w:tcW w:w="3340" w:type="dxa"/>
            <w:vAlign w:val="bottom"/>
            <w:gridSpan w:val="2"/>
          </w:tcPr>
          <w:p>
            <w:pPr>
              <w:jc w:val="center"/>
              <w:ind w:right="800"/>
              <w:spacing w:after="0"/>
              <w:rPr>
                <w:sz w:val="20"/>
                <w:szCs w:val="20"/>
                <w:color w:val="auto"/>
              </w:rPr>
            </w:pPr>
            <w:r>
              <w:rPr>
                <w:rFonts w:ascii="Arial" w:cs="Arial" w:eastAsia="Arial" w:hAnsi="Arial"/>
                <w:sz w:val="18"/>
                <w:szCs w:val="18"/>
                <w:i w:val="1"/>
                <w:iCs w:val="1"/>
                <w:color w:val="auto"/>
                <w:w w:val="91"/>
              </w:rPr>
              <w:t>(in thousands; unaudited)</w:t>
            </w:r>
          </w:p>
        </w:tc>
        <w:tc>
          <w:tcPr>
            <w:tcW w:w="34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86"/>
        </w:trPr>
        <w:tc>
          <w:tcPr>
            <w:tcW w:w="4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Three Months Ended June 30, 2023</w:t>
            </w:r>
          </w:p>
        </w:tc>
      </w:tr>
      <w:tr>
        <w:trPr>
          <w:trHeight w:val="237"/>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282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3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$(11,405) - $(11,805)</w:t>
            </w:r>
          </w:p>
        </w:tc>
        <w:tc>
          <w:tcPr>
            <w:tcW w:w="140" w:type="dxa"/>
            <w:vAlign w:val="bottom"/>
            <w:shd w:val="clear" w:color="auto" w:fill="CFF0FC"/>
          </w:tcPr>
          <w:p>
            <w:pPr>
              <w:spacing w:after="0"/>
              <w:rPr>
                <w:sz w:val="20"/>
                <w:szCs w:val="20"/>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0"/>
                <w:szCs w:val="20"/>
                <w:color w:val="auto"/>
              </w:rPr>
            </w:pPr>
          </w:p>
        </w:tc>
      </w:tr>
      <w:tr>
        <w:trPr>
          <w:trHeight w:val="24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2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(1,484 )</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Depreciation &amp; amortization</w:t>
            </w:r>
          </w:p>
        </w:tc>
        <w:tc>
          <w:tcPr>
            <w:tcW w:w="28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12,778</w:t>
            </w:r>
          </w:p>
        </w:tc>
        <w:tc>
          <w:tcPr>
            <w:tcW w:w="140" w:type="dxa"/>
            <w:vAlign w:val="bottom"/>
          </w:tcPr>
          <w:p>
            <w:pPr>
              <w:spacing w:after="0"/>
              <w:rPr>
                <w:sz w:val="21"/>
                <w:szCs w:val="21"/>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EBITDA</w:t>
            </w:r>
          </w:p>
        </w:tc>
        <w:tc>
          <w:tcPr>
            <w:tcW w:w="28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3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 - 110</w:t>
            </w:r>
          </w:p>
        </w:tc>
        <w:tc>
          <w:tcPr>
            <w:tcW w:w="140" w:type="dxa"/>
            <w:vAlign w:val="bottom"/>
            <w:shd w:val="clear" w:color="auto" w:fill="CFF0FC"/>
          </w:tcPr>
          <w:p>
            <w:pPr>
              <w:spacing w:after="0"/>
              <w:rPr>
                <w:sz w:val="20"/>
                <w:szCs w:val="20"/>
                <w:color w:val="auto"/>
              </w:rPr>
            </w:pPr>
          </w:p>
        </w:tc>
      </w:tr>
      <w:tr>
        <w:trPr>
          <w:trHeight w:val="243"/>
        </w:trPr>
        <w:tc>
          <w:tcPr>
            <w:tcW w:w="42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4"/>
                <w:szCs w:val="24"/>
                <w:color w:val="auto"/>
                <w:vertAlign w:val="superscript"/>
              </w:rPr>
              <w:t>(a)</w:t>
            </w:r>
          </w:p>
        </w:tc>
        <w:tc>
          <w:tcPr>
            <w:tcW w:w="2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21"/>
                <w:szCs w:val="21"/>
                <w:color w:val="auto"/>
              </w:rPr>
            </w:pPr>
          </w:p>
        </w:tc>
      </w:tr>
      <w:tr>
        <w:trPr>
          <w:trHeight w:val="243"/>
        </w:trPr>
        <w:tc>
          <w:tcPr>
            <w:tcW w:w="428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24"/>
                <w:szCs w:val="24"/>
                <w:color w:val="auto"/>
                <w:vertAlign w:val="superscript"/>
              </w:rPr>
              <w:t>(b)</w:t>
            </w:r>
          </w:p>
        </w:tc>
        <w:tc>
          <w:tcPr>
            <w:tcW w:w="2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12,363</w:t>
            </w:r>
          </w:p>
        </w:tc>
        <w:tc>
          <w:tcPr>
            <w:tcW w:w="140" w:type="dxa"/>
            <w:vAlign w:val="bottom"/>
            <w:shd w:val="clear" w:color="auto" w:fill="CFF0FC"/>
          </w:tcPr>
          <w:p>
            <w:pPr>
              <w:spacing w:after="0"/>
              <w:rPr>
                <w:sz w:val="21"/>
                <w:szCs w:val="21"/>
                <w:color w:val="auto"/>
              </w:rPr>
            </w:pPr>
          </w:p>
        </w:tc>
      </w:tr>
      <w:tr>
        <w:trPr>
          <w:trHeight w:val="243"/>
        </w:trPr>
        <w:tc>
          <w:tcPr>
            <w:tcW w:w="4280" w:type="dxa"/>
            <w:vAlign w:val="bottom"/>
          </w:tcPr>
          <w:p>
            <w:pPr>
              <w:ind w:left="20"/>
              <w:spacing w:after="0" w:line="243" w:lineRule="exact"/>
              <w:rPr>
                <w:sz w:val="20"/>
                <w:szCs w:val="20"/>
                <w:color w:val="auto"/>
              </w:rPr>
            </w:pPr>
            <w:r>
              <w:rPr>
                <w:rFonts w:ascii="Arial" w:cs="Arial" w:eastAsia="Arial" w:hAnsi="Arial"/>
                <w:sz w:val="18"/>
                <w:szCs w:val="18"/>
                <w:color w:val="auto"/>
                <w:w w:val="96"/>
              </w:rPr>
              <w:t xml:space="preserve">Transaction, integration, and restructuring expenses </w:t>
            </w:r>
            <w:r>
              <w:rPr>
                <w:rFonts w:ascii="Arial" w:cs="Arial" w:eastAsia="Arial" w:hAnsi="Arial"/>
                <w:sz w:val="24"/>
                <w:szCs w:val="24"/>
                <w:color w:val="auto"/>
                <w:w w:val="96"/>
                <w:vertAlign w:val="superscript"/>
              </w:rPr>
              <w:t>(c)</w:t>
            </w:r>
          </w:p>
        </w:tc>
        <w:tc>
          <w:tcPr>
            <w:tcW w:w="2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3,571</w:t>
            </w:r>
          </w:p>
        </w:tc>
        <w:tc>
          <w:tcPr>
            <w:tcW w:w="140" w:type="dxa"/>
            <w:vAlign w:val="bottom"/>
          </w:tcPr>
          <w:p>
            <w:pPr>
              <w:spacing w:after="0"/>
              <w:rPr>
                <w:sz w:val="21"/>
                <w:szCs w:val="21"/>
                <w:color w:val="auto"/>
              </w:rPr>
            </w:pPr>
          </w:p>
        </w:tc>
      </w:tr>
      <w:tr>
        <w:trPr>
          <w:trHeight w:val="243"/>
        </w:trPr>
        <w:tc>
          <w:tcPr>
            <w:tcW w:w="428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Other non-recurring items </w:t>
            </w:r>
            <w:r>
              <w:rPr>
                <w:rFonts w:ascii="Arial" w:cs="Arial" w:eastAsia="Arial" w:hAnsi="Arial"/>
                <w:sz w:val="24"/>
                <w:szCs w:val="24"/>
                <w:color w:val="auto"/>
                <w:vertAlign w:val="superscript"/>
              </w:rPr>
              <w:t>(d)</w:t>
            </w:r>
          </w:p>
        </w:tc>
        <w:tc>
          <w:tcPr>
            <w:tcW w:w="28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3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400 - 800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80" w:type="dxa"/>
            <w:vAlign w:val="bottom"/>
          </w:tcPr>
          <w:p>
            <w:pPr>
              <w:jc w:val="right"/>
              <w:spacing w:after="0"/>
              <w:rPr>
                <w:sz w:val="20"/>
                <w:szCs w:val="20"/>
                <w:color w:val="auto"/>
              </w:rPr>
            </w:pPr>
            <w:r>
              <w:rPr>
                <w:rFonts w:ascii="Arial" w:cs="Arial" w:eastAsia="Arial" w:hAnsi="Arial"/>
                <w:sz w:val="18"/>
                <w:szCs w:val="18"/>
                <w:color w:val="auto"/>
              </w:rPr>
              <w:t>17,241</w:t>
            </w:r>
          </w:p>
        </w:tc>
        <w:tc>
          <w:tcPr>
            <w:tcW w:w="14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731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31645"/>
                    </a:xfrm>
                    <a:prstGeom prst="rect">
                      <a:avLst/>
                    </a:prstGeom>
                    <a:noFill/>
                  </pic:spPr>
                </pic:pic>
              </a:graphicData>
            </a:graphic>
          </wp:anchor>
        </w:drawing>
      </w:r>
    </w:p>
    <w:p>
      <w:pPr>
        <w:spacing w:after="0" w:line="222" w:lineRule="exact"/>
        <w:rPr>
          <w:sz w:val="20"/>
          <w:szCs w:val="20"/>
          <w:color w:val="auto"/>
        </w:rPr>
      </w:pPr>
    </w:p>
    <w:p>
      <w:pPr>
        <w:ind w:left="400" w:hanging="379"/>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Primarily represents foreign exchange and Tax Receivable Agreement liability remeasurement gains and losses.</w:t>
      </w:r>
    </w:p>
    <w:p>
      <w:pPr>
        <w:spacing w:after="0" w:line="23" w:lineRule="exact"/>
        <w:rPr>
          <w:rFonts w:ascii="Arial" w:cs="Arial" w:eastAsia="Arial" w:hAnsi="Arial"/>
          <w:sz w:val="18"/>
          <w:szCs w:val="18"/>
          <w:color w:val="auto"/>
        </w:rPr>
      </w:pPr>
    </w:p>
    <w:p>
      <w:pPr>
        <w:ind w:left="20" w:right="680" w:firstLine="1"/>
        <w:spacing w:after="0" w:line="250" w:lineRule="auto"/>
        <w:tabs>
          <w:tab w:leader="none" w:pos="41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Equity-based compensation represents non-cash compensation expense recognized in association with equity awards made to employees and directors.</w:t>
      </w:r>
    </w:p>
    <w:p>
      <w:pPr>
        <w:ind w:left="20" w:right="960" w:firstLine="1"/>
        <w:spacing w:after="0" w:line="281" w:lineRule="auto"/>
        <w:tabs>
          <w:tab w:leader="none" w:pos="396"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Transaction and integration expenses primarily represent legal, accounting, and consulting expenses. Restructuring expenses relate to our restructuring plan announced in the first quarter of 2023 and impairment and restructuring charges related to office relocations.</w:t>
      </w:r>
    </w:p>
    <w:p>
      <w:pPr>
        <w:spacing w:after="0" w:line="1" w:lineRule="exact"/>
        <w:rPr>
          <w:rFonts w:ascii="Arial" w:cs="Arial" w:eastAsia="Arial" w:hAnsi="Arial"/>
          <w:sz w:val="16"/>
          <w:szCs w:val="16"/>
          <w:color w:val="auto"/>
        </w:rPr>
      </w:pPr>
    </w:p>
    <w:p>
      <w:pPr>
        <w:ind w:left="20" w:right="380" w:firstLine="1"/>
        <w:spacing w:after="0" w:line="271" w:lineRule="auto"/>
        <w:tabs>
          <w:tab w:leader="none" w:pos="41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Non-recurring items represent expenses that are driven by events that are typically by nature one-time, non-operational, and unrelated to our core operations. These expenses are comprised primarily of professional fees related to financing, capital structure changes, and other non-recurring set-up costs related to public company operations. In addition, these expenses include a sales tax accrual charge recorded during the three months ended June 30, 2023 after we became aware of a state sales tax liability for sales taxes that should have been collected from customers in 2023 and in certain previous years, which amount includes assumed maximum penalties and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rFonts w:ascii="Arial" w:cs="Arial" w:eastAsia="Arial" w:hAnsi="Arial"/>
          <w:sz w:val="20"/>
          <w:szCs w:val="20"/>
          <w:b w:val="1"/>
          <w:bCs w:val="1"/>
          <w:color w:val="auto"/>
        </w:rPr>
        <w:t>Exhibit 99.2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Email to Employees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Team,</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I’m writing to share some very difficult news. Today, we’re reducing the size of our team by approximately 4% and saying goodbye to many talented friends and colleagues in the process. If you are among those impacted, you have already received an invitation to meet with your function leader and HR later this morning.</w:t>
      </w:r>
    </w:p>
    <w:p>
      <w:pPr>
        <w:spacing w:after="0" w:line="18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As I’ve shared with you in Town Halls over the past few months, we’re operating in a very challenging economy. Customers are taking longer to make purchase decisions, have smaller budgets, and in many cases, are deferring any decision by six months or more. While we are still growing as a company, we’re not growing as fast as we had planned, and our first half revenue expansion was behind plan. As a result, we’ve had to adjust our cost structure again.</w:t>
      </w:r>
    </w:p>
    <w:p>
      <w:pPr>
        <w:spacing w:after="0" w:line="1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executive leadership team and I worked vigorously to manage budgets in an effort to avoid this outcome. However, given that the majority of our spending is on people, we could not manage our expenses far enough down without reducing our headcount.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Today’s actions are primarily focused on our commercial team, as we attempt to right-size our sales force for the current sales environment. We made a significant investment in a large commercial team for this year, with the hope and expectation that the macro environment would improve, but at this point we have not seen that improvement. Although we are reducing the size of customer-facing organization today, I don’t expect these cuts to impact our ability to meet our revenue expectation for the second half of 2023.</w:t>
      </w:r>
    </w:p>
    <w:p>
      <w:pPr>
        <w:spacing w:after="0" w:line="18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employees departing Definitive Healthcare, today will be your last day. We have assembled a generous exit package for you, including salary continuation for a minimum of three months, benefits continuation for a minimum of six months, and access to our third-party outplacement support agency. We will also pay out variable compensation – be it bonuses or sales incentives – according to your individual plan. In addition, you will receive any unvested equity that was set to vest on or before November 1, 2023. Details on these various elements of severance will be laid out in your individual severance package documents. On behalf of the ELT, I want to thank you for all your contributions to Definitive Healthcare.</w:t>
      </w:r>
    </w:p>
    <w:p>
      <w:pPr>
        <w:spacing w:after="0" w:line="176"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While today’s changes are painful, they are necessary to our path forward, and I remain optimistic about Definitive Healthcare’s prospects. We have an incredible platform, the best data on the entire U.S. healthcare ecosystem, and fantastic proprietary analytics that our customers use to generate new intelligence each day. We continue to grow and expand in all of our markets. I remain confident that the economy will improve, and as it does, I believe customers will increasingly turn to Definitive Healthcare to help accelerate their commercial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2023-08-01T08:00:15Z</dcterms:created>
  <dcterms:modified xsi:type="dcterms:W3CDTF">2023-08-01T08:00:15Z</dcterms:modified>
</cp:coreProperties>
</file>