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260" w:type="dxa"/>
            <w:vAlign w:val="bottom"/>
            <w:gridSpan w:val="3"/>
            <w:vMerge w:val="restart"/>
          </w:tcPr>
          <w:p>
            <w:pPr>
              <w:spacing w:after="0"/>
              <w:rPr>
                <w:rFonts w:ascii="Arial" w:cs="Arial" w:eastAsia="Arial" w:hAnsi="Arial"/>
                <w:sz w:val="21"/>
                <w:szCs w:val="21"/>
                <w:color w:val="0000EE"/>
                <w:w w:val="99"/>
              </w:rPr>
            </w:pPr>
            <w:hyperlink r:id="rId12">
              <w:r>
                <w:rPr>
                  <w:rFonts w:ascii="Arial" w:cs="Arial" w:eastAsia="Arial" w:hAnsi="Arial"/>
                  <w:sz w:val="21"/>
                  <w:szCs w:val="21"/>
                  <w:color w:val="0000EE"/>
                  <w:w w:val="99"/>
                </w:rPr>
                <w:t>Shamsuddin Kate Marie</w:t>
              </w:r>
            </w:hyperlink>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Arial" w:cs="Arial" w:eastAsia="Arial" w:hAnsi="Arial"/>
                <w:sz w:val="21"/>
                <w:szCs w:val="21"/>
                <w:color w:val="0000EE"/>
              </w:rPr>
            </w:pPr>
            <w:hyperlink r:id="rId13">
              <w:r>
                <w:rPr>
                  <w:rFonts w:ascii="Arial" w:cs="Arial" w:eastAsia="Arial" w:hAnsi="Arial"/>
                  <w:sz w:val="21"/>
                  <w:szCs w:val="21"/>
                  <w:color w:val="0000EE"/>
                </w:rPr>
                <w:t xml:space="preserve">Definitive Healthcare Corp.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DH</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260" w:type="dxa"/>
            <w:vAlign w:val="bottom"/>
            <w:gridSpan w:val="3"/>
            <w:vMerge w:val="continue"/>
          </w:tcPr>
          <w:p>
            <w:pPr>
              <w:spacing w:after="0"/>
              <w:rPr>
                <w:sz w:val="5"/>
                <w:szCs w:val="5"/>
                <w:color w:val="auto"/>
              </w:rPr>
            </w:pPr>
          </w:p>
        </w:tc>
        <w:tc>
          <w:tcPr>
            <w:tcW w:w="13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360" w:type="dxa"/>
            <w:vAlign w:val="bottom"/>
            <w:tcBorders>
              <w:top w:val="single" w:sz="8" w:color="0000EE"/>
            </w:tcBorders>
          </w:tcPr>
          <w:p>
            <w:pPr>
              <w:spacing w:after="0"/>
              <w:rPr>
                <w:sz w:val="5"/>
                <w:szCs w:val="5"/>
                <w:color w:val="auto"/>
              </w:rPr>
            </w:pPr>
          </w:p>
        </w:tc>
        <w:tc>
          <w:tcPr>
            <w:tcW w:w="1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1300" w:type="dxa"/>
            <w:vAlign w:val="bottom"/>
            <w:tcBorders>
              <w:top w:val="single" w:sz="8" w:color="0000EE"/>
              <w:bottom w:val="single" w:sz="8" w:color="9A9A9A"/>
            </w:tcBorders>
          </w:tcPr>
          <w:p>
            <w:pPr>
              <w:spacing w:after="0"/>
              <w:rPr>
                <w:sz w:val="16"/>
                <w:szCs w:val="16"/>
                <w:color w:val="auto"/>
              </w:rPr>
            </w:pPr>
          </w:p>
        </w:tc>
        <w:tc>
          <w:tcPr>
            <w:tcW w:w="180" w:type="dxa"/>
            <w:vAlign w:val="bottom"/>
            <w:tcBorders>
              <w:bottom w:val="single" w:sz="8" w:color="9A9A9A"/>
            </w:tcBorders>
          </w:tcPr>
          <w:p>
            <w:pPr>
              <w:spacing w:after="0"/>
              <w:rPr>
                <w:sz w:val="16"/>
                <w:szCs w:val="16"/>
                <w:color w:val="auto"/>
              </w:rPr>
            </w:pPr>
          </w:p>
        </w:tc>
        <w:tc>
          <w:tcPr>
            <w:tcW w:w="138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300" w:type="dxa"/>
            <w:vAlign w:val="bottom"/>
            <w:tcBorders>
              <w:top w:val="single" w:sz="8" w:color="EEEEEE"/>
            </w:tcBorders>
          </w:tcPr>
          <w:p>
            <w:pPr>
              <w:spacing w:after="0"/>
              <w:rPr>
                <w:sz w:val="2"/>
                <w:szCs w:val="2"/>
                <w:color w:val="auto"/>
              </w:rPr>
            </w:pPr>
          </w:p>
        </w:tc>
        <w:tc>
          <w:tcPr>
            <w:tcW w:w="180" w:type="dxa"/>
            <w:vAlign w:val="bottom"/>
            <w:tcBorders>
              <w:top w:val="single" w:sz="8" w:color="EEEEEE"/>
            </w:tcBorders>
          </w:tcPr>
          <w:p>
            <w:pPr>
              <w:spacing w:after="0"/>
              <w:rPr>
                <w:sz w:val="2"/>
                <w:szCs w:val="2"/>
                <w:color w:val="auto"/>
              </w:rPr>
            </w:pPr>
          </w:p>
        </w:tc>
        <w:tc>
          <w:tcPr>
            <w:tcW w:w="13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360" w:type="dxa"/>
            <w:vAlign w:val="bottom"/>
            <w:tcBorders>
              <w:bottom w:val="single" w:sz="8" w:color="2C2C2C"/>
            </w:tcBorders>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48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380" w:type="dxa"/>
            <w:vAlign w:val="bottom"/>
          </w:tcPr>
          <w:p>
            <w:pPr>
              <w:ind w:left="1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3640" w:type="dxa"/>
            <w:vAlign w:val="bottom"/>
            <w:gridSpan w:val="4"/>
            <w:vMerge w:val="restart"/>
          </w:tcPr>
          <w:p>
            <w:pPr>
              <w:spacing w:after="0"/>
              <w:rPr>
                <w:sz w:val="20"/>
                <w:szCs w:val="20"/>
                <w:color w:val="auto"/>
              </w:rPr>
            </w:pPr>
            <w:r>
              <w:rPr>
                <w:rFonts w:ascii="Arial" w:cs="Arial" w:eastAsia="Arial" w:hAnsi="Arial"/>
                <w:sz w:val="17"/>
                <w:szCs w:val="17"/>
                <w:color w:val="0000FF"/>
              </w:rPr>
              <w:t>C/O DEFINITIVE HEALTHCARE CORP.</w:t>
            </w:r>
          </w:p>
        </w:tc>
        <w:tc>
          <w:tcPr>
            <w:tcW w:w="2520" w:type="dxa"/>
            <w:vAlign w:val="bottom"/>
            <w:gridSpan w:val="3"/>
          </w:tcPr>
          <w:p>
            <w:pPr>
              <w:ind w:left="160"/>
              <w:spacing w:after="0"/>
              <w:rPr>
                <w:sz w:val="20"/>
                <w:szCs w:val="20"/>
                <w:color w:val="auto"/>
              </w:rPr>
            </w:pPr>
            <w:r>
              <w:rPr>
                <w:rFonts w:ascii="Arial" w:cs="Arial" w:eastAsia="Arial" w:hAnsi="Arial"/>
                <w:sz w:val="17"/>
                <w:szCs w:val="17"/>
                <w:color w:val="0000FF"/>
              </w:rPr>
              <w:t>12/14/2022</w:t>
            </w: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3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492 OLD CONNECTICUT PATH, SUITE 401</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0"/>
          <w:szCs w:val="20"/>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825"/>
        <w:spacing w:after="0"/>
        <w:rPr>
          <w:sz w:val="20"/>
          <w:szCs w:val="20"/>
          <w:color w:val="auto"/>
        </w:rPr>
      </w:pPr>
      <w:r>
        <w:rPr>
          <w:rFonts w:ascii="Arial" w:cs="Arial" w:eastAsia="Arial" w:hAnsi="Arial"/>
          <w:sz w:val="17"/>
          <w:szCs w:val="17"/>
          <w:color w:val="0000FF"/>
        </w:rPr>
        <w:t>Chief Product Officer</w:t>
      </w:r>
    </w:p>
    <w:p>
      <w:pPr>
        <w:spacing w:after="0" w:line="402" w:lineRule="exact"/>
        <w:rPr>
          <w:sz w:val="20"/>
          <w:szCs w:val="20"/>
          <w:color w:val="auto"/>
        </w:rPr>
      </w:pPr>
    </w:p>
    <w:p>
      <w:pPr>
        <w:sectPr>
          <w:pgSz w:w="11900" w:h="16838" w:orient="portrait"/>
          <w:cols w:equalWidth="0" w:num="2">
            <w:col w:w="7660" w:space="75"/>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6"/>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5"/>
                <w:szCs w:val="15"/>
                <w:color w:val="auto"/>
              </w:rPr>
            </w:pPr>
          </w:p>
        </w:tc>
        <w:tc>
          <w:tcPr>
            <w:tcW w:w="3560" w:type="dxa"/>
            <w:vAlign w:val="bottom"/>
            <w:gridSpan w:val="9"/>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gridSpan w:val="3"/>
          </w:tcPr>
          <w:p>
            <w:pPr>
              <w:jc w:val="right"/>
              <w:ind w:right="15"/>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FRAMINGHAM MA</w:t>
            </w:r>
          </w:p>
        </w:tc>
        <w:tc>
          <w:tcPr>
            <w:tcW w:w="1340" w:type="dxa"/>
            <w:vAlign w:val="bottom"/>
            <w:vMerge w:val="restart"/>
          </w:tcPr>
          <w:p>
            <w:pPr>
              <w:ind w:left="180"/>
              <w:spacing w:after="0"/>
              <w:rPr>
                <w:sz w:val="20"/>
                <w:szCs w:val="20"/>
                <w:color w:val="auto"/>
              </w:rPr>
            </w:pPr>
            <w:r>
              <w:rPr>
                <w:rFonts w:ascii="Arial" w:cs="Arial" w:eastAsia="Arial" w:hAnsi="Arial"/>
                <w:sz w:val="17"/>
                <w:szCs w:val="17"/>
                <w:color w:val="0000FF"/>
              </w:rPr>
              <w:t>01701</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3"/>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0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8"/>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7780" w:type="dxa"/>
            <w:vAlign w:val="bottom"/>
            <w:tcBorders>
              <w:top w:val="single" w:sz="8" w:color="2C2C2C"/>
            </w:tcBorders>
            <w:gridSpan w:val="15"/>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8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Class A common stock</w:t>
            </w:r>
          </w:p>
        </w:tc>
        <w:tc>
          <w:tcPr>
            <w:tcW w:w="1820" w:type="dxa"/>
            <w:vAlign w:val="bottom"/>
            <w:tcBorders>
              <w:bottom w:val="single" w:sz="8" w:color="2C2C2C"/>
            </w:tcBorders>
            <w:gridSpan w:val="3"/>
          </w:tcPr>
          <w:p>
            <w:pPr>
              <w:ind w:left="880"/>
              <w:spacing w:after="0"/>
              <w:rPr>
                <w:sz w:val="20"/>
                <w:szCs w:val="20"/>
                <w:color w:val="auto"/>
              </w:rPr>
            </w:pPr>
            <w:r>
              <w:rPr>
                <w:rFonts w:ascii="Arial" w:cs="Arial" w:eastAsia="Arial" w:hAnsi="Arial"/>
                <w:sz w:val="17"/>
                <w:szCs w:val="17"/>
                <w:color w:val="0000FF"/>
              </w:rPr>
              <w:t>12/14/2022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F</w:t>
            </w:r>
            <w:r>
              <w:rPr>
                <w:rFonts w:ascii="Arial" w:cs="Arial" w:eastAsia="Arial" w:hAnsi="Arial"/>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1,044</w:t>
            </w:r>
          </w:p>
        </w:tc>
        <w:tc>
          <w:tcPr>
            <w:tcW w:w="4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right"/>
              <w:ind w:right="15"/>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12.28</w:t>
            </w: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51,723</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54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transaction reported represents the withholding of shares by the issuer to satisfy the reporting person's tax withholding obligations in connection with the vesting and settlement of previously reported restricted stock units.</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0"/>
          <w:szCs w:val="20"/>
          <w:color w:val="auto"/>
        </w:rPr>
      </w:pPr>
    </w:p>
    <w:p>
      <w:pPr>
        <w:ind w:left="40"/>
        <w:spacing w:after="0"/>
        <w:rPr>
          <w:sz w:val="20"/>
          <w:szCs w:val="20"/>
          <w:color w:val="auto"/>
        </w:rPr>
      </w:pPr>
      <w:r>
        <w:rPr>
          <w:rFonts w:ascii="Arial" w:cs="Arial" w:eastAsia="Arial" w:hAnsi="Arial"/>
          <w:sz w:val="13"/>
          <w:szCs w:val="13"/>
          <w:color w:val="008000"/>
        </w:rPr>
        <w:t>Exhibit 24 - Power of Attorney</w:t>
      </w:r>
    </w:p>
    <w:p>
      <w:pPr>
        <w:spacing w:after="0" w:line="6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Arial" w:cs="Arial" w:eastAsia="Arial" w:hAnsi="Arial"/>
                <w:sz w:val="17"/>
                <w:szCs w:val="17"/>
                <w:color w:val="0000FF"/>
              </w:rPr>
              <w:t>/s/ Matthew Ruderman, as</w:t>
            </w: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12/16/2022</w:t>
            </w:r>
          </w:p>
        </w:tc>
        <w:tc>
          <w:tcPr>
            <w:tcW w:w="0" w:type="dxa"/>
            <w:vAlign w:val="bottom"/>
          </w:tcPr>
          <w:p>
            <w:pPr>
              <w:spacing w:after="0"/>
              <w:rPr>
                <w:sz w:val="1"/>
                <w:szCs w:val="1"/>
                <w:color w:val="auto"/>
              </w:rPr>
            </w:pPr>
          </w:p>
        </w:tc>
      </w:tr>
      <w:tr>
        <w:trPr>
          <w:trHeight w:val="87"/>
        </w:trPr>
        <w:tc>
          <w:tcPr>
            <w:tcW w:w="1820" w:type="dxa"/>
            <w:vAlign w:val="bottom"/>
            <w:tcBorders>
              <w:top w:val="single" w:sz="8" w:color="auto"/>
            </w:tcBorders>
            <w:gridSpan w:val="2"/>
            <w:vMerge w:val="restart"/>
          </w:tcPr>
          <w:p>
            <w:pPr>
              <w:spacing w:after="0" w:line="194" w:lineRule="exact"/>
              <w:rPr>
                <w:sz w:val="20"/>
                <w:szCs w:val="20"/>
                <w:color w:val="auto"/>
              </w:rPr>
            </w:pPr>
            <w:r>
              <w:rPr>
                <w:rFonts w:ascii="Arial" w:cs="Arial" w:eastAsia="Arial" w:hAnsi="Arial"/>
                <w:sz w:val="17"/>
                <w:szCs w:val="17"/>
                <w:color w:val="0000FF"/>
              </w:rPr>
              <w:t>attorney-in-fact</w:t>
            </w:r>
          </w:p>
        </w:tc>
        <w:tc>
          <w:tcPr>
            <w:tcW w:w="2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820" w:type="dxa"/>
            <w:vAlign w:val="bottom"/>
            <w:tcBorders>
              <w:top w:val="single" w:sz="8" w:color="auto"/>
            </w:tcBorders>
            <w:gridSpan w:val="2"/>
            <w:vMerge w:val="continue"/>
          </w:tcPr>
          <w:p>
            <w:pPr>
              <w:spacing w:after="0"/>
              <w:rPr>
                <w:sz w:val="7"/>
                <w:szCs w:val="7"/>
                <w:color w:val="auto"/>
              </w:rPr>
            </w:pPr>
          </w:p>
        </w:tc>
        <w:tc>
          <w:tcPr>
            <w:tcW w:w="2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EXHIBIT 24</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POWER OF ATTORNEY</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(For Executing Form ID and Forms 3, 4 and 5)</w:t>
      </w:r>
    </w:p>
    <w:p>
      <w:pPr>
        <w:spacing w:after="0" w:line="207" w:lineRule="exact"/>
        <w:rPr>
          <w:sz w:val="20"/>
          <w:szCs w:val="20"/>
          <w:color w:val="auto"/>
        </w:rPr>
      </w:pPr>
    </w:p>
    <w:p>
      <w:pPr>
        <w:ind w:right="1679" w:firstLine="832"/>
        <w:spacing w:after="0" w:line="249"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Jason Kent, Jean Park, Eliza Foley, Natasha Patel, Albert Gelin and Jason Minio of Cooley LLP, and Matthew Ruderman and Maria Borda of Definitive Healthcare Corp. (the "Company"), signing individually, the undersigned's true and lawful attorneys-in fact and agents to:</w:t>
      </w:r>
    </w:p>
    <w:p>
      <w:pPr>
        <w:spacing w:after="0" w:line="200" w:lineRule="exact"/>
        <w:rPr>
          <w:sz w:val="20"/>
          <w:szCs w:val="20"/>
          <w:color w:val="auto"/>
        </w:rPr>
      </w:pPr>
    </w:p>
    <w:p>
      <w:pPr>
        <w:ind w:right="539" w:firstLine="838"/>
        <w:spacing w:after="0" w:line="249" w:lineRule="auto"/>
        <w:tabs>
          <w:tab w:leader="none" w:pos="1663"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execute in the undersigned's name and on the undersigned's behalf, and submit to the Securities and Exchange Commission (the "SEC"), a Form ID and</w:t>
      </w:r>
    </w:p>
    <w:p>
      <w:pPr>
        <w:ind w:right="177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Forms 3, 4 and 5 (including amendments thereto and joint filing agreements in connection therewith) in accordance with Section 16 of the Securities Exchange Act of 1934, as amended (the "Exchange Act"), and the rules thereunder, in the undersigned's capacity as an officer, director or beneficial owner of more than 10% of a registered class of securities of the Company;</w:t>
      </w:r>
    </w:p>
    <w:p>
      <w:pPr>
        <w:spacing w:after="0" w:line="200" w:lineRule="exact"/>
        <w:rPr>
          <w:rFonts w:ascii="Courier New" w:cs="Courier New" w:eastAsia="Courier New" w:hAnsi="Courier New"/>
          <w:sz w:val="17"/>
          <w:szCs w:val="17"/>
          <w:color w:val="auto"/>
        </w:rPr>
      </w:pPr>
    </w:p>
    <w:p>
      <w:pPr>
        <w:ind w:right="739" w:firstLine="838"/>
        <w:spacing w:after="0" w:line="249" w:lineRule="auto"/>
        <w:tabs>
          <w:tab w:leader="none" w:pos="1663"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that may be necessary or desirable to prepare and execute any such Form ID and Forms</w:t>
      </w:r>
    </w:p>
    <w:p>
      <w:pPr>
        <w:ind w:right="1879"/>
        <w:spacing w:after="0" w:line="250"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3, 4 or 5 (including amendments thereto and joint filing agreements in connection therewith) and file such forms with the SEC and any stock exchange, self-regulatory association or any similar authority; and</w:t>
      </w:r>
    </w:p>
    <w:p>
      <w:pPr>
        <w:spacing w:after="0" w:line="197" w:lineRule="exact"/>
        <w:rPr>
          <w:rFonts w:ascii="Courier New" w:cs="Courier New" w:eastAsia="Courier New" w:hAnsi="Courier New"/>
          <w:sz w:val="17"/>
          <w:szCs w:val="17"/>
          <w:color w:val="auto"/>
        </w:rPr>
      </w:pPr>
    </w:p>
    <w:p>
      <w:pPr>
        <w:ind w:right="1359" w:firstLine="838"/>
        <w:spacing w:after="0" w:line="249" w:lineRule="auto"/>
        <w:tabs>
          <w:tab w:leader="none" w:pos="1663"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that, in the opinion of such attorney-in-fact, may be of benefit to,</w:t>
      </w:r>
    </w:p>
    <w:p>
      <w:pPr>
        <w:ind w:right="177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the best interest of, or legally required of the undersigned, it being understood that the documents executed by the attorney-in-fact on behalf of the undersigned pursuant to this Power of Attorney shall be in such form and shall contain such terms and conditions as the attorney-in-fact may approve in the attorney-in-fact's discretion.</w:t>
      </w:r>
    </w:p>
    <w:p>
      <w:pPr>
        <w:spacing w:after="0" w:line="200" w:lineRule="exact"/>
        <w:rPr>
          <w:sz w:val="20"/>
          <w:szCs w:val="20"/>
          <w:color w:val="auto"/>
        </w:rPr>
      </w:pPr>
    </w:p>
    <w:p>
      <w:pPr>
        <w:ind w:right="1479" w:firstLine="832"/>
        <w:spacing w:after="0" w:line="249" w:lineRule="auto"/>
        <w:rPr>
          <w:sz w:val="20"/>
          <w:szCs w:val="20"/>
          <w:color w:val="auto"/>
        </w:rPr>
      </w:pPr>
      <w:r>
        <w:rPr>
          <w:rFonts w:ascii="Courier New" w:cs="Courier New" w:eastAsia="Courier New" w:hAnsi="Courier New"/>
          <w:sz w:val="17"/>
          <w:szCs w:val="17"/>
          <w:color w:val="auto"/>
        </w:rPr>
        <w:t>The undersigned hereby grants to each such attorney in 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 in fact, or such attorney in fact's substitute or substitutes, shall lawfully do or cause to be done by virtue of this power of attorney and the rights and powers herein granted. The undersigned acknowledges that the foregoing attorneys-in-fact, and their substitutes, in serving in such capacity at the request of the undersigned, are not assuming (nor is the Company assuming) any of the undersigned's responsibilities to comply with Section 16 of the Exchange Act.</w:t>
      </w:r>
    </w:p>
    <w:p>
      <w:pPr>
        <w:spacing w:after="0" w:line="201" w:lineRule="exact"/>
        <w:rPr>
          <w:sz w:val="20"/>
          <w:szCs w:val="20"/>
          <w:color w:val="auto"/>
        </w:rPr>
      </w:pPr>
    </w:p>
    <w:p>
      <w:pPr>
        <w:ind w:right="959" w:firstLine="832"/>
        <w:spacing w:after="0" w:line="249" w:lineRule="auto"/>
        <w:rPr>
          <w:sz w:val="20"/>
          <w:szCs w:val="20"/>
          <w:color w:val="auto"/>
        </w:rPr>
      </w:pPr>
      <w:r>
        <w:rPr>
          <w:rFonts w:ascii="Courier New" w:cs="Courier New" w:eastAsia="Courier New" w:hAnsi="Courier New"/>
          <w:sz w:val="17"/>
          <w:szCs w:val="17"/>
          <w:color w:val="auto"/>
        </w:rPr>
        <w:t>This Power of Attorney shall remain in full force and effect until the earliest to occur of (a) the undersigned is no longer required to file Forms 3, 4 and 5</w:t>
      </w:r>
    </w:p>
    <w:p>
      <w:pPr>
        <w:ind w:right="1679"/>
        <w:spacing w:after="0" w:line="249" w:lineRule="auto"/>
        <w:rPr>
          <w:sz w:val="20"/>
          <w:szCs w:val="20"/>
          <w:color w:val="auto"/>
        </w:rPr>
      </w:pPr>
      <w:r>
        <w:rPr>
          <w:rFonts w:ascii="Courier New" w:cs="Courier New" w:eastAsia="Courier New" w:hAnsi="Courier New"/>
          <w:sz w:val="17"/>
          <w:szCs w:val="17"/>
          <w:color w:val="auto"/>
        </w:rPr>
        <w:t>with respect to the undersigned's holdings of and transactions in securities issued by the Company, (b) revocation by the undersigned in a signed writing delivered to the Company and the foregoing attorneys-in fact or (c) as to any attorney-in-fact individually, until such attorney-in-fact is no longer employed by the Company or employed by or a partner at Cooley LLP or another law firm representing the Company, as applicable.</w:t>
      </w:r>
    </w:p>
    <w:p>
      <w:pPr>
        <w:spacing w:after="0" w:line="200" w:lineRule="exact"/>
        <w:rPr>
          <w:sz w:val="20"/>
          <w:szCs w:val="20"/>
          <w:color w:val="auto"/>
        </w:rPr>
      </w:pPr>
    </w:p>
    <w:p>
      <w:pPr>
        <w:ind w:right="1359" w:firstLine="832"/>
        <w:spacing w:after="0" w:line="251"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the date written below.</w:t>
      </w: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 December 14, 2022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By: /s/ Kate Shamsuddin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Name: Kate Shamsuddin</w:t>
      </w:r>
    </w:p>
    <w:sectPr>
      <w:pgSz w:w="11900" w:h="16838" w:orient="portrait"/>
      <w:cols w:equalWidth="0" w:num="1">
        <w:col w:w="9999"/>
      </w:cols>
      <w:pgMar w:left="46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78756" TargetMode="External"/><Relationship Id="rId13" Type="http://schemas.openxmlformats.org/officeDocument/2006/relationships/hyperlink" Target="http://www.sec.gov/cgi-bin/browse-edgar?action=getcompany&amp;CIK=000186179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2022-12-16T15:40:24Z</dcterms:created>
  <dcterms:modified xsi:type="dcterms:W3CDTF">2022-12-16T15:40:24Z</dcterms:modified>
</cp:coreProperties>
</file>