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1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March 31, 2023</w:t>
      </w:r>
    </w:p>
    <w:p>
      <w:pPr>
        <w:spacing w:after="0" w:line="12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320" w:type="dxa"/>
            <w:vAlign w:val="bottom"/>
          </w:tcPr>
          <w:p>
            <w:pPr>
              <w:ind w:left="40"/>
              <w:spacing w:after="0"/>
              <w:rPr>
                <w:sz w:val="20"/>
                <w:szCs w:val="20"/>
                <w:color w:val="auto"/>
              </w:rPr>
            </w:pPr>
            <w:r>
              <w:rPr>
                <w:rFonts w:ascii="Arial" w:cs="Arial" w:eastAsia="Arial" w:hAnsi="Arial"/>
                <w:sz w:val="16"/>
                <w:szCs w:val="16"/>
                <w:b w:val="1"/>
                <w:bCs w:val="1"/>
                <w:color w:val="auto"/>
              </w:rPr>
              <w:t>to</w:t>
            </w:r>
          </w:p>
        </w:tc>
      </w:tr>
      <w:tr>
        <w:trPr>
          <w:trHeight w:val="325"/>
        </w:trPr>
        <w:tc>
          <w:tcPr>
            <w:tcW w:w="3260" w:type="dxa"/>
            <w:vAlign w:val="bottom"/>
            <w:gridSpan w:val="3"/>
          </w:tcPr>
          <w:p>
            <w:pPr>
              <w:ind w:left="740"/>
              <w:spacing w:after="0"/>
              <w:rPr>
                <w:sz w:val="20"/>
                <w:szCs w:val="20"/>
                <w:color w:val="auto"/>
              </w:rPr>
            </w:pPr>
            <w:r>
              <w:rPr>
                <w:rFonts w:ascii="Arial" w:cs="Arial" w:eastAsia="Arial" w:hAnsi="Arial"/>
                <w:sz w:val="16"/>
                <w:szCs w:val="16"/>
                <w:b w:val="1"/>
                <w:bCs w:val="1"/>
                <w:color w:val="auto"/>
                <w:w w:val="91"/>
              </w:rPr>
              <w:t>Commission File Number 001-40815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Definitive Healthcare Corp.</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7600" w:type="dxa"/>
            <w:vAlign w:val="bottom"/>
            <w:gridSpan w:val="7"/>
          </w:tcPr>
          <w:p>
            <w:pPr>
              <w:jc w:val="center"/>
              <w:ind w:left="350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80" w:type="dxa"/>
            <w:vAlign w:val="bottom"/>
            <w:gridSpan w:val="3"/>
            <w:vMerge w:val="restart"/>
          </w:tcPr>
          <w:p>
            <w:pPr>
              <w:jc w:val="center"/>
              <w:ind w:left="1023"/>
              <w:spacing w:after="0"/>
              <w:rPr>
                <w:sz w:val="20"/>
                <w:szCs w:val="20"/>
                <w:color w:val="auto"/>
              </w:rPr>
            </w:pPr>
            <w:r>
              <w:rPr>
                <w:rFonts w:ascii="Arial" w:cs="Arial" w:eastAsia="Arial" w:hAnsi="Arial"/>
                <w:sz w:val="16"/>
                <w:szCs w:val="16"/>
                <w:b w:val="1"/>
                <w:bCs w:val="1"/>
                <w:color w:val="auto"/>
                <w:w w:val="93"/>
              </w:rPr>
              <w:t>Delaware</w:t>
            </w:r>
          </w:p>
        </w:tc>
        <w:tc>
          <w:tcPr>
            <w:tcW w:w="2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0" w:type="dxa"/>
            <w:vAlign w:val="bottom"/>
            <w:vMerge w:val="restart"/>
          </w:tcPr>
          <w:p>
            <w:pPr>
              <w:jc w:val="right"/>
              <w:ind w:right="2324"/>
              <w:spacing w:after="0"/>
              <w:rPr>
                <w:sz w:val="20"/>
                <w:szCs w:val="20"/>
                <w:color w:val="auto"/>
              </w:rPr>
            </w:pPr>
            <w:r>
              <w:rPr>
                <w:rFonts w:ascii="Arial" w:cs="Arial" w:eastAsia="Arial" w:hAnsi="Arial"/>
                <w:sz w:val="16"/>
                <w:szCs w:val="16"/>
                <w:b w:val="1"/>
                <w:bCs w:val="1"/>
                <w:color w:val="auto"/>
              </w:rPr>
              <w:t>86-3988281</w:t>
            </w:r>
          </w:p>
        </w:tc>
        <w:tc>
          <w:tcPr>
            <w:tcW w:w="0" w:type="dxa"/>
            <w:vAlign w:val="bottom"/>
          </w:tcPr>
          <w:p>
            <w:pPr>
              <w:spacing w:after="0"/>
              <w:rPr>
                <w:sz w:val="1"/>
                <w:szCs w:val="1"/>
                <w:color w:val="auto"/>
              </w:rPr>
            </w:pPr>
          </w:p>
        </w:tc>
      </w:tr>
      <w:tr>
        <w:trPr>
          <w:trHeight w:val="325"/>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480" w:type="dxa"/>
            <w:vAlign w:val="bottom"/>
            <w:gridSpan w:val="3"/>
          </w:tcPr>
          <w:p>
            <w:pPr>
              <w:jc w:val="center"/>
              <w:ind w:left="1043"/>
              <w:spacing w:after="0" w:line="15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0" w:type="dxa"/>
            <w:vAlign w:val="bottom"/>
          </w:tcPr>
          <w:p>
            <w:pPr>
              <w:jc w:val="center"/>
              <w:ind w:right="1884"/>
              <w:spacing w:after="0" w:line="15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480" w:type="dxa"/>
            <w:vAlign w:val="bottom"/>
            <w:gridSpan w:val="3"/>
          </w:tcPr>
          <w:p>
            <w:pPr>
              <w:jc w:val="center"/>
              <w:ind w:left="1043"/>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0" w:type="dxa"/>
            <w:vAlign w:val="bottom"/>
          </w:tcPr>
          <w:p>
            <w:pPr>
              <w:jc w:val="center"/>
              <w:ind w:right="190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63"/>
        </w:trPr>
        <w:tc>
          <w:tcPr>
            <w:tcW w:w="4480" w:type="dxa"/>
            <w:vAlign w:val="bottom"/>
            <w:gridSpan w:val="3"/>
          </w:tcPr>
          <w:p>
            <w:pPr>
              <w:jc w:val="center"/>
              <w:ind w:left="1023"/>
              <w:spacing w:after="0"/>
              <w:rPr>
                <w:sz w:val="20"/>
                <w:szCs w:val="20"/>
                <w:color w:val="auto"/>
              </w:rPr>
            </w:pPr>
            <w:r>
              <w:rPr>
                <w:rFonts w:ascii="Arial" w:cs="Arial" w:eastAsia="Arial" w:hAnsi="Arial"/>
                <w:sz w:val="16"/>
                <w:szCs w:val="16"/>
                <w:b w:val="1"/>
                <w:bCs w:val="1"/>
                <w:color w:val="auto"/>
                <w:w w:val="91"/>
              </w:rPr>
              <w:t>492 Old Connecticut Path, Suite 401</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80" w:type="dxa"/>
            <w:vAlign w:val="bottom"/>
            <w:gridSpan w:val="3"/>
          </w:tcPr>
          <w:p>
            <w:pPr>
              <w:jc w:val="center"/>
              <w:ind w:left="1023"/>
              <w:spacing w:after="0"/>
              <w:rPr>
                <w:sz w:val="20"/>
                <w:szCs w:val="20"/>
                <w:color w:val="auto"/>
              </w:rPr>
            </w:pPr>
            <w:r>
              <w:rPr>
                <w:rFonts w:ascii="Arial" w:cs="Arial" w:eastAsia="Arial" w:hAnsi="Arial"/>
                <w:sz w:val="16"/>
                <w:szCs w:val="16"/>
                <w:b w:val="1"/>
                <w:bCs w:val="1"/>
                <w:color w:val="auto"/>
                <w:w w:val="97"/>
              </w:rPr>
              <w:t>Framingham, MA</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0" w:type="dxa"/>
            <w:vAlign w:val="bottom"/>
          </w:tcPr>
          <w:p>
            <w:pPr>
              <w:jc w:val="right"/>
              <w:ind w:right="2504"/>
              <w:spacing w:after="0"/>
              <w:rPr>
                <w:sz w:val="20"/>
                <w:szCs w:val="20"/>
                <w:color w:val="auto"/>
              </w:rPr>
            </w:pPr>
            <w:r>
              <w:rPr>
                <w:rFonts w:ascii="Arial" w:cs="Arial" w:eastAsia="Arial" w:hAnsi="Arial"/>
                <w:sz w:val="16"/>
                <w:szCs w:val="16"/>
                <w:b w:val="1"/>
                <w:bCs w:val="1"/>
                <w:color w:val="auto"/>
              </w:rPr>
              <w:t>01701</w:t>
            </w:r>
          </w:p>
        </w:tc>
        <w:tc>
          <w:tcPr>
            <w:tcW w:w="0" w:type="dxa"/>
            <w:vAlign w:val="bottom"/>
          </w:tcPr>
          <w:p>
            <w:pPr>
              <w:spacing w:after="0"/>
              <w:rPr>
                <w:sz w:val="1"/>
                <w:szCs w:val="1"/>
                <w:color w:val="auto"/>
              </w:rPr>
            </w:pPr>
          </w:p>
        </w:tc>
      </w:tr>
      <w:tr>
        <w:trPr>
          <w:trHeight w:val="197"/>
        </w:trPr>
        <w:tc>
          <w:tcPr>
            <w:tcW w:w="4480" w:type="dxa"/>
            <w:vAlign w:val="bottom"/>
            <w:gridSpan w:val="3"/>
          </w:tcPr>
          <w:p>
            <w:pPr>
              <w:jc w:val="center"/>
              <w:ind w:left="102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0" w:type="dxa"/>
            <w:vAlign w:val="bottom"/>
          </w:tcPr>
          <w:p>
            <w:pPr>
              <w:jc w:val="center"/>
              <w:ind w:right="190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27"/>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1"/>
              </w:rPr>
              <w:t>(508) 720-4224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600" w:type="dxa"/>
            <w:vAlign w:val="bottom"/>
            <w:gridSpan w:val="7"/>
          </w:tcPr>
          <w:p>
            <w:pPr>
              <w:jc w:val="center"/>
              <w:ind w:left="3483"/>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480" w:type="dxa"/>
            <w:vAlign w:val="bottom"/>
            <w:gridSpan w:val="3"/>
            <w:vMerge w:val="restart"/>
          </w:tcPr>
          <w:p>
            <w:pPr>
              <w:ind w:left="50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4480" w:type="dxa"/>
            <w:vAlign w:val="bottom"/>
            <w:gridSpan w:val="3"/>
            <w:vMerge w:val="continue"/>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93"/>
        </w:trPr>
        <w:tc>
          <w:tcPr>
            <w:tcW w:w="44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Class A Common Stock, $0.001 par value</w:t>
            </w:r>
          </w:p>
        </w:tc>
        <w:tc>
          <w:tcPr>
            <w:tcW w:w="3120" w:type="dxa"/>
            <w:vAlign w:val="bottom"/>
            <w:gridSpan w:val="4"/>
          </w:tcPr>
          <w:p>
            <w:pPr>
              <w:jc w:val="center"/>
              <w:ind w:right="920"/>
              <w:spacing w:after="0"/>
              <w:rPr>
                <w:sz w:val="20"/>
                <w:szCs w:val="20"/>
                <w:color w:val="auto"/>
              </w:rPr>
            </w:pPr>
            <w:r>
              <w:rPr>
                <w:rFonts w:ascii="Arial" w:cs="Arial" w:eastAsia="Arial" w:hAnsi="Arial"/>
                <w:sz w:val="16"/>
                <w:szCs w:val="16"/>
                <w:b w:val="1"/>
                <w:bCs w:val="1"/>
                <w:color w:val="auto"/>
              </w:rPr>
              <w:t>DH</w:t>
            </w:r>
          </w:p>
        </w:tc>
        <w:tc>
          <w:tcPr>
            <w:tcW w:w="360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firstLine="50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180" w:firstLine="509"/>
        <w:spacing w:after="0" w:line="21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jc w:val="both"/>
        <w:ind w:right="24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7"/>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6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2" w:lineRule="exact"/>
        <w:rPr>
          <w:sz w:val="24"/>
          <w:szCs w:val="24"/>
          <w:color w:val="auto"/>
        </w:rPr>
      </w:pPr>
    </w:p>
    <w:p>
      <w:pPr>
        <w:ind w:right="80" w:firstLine="50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2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by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 2023, the number of outstanding shares of the registrant’s Class A Common Stock was 110,214,798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222885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33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Definitive Healthcare Corp. (“we,” “us,”, “our”, and the “Company”) is filing this Amendment No. 1 on Form 10-Q/A (the “Amendment”) to amend and restate certain items in its Quarterly Report on Form 10-Q for the quarter ended March 31, 2023, originally filed with the U.S. Securities and Exchange Commission (the “SEC”) on May 4, 2023 (the “Original Report”).</w:t>
      </w:r>
    </w:p>
    <w:p>
      <w:pPr>
        <w:spacing w:after="0" w:line="76"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In filing this Amendment, the Company is restating its previously issued unaudited condensed consolidated financial statements as of and for the quarterly periods ended March 31, 2023 and 2022, to account for material misstatements related to the collection of sales taxes on sales of services to customers as further described below (the “Misstatements”), along with other immaterial adjustments. Those previously issued financial statements should no longer be relied upon. In addition, we have filed an amendment to the Company’s Annual Report on Form 10-K for the year ended December 31, 2022 (together with this Amendment, the “Amended Reports”) to account for the Misstatements during the periods presented therein (such periods, together with the periods presented herein, the “Affected Periods”). All material restatement information that relates to the Misstatements will be included in the Amended Reports, and we do not intend to separately amend other filings that the Company has previously filed with the SEC.</w:t>
      </w:r>
    </w:p>
    <w:p>
      <w:pPr>
        <w:spacing w:after="0" w:line="5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Accordingly, investors and other readers should rely only on the financial information and other disclosures regarding the periods described above in the Amended Reports and in any other future filings with the SEC (as applicable) and should not rely on any previously issued or filed reports, press releases, corporate presentations or similar communications relating to the Affected Periods described above.</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Background and Effects of the Restatement</w:t>
      </w:r>
    </w:p>
    <w:p>
      <w:pPr>
        <w:spacing w:after="0" w:line="121"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In the first quarter of 2023, the Company began a review of its sales tax positions, and related accounting matters, with the assistance of outside consultants. As a result of the review, subsequent to the filing of the Original Report, the Company determined during the second quarter of 2023 that sales in certain states were subject to sales tax and that the Company had not assessed such sales tax on sales of its services to customers. The Company determined that it did not accrue sales taxes and corrected these misstatements by recording sales tax accruals through general and administrative expense as of the end of the Affected Periods. These accrual amounts assume that (i) customers who have not yet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its outreach with voluntary disclosures. The Company expects to make adjustments to the sales tax liability in future periods as and if it obtains any waivers of interest and penalties or other benefits from its voluntary disclosures and as and if it obtains additional documentation from customers supporting exemption from sales tax. In addition, the Company has corrected other immaterial errors. The Company has identified the Misstatements described below, and this Amendment restates the previously issued financial statements of the Company identified above and certain other related disclosures that were included in the Original Report.</w:t>
      </w:r>
    </w:p>
    <w:p>
      <w:pPr>
        <w:spacing w:after="0" w:line="64"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Misstatements that appeared in the previously issued financial statements of the Company were material. A summary of the impact of the adjustments described above, as of and for the three months ended March 31, 2023 and 2022, is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March 31, 2023</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553"/>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6"/>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As previously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6"/>
          </w:tcPr>
          <w:p>
            <w:pPr>
              <w:jc w:val="right"/>
              <w:ind w:right="110"/>
              <w:spacing w:after="0" w:line="133" w:lineRule="exact"/>
              <w:rPr>
                <w:sz w:val="20"/>
                <w:szCs w:val="20"/>
                <w:color w:val="auto"/>
              </w:rPr>
            </w:pPr>
            <w:r>
              <w:rPr>
                <w:rFonts w:ascii="Arial" w:cs="Arial" w:eastAsia="Arial" w:hAnsi="Arial"/>
                <w:sz w:val="14"/>
                <w:szCs w:val="14"/>
                <w:b w:val="1"/>
                <w:bCs w:val="1"/>
                <w:color w:val="auto"/>
                <w:w w:val="95"/>
              </w:rPr>
              <w:t>As previously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reported</w:t>
            </w:r>
          </w:p>
        </w:tc>
        <w:tc>
          <w:tcPr>
            <w:tcW w:w="9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1"/>
              </w:rPr>
              <w:t>As Restated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1"/>
              </w:rPr>
              <w:t>As Restated</w:t>
            </w: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(15,600</w:t>
            </w:r>
          </w:p>
        </w:tc>
        <w:tc>
          <w:tcPr>
            <w:tcW w:w="1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(15,972</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gridSpan w:val="2"/>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(13,057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loss attributable to noncontrolling interests</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5"/>
              <w:spacing w:after="0"/>
              <w:rPr>
                <w:sz w:val="20"/>
                <w:szCs w:val="20"/>
                <w:color w:val="auto"/>
              </w:rPr>
            </w:pPr>
            <w:r>
              <w:rPr>
                <w:rFonts w:ascii="Arial" w:cs="Arial" w:eastAsia="Arial" w:hAnsi="Arial"/>
                <w:sz w:val="18"/>
                <w:szCs w:val="18"/>
                <w:color w:val="auto"/>
              </w:rPr>
              <w:t>(3,783 )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(3,909 )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(4,433 )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(4,458 )</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Net loss attributable to Definitive Healthcare Corp.</w:t>
            </w: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(11,817 )</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(12,063 )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(8,624 )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(8,581 )</w:t>
            </w:r>
          </w:p>
        </w:tc>
        <w:tc>
          <w:tcPr>
            <w:tcW w:w="560" w:type="dxa"/>
            <w:vAlign w:val="bottom"/>
          </w:tcPr>
          <w:p>
            <w:pPr>
              <w:spacing w:after="0"/>
              <w:rPr>
                <w:sz w:val="21"/>
                <w:szCs w:val="21"/>
                <w:color w:val="auto"/>
              </w:rPr>
            </w:pPr>
          </w:p>
        </w:tc>
      </w:tr>
      <w:tr>
        <w:trPr>
          <w:trHeight w:val="580"/>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2023</w:t>
            </w: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As previously reported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05"/>
              <w:spacing w:after="0"/>
              <w:rPr>
                <w:sz w:val="20"/>
                <w:szCs w:val="20"/>
                <w:color w:val="auto"/>
              </w:rPr>
            </w:pPr>
            <w:r>
              <w:rPr>
                <w:rFonts w:ascii="Arial" w:cs="Arial" w:eastAsia="Arial" w:hAnsi="Arial"/>
                <w:sz w:val="14"/>
                <w:szCs w:val="14"/>
                <w:b w:val="1"/>
                <w:bCs w:val="1"/>
                <w:color w:val="auto"/>
                <w:w w:val="88"/>
              </w:rPr>
              <w:t>As Restated</w:t>
            </w:r>
          </w:p>
        </w:tc>
        <w:tc>
          <w:tcPr>
            <w:tcW w:w="1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8"/>
          </w:tcPr>
          <w:p>
            <w:pPr>
              <w:ind w:left="40"/>
              <w:spacing w:after="0"/>
              <w:rPr>
                <w:sz w:val="20"/>
                <w:szCs w:val="20"/>
                <w:color w:val="auto"/>
              </w:rPr>
            </w:pPr>
            <w:r>
              <w:rPr>
                <w:rFonts w:ascii="Arial" w:cs="Arial" w:eastAsia="Arial" w:hAnsi="Arial"/>
                <w:sz w:val="14"/>
                <w:szCs w:val="14"/>
                <w:b w:val="1"/>
                <w:bCs w:val="1"/>
                <w:color w:val="auto"/>
                <w:w w:val="97"/>
              </w:rPr>
              <w:t>As previously reported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w w:val="91"/>
              </w:rPr>
              <w:t>As Restated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2,115,236</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2,116,867</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6"/>
            <w:shd w:val="clear" w:color="auto" w:fill="CFF0FC"/>
          </w:tcPr>
          <w:p>
            <w:pPr>
              <w:jc w:val="right"/>
              <w:spacing w:after="0"/>
              <w:rPr>
                <w:sz w:val="20"/>
                <w:szCs w:val="20"/>
                <w:color w:val="auto"/>
              </w:rPr>
            </w:pPr>
            <w:r>
              <w:rPr>
                <w:rFonts w:ascii="Arial" w:cs="Arial" w:eastAsia="Arial" w:hAnsi="Arial"/>
                <w:sz w:val="18"/>
                <w:szCs w:val="18"/>
                <w:color w:val="auto"/>
              </w:rPr>
              <w:t>2,120,993</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2,122,624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645,785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653,009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633,772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640,679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6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1,469,451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1,463,858</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1,487,221</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1,481,945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540"/>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ind w:left="520"/>
        <w:spacing w:after="0"/>
        <w:rPr>
          <w:sz w:val="20"/>
          <w:szCs w:val="20"/>
          <w:color w:val="auto"/>
        </w:rPr>
      </w:pPr>
      <w:r>
        <w:rPr>
          <w:rFonts w:ascii="Arial" w:cs="Arial" w:eastAsia="Arial" w:hAnsi="Arial"/>
          <w:sz w:val="18"/>
          <w:szCs w:val="18"/>
          <w:b w:val="1"/>
          <w:bCs w:val="1"/>
          <w:color w:val="auto"/>
        </w:rPr>
        <w:t>Restatement of Condensed Consolidated Financial Statements</w:t>
      </w:r>
    </w:p>
    <w:p>
      <w:pPr>
        <w:spacing w:after="0" w:line="121"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This Amendment includes unaudited restated condensed consolidated financial statements for the fiscal quarters ended March 31, 2023 and 2022. In addition to correcting the Misstatements, the restated consolidated financial statements for the fiscal quarters ended March 31, 2023 and 2022 also correct previously identified misstatements that the Company determined to be immaterial, both individually and in the aggregate. For additional information, see Note 2 of “Notes to the Condensed Consolidated Financial Statements” in this Amendment.</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Internal Control Considerations</w:t>
      </w:r>
    </w:p>
    <w:p>
      <w:pPr>
        <w:spacing w:after="0" w:line="121" w:lineRule="exact"/>
        <w:rPr>
          <w:sz w:val="20"/>
          <w:szCs w:val="20"/>
          <w:color w:val="auto"/>
        </w:rPr>
      </w:pPr>
    </w:p>
    <w:p>
      <w:pPr>
        <w:jc w:val="both"/>
        <w:ind w:right="620" w:firstLine="509"/>
        <w:spacing w:after="0" w:line="263" w:lineRule="auto"/>
        <w:rPr>
          <w:sz w:val="20"/>
          <w:szCs w:val="20"/>
          <w:color w:val="auto"/>
        </w:rPr>
      </w:pPr>
      <w:r>
        <w:rPr>
          <w:rFonts w:ascii="Arial" w:cs="Arial" w:eastAsia="Arial" w:hAnsi="Arial"/>
          <w:sz w:val="18"/>
          <w:szCs w:val="18"/>
          <w:color w:val="auto"/>
        </w:rPr>
        <w:t>Management has reassessed its evaluation of the effectiveness of its internal control over financial reporting as of March 31, 2023 as further described in Part I, Item 4 of this Amendment, and concluded that a material weakness existed and that internal control over financial reporting and disclosure controls and procedures were not effective during the quarter ended March 31, 2023.</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Items Amended in this Filing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Amendment amends and restates the following items of the Original Report as of and for the fiscal quarter ended March 31, 2023:</w:t>
      </w:r>
    </w:p>
    <w:p>
      <w:pPr>
        <w:spacing w:after="0" w:line="11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 Item 1. Interim Financial Statements (Unaudited)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 Item 2. Management’s Discussion and Analysis of Financial Condition and Results of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 — Item 4. Controls and Procedures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 Item 1A. Risk Factors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 II — Item 6. Exhibits</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In accordance with Rule 12b-15 under the Securities Exchange Act of 1934, as amended (the “Exchange Act”), this Amendment includes new certifications specified in Rule 13a-14 under the Exchange Act, from the Company’s Chief Executive Officer and Chief Financial Officer dated as of the date of this Amendment.</w:t>
      </w:r>
    </w:p>
    <w:p>
      <w:pPr>
        <w:spacing w:after="0" w:line="76"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Pursuant to Rule 12b-15 under the Exchange Act, this Amendment contains only the items and exhibits to the Original Report that are being amended and restated, and unaffected items and exhibits are not included herein. Accordingly, this Amendment should be read in conjunction with the Original Report and with our filings with the SEC made after the Original Report, including any amendment to those filings. This Amendment continues to describe the conditions as of the date of the Original Report and, except as contained herein, we have not updated or modified the disclosures contained in the Original Report to reflect any events that have occurred after the Original Report. Accordingly, forward-looking statements included in this Amendment may represent management’s views as of the Original Report and should not be assumed to be accurate as of any date thereafter.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 on Form 10-Q/A to Quarterly Report on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Glossary</w:t>
            </w:r>
          </w:p>
        </w:tc>
        <w:tc>
          <w:tcPr>
            <w:tcW w:w="20" w:type="dxa"/>
            <w:vAlign w:val="bottom"/>
            <w:tcBorders>
              <w:bottom w:val="single" w:sz="8" w:color="0000EE"/>
            </w:tcBorders>
          </w:tcPr>
          <w:p>
            <w:pPr>
              <w:spacing w:after="0"/>
              <w:rPr>
                <w:sz w:val="24"/>
                <w:szCs w:val="24"/>
                <w:color w:val="auto"/>
              </w:rPr>
            </w:pPr>
          </w:p>
        </w:tc>
        <w:tc>
          <w:tcPr>
            <w:tcW w:w="8600" w:type="dxa"/>
            <w:vAlign w:val="bottom"/>
            <w:gridSpan w:val="15"/>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Cautionary Note Regarding Forward-Looking Statements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41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FINANCIAL INFORMATION</w:t>
            </w:r>
          </w:p>
        </w:tc>
        <w:tc>
          <w:tcPr>
            <w:tcW w:w="5120" w:type="dxa"/>
            <w:vAlign w:val="bottom"/>
            <w:gridSpan w:val="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20" w:type="dxa"/>
            <w:vAlign w:val="bottom"/>
            <w:tcBorders>
              <w:bottom w:val="single" w:sz="8" w:color="0000EE"/>
            </w:tcBorders>
          </w:tcPr>
          <w:p>
            <w:pPr>
              <w:spacing w:after="0"/>
              <w:rPr>
                <w:sz w:val="24"/>
                <w:szCs w:val="24"/>
                <w:color w:val="auto"/>
              </w:rPr>
            </w:pPr>
          </w:p>
        </w:tc>
        <w:tc>
          <w:tcPr>
            <w:tcW w:w="5580" w:type="dxa"/>
            <w:vAlign w:val="bottom"/>
            <w:gridSpan w:val="8"/>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Statements of Comprehensive Loss</w:t>
            </w:r>
          </w:p>
        </w:tc>
        <w:tc>
          <w:tcPr>
            <w:tcW w:w="4880" w:type="dxa"/>
            <w:vAlign w:val="bottom"/>
            <w:gridSpan w:val="3"/>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Changes in Total Equity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466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Notes to the Condensed Consolidated Financial Statements</w:t>
            </w:r>
          </w:p>
        </w:tc>
        <w:tc>
          <w:tcPr>
            <w:tcW w:w="20" w:type="dxa"/>
            <w:vAlign w:val="bottom"/>
            <w:tcBorders>
              <w:bottom w:val="single" w:sz="8" w:color="0000EE"/>
            </w:tcBorders>
          </w:tcPr>
          <w:p>
            <w:pPr>
              <w:spacing w:after="0"/>
              <w:rPr>
                <w:sz w:val="24"/>
                <w:szCs w:val="24"/>
                <w:color w:val="auto"/>
              </w:rPr>
            </w:pPr>
          </w:p>
        </w:tc>
        <w:tc>
          <w:tcPr>
            <w:tcW w:w="4980" w:type="dxa"/>
            <w:vAlign w:val="bottom"/>
            <w:gridSpan w:val="4"/>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26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80" w:type="dxa"/>
            <w:vAlign w:val="bottom"/>
            <w:gridSpan w:val="1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gridSpan w:val="3"/>
            <w:vMerge w:val="continue"/>
          </w:tcPr>
          <w:p>
            <w:pPr>
              <w:spacing w:after="0"/>
              <w:rPr>
                <w:sz w:val="24"/>
                <w:szCs w:val="24"/>
                <w:color w:val="auto"/>
              </w:rPr>
            </w:pPr>
          </w:p>
        </w:tc>
        <w:tc>
          <w:tcPr>
            <w:tcW w:w="18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5"/>
              </w:rPr>
              <w:t>OTHER INFORMATION</w:t>
            </w:r>
          </w:p>
        </w:tc>
        <w:tc>
          <w:tcPr>
            <w:tcW w:w="7380" w:type="dxa"/>
            <w:vAlign w:val="bottom"/>
            <w:gridSpan w:val="1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Risk Factors</w:t>
            </w:r>
          </w:p>
        </w:tc>
        <w:tc>
          <w:tcPr>
            <w:tcW w:w="8360" w:type="dxa"/>
            <w:vAlign w:val="bottom"/>
            <w:gridSpan w:val="14"/>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26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17"/>
          </w:tcPr>
          <w:p>
            <w:pPr>
              <w:ind w:left="4540"/>
              <w:spacing w:after="0"/>
              <w:rPr>
                <w:sz w:val="20"/>
                <w:szCs w:val="20"/>
                <w:color w:val="auto"/>
              </w:rPr>
            </w:pPr>
            <w:r>
              <w:rPr>
                <w:rFonts w:ascii="Arial" w:cs="Arial" w:eastAsia="Arial" w:hAnsi="Arial"/>
                <w:sz w:val="18"/>
                <w:szCs w:val="18"/>
                <w:color w:val="auto"/>
              </w:rPr>
              <w:t>4</w:t>
            </w:r>
          </w:p>
        </w:tc>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337"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As used in this Amendment, the terms identified below have the meanings specified below unless otherwise noted or the context indicates otherwise. References in this Amendment to “Definitive Healthcare Corp.” refer to Definitive Healthcare Corp. and not to any of its subsidiaries unless the context indicates otherwise. References in this Amendment to “Definitive Healthcare”, “Definitive”,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spacing w:after="0" w:line="377" w:lineRule="exact"/>
        <w:rPr>
          <w:sz w:val="20"/>
          <w:szCs w:val="20"/>
          <w:color w:val="auto"/>
        </w:rPr>
      </w:pPr>
    </w:p>
    <w:p>
      <w:pPr>
        <w:ind w:left="1020" w:right="240" w:hanging="503"/>
        <w:spacing w:after="0" w:line="25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AIDH Buyer</w:t>
      </w:r>
      <w:r>
        <w:rPr>
          <w:rFonts w:ascii="Arial" w:cs="Arial" w:eastAsia="Arial" w:hAnsi="Arial"/>
          <w:sz w:val="18"/>
          <w:szCs w:val="18"/>
          <w:color w:val="auto"/>
        </w:rPr>
        <w:t>” refers to AIDH Buyer, LLC, which is a wholly owned subsidiary of Definitive OpCo and the direct parent company of DH Holdings.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w:t>
      </w:r>
      <w:r>
        <w:rPr>
          <w:rFonts w:ascii="Arial" w:cs="Arial" w:eastAsia="Arial" w:hAnsi="Arial"/>
          <w:sz w:val="18"/>
          <w:szCs w:val="18"/>
          <w:color w:val="auto"/>
        </w:rPr>
        <w:t>” refers to funds affiliated with Advent International, a global private equity firm.</w:t>
      </w:r>
    </w:p>
    <w:p>
      <w:pPr>
        <w:spacing w:after="0" w:line="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AIDH Management Holdings, LLC</w:t>
      </w:r>
      <w:r>
        <w:rPr>
          <w:rFonts w:ascii="Arial" w:cs="Arial" w:eastAsia="Arial" w:hAnsi="Arial"/>
          <w:sz w:val="18"/>
          <w:szCs w:val="18"/>
          <w:color w:val="auto"/>
        </w:rPr>
        <w:t>” is a special purpose investment vehicle through which certain persons, primarily employees and certain legacy investors, indirectly hold interests in Definitive OpCo.</w:t>
      </w:r>
    </w:p>
    <w:p>
      <w:pPr>
        <w:jc w:val="both"/>
        <w:ind w:left="1020" w:right="8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LLC Agreement</w:t>
      </w:r>
      <w:r>
        <w:rPr>
          <w:rFonts w:ascii="Arial" w:cs="Arial" w:eastAsia="Arial" w:hAnsi="Arial"/>
          <w:sz w:val="18"/>
          <w:szCs w:val="18"/>
          <w:color w:val="auto"/>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w:t>
      </w:r>
      <w:r>
        <w:rPr>
          <w:rFonts w:ascii="Arial" w:cs="Arial" w:eastAsia="Arial" w:hAnsi="Arial"/>
          <w:sz w:val="18"/>
          <w:szCs w:val="18"/>
          <w:color w:val="auto"/>
        </w:rPr>
        <w:t>” refers to annualized recurring revenue as of period end.</w:t>
      </w:r>
    </w:p>
    <w:p>
      <w:pPr>
        <w:spacing w:after="0" w:line="9" w:lineRule="exact"/>
        <w:rPr>
          <w:rFonts w:ascii="Arial" w:cs="Arial" w:eastAsia="Arial" w:hAnsi="Arial"/>
          <w:sz w:val="18"/>
          <w:szCs w:val="18"/>
          <w:color w:val="auto"/>
        </w:rPr>
      </w:pPr>
    </w:p>
    <w:p>
      <w:pPr>
        <w:ind w:left="1020" w:right="14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Company</w:t>
      </w:r>
      <w:r>
        <w:rPr>
          <w:rFonts w:ascii="Arial" w:cs="Arial" w:eastAsia="Arial" w:hAnsi="Arial"/>
          <w:sz w:val="18"/>
          <w:szCs w:val="18"/>
          <w:color w:val="auto"/>
        </w:rPr>
        <w:t>” or “</w:t>
      </w:r>
      <w:r>
        <w:rPr>
          <w:rFonts w:ascii="Arial" w:cs="Arial" w:eastAsia="Arial" w:hAnsi="Arial"/>
          <w:sz w:val="18"/>
          <w:szCs w:val="18"/>
          <w:u w:val="single" w:color="auto"/>
          <w:color w:val="auto"/>
        </w:rPr>
        <w:t>Blocker Companies</w:t>
      </w:r>
      <w:r>
        <w:rPr>
          <w:rFonts w:ascii="Arial" w:cs="Arial" w:eastAsia="Arial" w:hAnsi="Arial"/>
          <w:sz w:val="18"/>
          <w:szCs w:val="18"/>
          <w:color w:val="auto"/>
        </w:rPr>
        <w:t>” refers to certain entities treated as corporations for U.S. federal income tax purposes that held LLC units in Definitive OpCo which, through the Reorganization Transactions, were merged into Definitive Healthcare Corp. and are now holders of Class A Common Stock.</w:t>
      </w:r>
    </w:p>
    <w:p>
      <w:pPr>
        <w:spacing w:after="0" w:line="1" w:lineRule="exact"/>
        <w:rPr>
          <w:rFonts w:ascii="Arial" w:cs="Arial" w:eastAsia="Arial" w:hAnsi="Arial"/>
          <w:sz w:val="18"/>
          <w:szCs w:val="18"/>
          <w:color w:val="auto"/>
        </w:rPr>
      </w:pPr>
    </w:p>
    <w:p>
      <w:pPr>
        <w:ind w:left="1020" w:right="6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Pre-IPO LLC Members</w:t>
      </w:r>
      <w:r>
        <w:rPr>
          <w:rFonts w:ascii="Arial" w:cs="Arial" w:eastAsia="Arial" w:hAnsi="Arial"/>
          <w:sz w:val="18"/>
          <w:szCs w:val="18"/>
          <w:color w:val="auto"/>
        </w:rPr>
        <w:t>” refers to certain Pre-IPO LLC Members who retained their equity ownership in Definitive OpCo in the form of LLC Units immediately following the consummation of the Reorganization Transactions.</w:t>
      </w:r>
    </w:p>
    <w:p>
      <w:pPr>
        <w:ind w:left="1020" w:right="46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OpCo</w:t>
      </w:r>
      <w:r>
        <w:rPr>
          <w:rFonts w:ascii="Arial" w:cs="Arial" w:eastAsia="Arial" w:hAnsi="Arial"/>
          <w:sz w:val="18"/>
          <w:szCs w:val="18"/>
          <w:color w:val="auto"/>
        </w:rPr>
        <w:t>” refers to AIDH TopCo, LLC, a Delaware limited liability company, and a subsidiary of Definitive Healthcare Corp., following the Reorganization Transactions.</w:t>
      </w:r>
    </w:p>
    <w:p>
      <w:pPr>
        <w:ind w:left="1020" w:right="8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DH Holdings</w:t>
      </w:r>
      <w:r>
        <w:rPr>
          <w:rFonts w:ascii="Arial" w:cs="Arial" w:eastAsia="Arial" w:hAnsi="Arial"/>
          <w:sz w:val="18"/>
          <w:szCs w:val="18"/>
          <w:color w:val="auto"/>
        </w:rPr>
        <w:t>” refers to Definitive Healthcare Holdings, LLC, a Delaware limited liability company and wholly-owned subsidiary of AIDH Buyer.</w:t>
      </w: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Units</w:t>
      </w:r>
      <w:r>
        <w:rPr>
          <w:rFonts w:ascii="Arial" w:cs="Arial" w:eastAsia="Arial" w:hAnsi="Arial"/>
          <w:sz w:val="18"/>
          <w:szCs w:val="18"/>
          <w:color w:val="auto"/>
        </w:rPr>
        <w:t>” refers to limited liability company interests in Definitive OpCo.</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Definitive Healthcare Corp.</w:t>
      </w:r>
    </w:p>
    <w:p>
      <w:pPr>
        <w:spacing w:after="0" w:line="9" w:lineRule="exact"/>
        <w:rPr>
          <w:rFonts w:ascii="Arial" w:cs="Arial" w:eastAsia="Arial" w:hAnsi="Arial"/>
          <w:sz w:val="18"/>
          <w:szCs w:val="18"/>
          <w:color w:val="auto"/>
        </w:rPr>
      </w:pPr>
    </w:p>
    <w:p>
      <w:pPr>
        <w:ind w:left="1020" w:right="20" w:hanging="503"/>
        <w:spacing w:after="0" w:line="26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NDR</w:t>
      </w:r>
      <w:r>
        <w:rPr>
          <w:rFonts w:ascii="Arial" w:cs="Arial" w:eastAsia="Arial" w:hAnsi="Arial"/>
          <w:sz w:val="17"/>
          <w:szCs w:val="17"/>
          <w:color w:val="auto"/>
        </w:rPr>
        <w:t>” or “</w:t>
      </w:r>
      <w:r>
        <w:rPr>
          <w:rFonts w:ascii="Arial" w:cs="Arial" w:eastAsia="Arial" w:hAnsi="Arial"/>
          <w:sz w:val="17"/>
          <w:szCs w:val="17"/>
          <w:u w:val="single" w:color="auto"/>
          <w:color w:val="auto"/>
        </w:rPr>
        <w:t>Net Dollar Retention Rate</w:t>
      </w:r>
      <w:r>
        <w:rPr>
          <w:rFonts w:ascii="Arial" w:cs="Arial" w:eastAsia="Arial" w:hAnsi="Arial"/>
          <w:sz w:val="17"/>
          <w:szCs w:val="17"/>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ind w:left="1020" w:right="28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LLC Members</w:t>
      </w:r>
      <w:r>
        <w:rPr>
          <w:rFonts w:ascii="Arial" w:cs="Arial" w:eastAsia="Arial" w:hAnsi="Arial"/>
          <w:sz w:val="18"/>
          <w:szCs w:val="18"/>
          <w:color w:val="auto"/>
        </w:rPr>
        <w:t>” refers to certain affiliates of Spectrum Equity, Jason Krantz, DH Holdings, AIDH Management Holdings, LLC, certain affiliates of 22C Capital, certain affiliates of Advent and certain other minority equity holders of Definitive OpCo prior to the Reorganization Transactions.</w:t>
      </w:r>
    </w:p>
    <w:p>
      <w:pPr>
        <w:spacing w:after="0" w:line="1" w:lineRule="exact"/>
        <w:rPr>
          <w:rFonts w:ascii="Arial" w:cs="Arial" w:eastAsia="Arial" w:hAnsi="Arial"/>
          <w:sz w:val="18"/>
          <w:szCs w:val="18"/>
          <w:color w:val="auto"/>
        </w:rPr>
      </w:pPr>
    </w:p>
    <w:p>
      <w:pPr>
        <w:ind w:left="1020" w:right="52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transactions completed in connection with the Company’s IPO as defined within Note 1 to our unaudited condensed consolidated financial statements included in Part I, Item 1 of this Amendment.</w:t>
      </w:r>
    </w:p>
    <w:p>
      <w:pPr>
        <w:ind w:left="1020" w:right="22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Parties</w:t>
      </w:r>
      <w:r>
        <w:rPr>
          <w:rFonts w:ascii="Arial" w:cs="Arial" w:eastAsia="Arial" w:hAnsi="Arial"/>
          <w:sz w:val="18"/>
          <w:szCs w:val="18"/>
          <w:color w:val="auto"/>
        </w:rPr>
        <w:t>” refers to the shareholders of the Blocker Companies prior to the merger of the Blocker Companies into Definitive Healthcare Corp.</w:t>
      </w: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Spectrum Equity</w:t>
      </w:r>
      <w:r>
        <w:rPr>
          <w:rFonts w:ascii="Arial" w:cs="Arial" w:eastAsia="Arial" w:hAnsi="Arial"/>
          <w:sz w:val="18"/>
          <w:szCs w:val="18"/>
          <w:color w:val="auto"/>
        </w:rPr>
        <w:t>” refers to investment funds associated with Spectrum Equity Management, L.P., a private equity firm.</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Advent, 22C Capital, and Spectrum Equity.</w:t>
      </w:r>
    </w:p>
    <w:p>
      <w:pPr>
        <w:spacing w:after="0" w:line="9" w:lineRule="exact"/>
        <w:rPr>
          <w:rFonts w:ascii="Arial" w:cs="Arial" w:eastAsia="Arial" w:hAnsi="Arial"/>
          <w:sz w:val="18"/>
          <w:szCs w:val="18"/>
          <w:color w:val="auto"/>
        </w:rPr>
      </w:pPr>
    </w:p>
    <w:p>
      <w:pPr>
        <w:ind w:left="1020" w:right="44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refers to the Tax Receivable Agreement, dated September 14, 2021, between Definitive Healthcare Corp., Definitive OpCo, and the TRA Parties.</w:t>
      </w:r>
    </w:p>
    <w:p>
      <w:pPr>
        <w:ind w:left="1020" w:right="52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Parties</w:t>
      </w:r>
      <w:r>
        <w:rPr>
          <w:rFonts w:ascii="Arial" w:cs="Arial" w:eastAsia="Arial" w:hAnsi="Arial"/>
          <w:sz w:val="18"/>
          <w:szCs w:val="18"/>
          <w:color w:val="auto"/>
        </w:rPr>
        <w:t>” refers to the Continuing Pre-IPO LLC Members, the Reorganization Parties, and any future party to the Tax Receivable Agreement.</w:t>
      </w: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22C Capital</w:t>
      </w:r>
      <w:r>
        <w:rPr>
          <w:rFonts w:ascii="Arial" w:cs="Arial" w:eastAsia="Arial" w:hAnsi="Arial"/>
          <w:sz w:val="18"/>
          <w:szCs w:val="18"/>
          <w:color w:val="auto"/>
        </w:rPr>
        <w:t>” refers to investment funds associated with 22C Capital LLC, a private equity firm.</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right="260" w:firstLine="509"/>
        <w:spacing w:after="0" w:line="301" w:lineRule="auto"/>
        <w:rPr>
          <w:sz w:val="20"/>
          <w:szCs w:val="20"/>
          <w:color w:val="auto"/>
        </w:rPr>
      </w:pPr>
      <w:r>
        <w:rPr>
          <w:rFonts w:ascii="Arial" w:cs="Arial" w:eastAsia="Arial" w:hAnsi="Arial"/>
          <w:sz w:val="16"/>
          <w:szCs w:val="16"/>
          <w:color w:val="auto"/>
        </w:rPr>
        <w:t>This Amendment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49"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spacing w:after="0" w:line="6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Part I, Item 1A, “Risk Factors,” in our Amendment No. 1 on Form 10-K/A to Annual Report on Form 10-K for the year ended December 31, 2022 (the “2022 Form 10-K/A”) filed with the SEC on August 14, 2023, and Part II, Item 1A in this Amendment and the other cautionary statements that are included elsewhere in this Amendment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PART I -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number of shares and par value)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w:t>
            </w:r>
          </w:p>
        </w:tc>
        <w:tc>
          <w:tcPr>
            <w:tcW w:w="1840" w:type="dxa"/>
            <w:vAlign w:val="bottom"/>
            <w:tcBorders>
              <w:bottom w:val="single" w:sz="8" w:color="auto"/>
            </w:tcBorders>
            <w:gridSpan w:val="3"/>
          </w:tcPr>
          <w:p>
            <w:pPr>
              <w:jc w:val="right"/>
              <w:ind w:right="1191"/>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124,961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146,934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218,955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184,939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51,801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14,711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portion of deferred contract costs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421,492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413,745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9,681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Deferred contract costs, net of current portion</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15,080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338,295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350,722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1,324,733</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1,324,733</w:t>
            </w:r>
          </w:p>
        </w:tc>
        <w:tc>
          <w:tcPr>
            <w:tcW w:w="100" w:type="dxa"/>
            <w:vAlign w:val="bottom"/>
          </w:tcPr>
          <w:p>
            <w:pPr>
              <w:spacing w:after="0"/>
              <w:rPr>
                <w:sz w:val="20"/>
                <w:szCs w:val="20"/>
                <w:color w:val="auto"/>
              </w:rPr>
            </w:pPr>
          </w:p>
        </w:tc>
      </w:tr>
      <w:tr>
        <w:trPr>
          <w:trHeight w:val="28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2,116,867</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2,122,624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4,535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105,362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99,692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term loan</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151,166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140,610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Long term liabilities: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Term loan, net of current portion</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252,465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255,765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Tax receivable agreements liability, net of current portion</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160,399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155,111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78,315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75,737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0"/>
                <w:szCs w:val="20"/>
                <w:color w:val="auto"/>
              </w:rPr>
            </w:pPr>
          </w:p>
        </w:tc>
      </w:tr>
      <w:tr>
        <w:trPr>
          <w:trHeight w:val="23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653,009</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640,679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774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Class A Common Stock, par value $0.001, 600,000,000 shares authorized, 110,162,665 and</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105,138,273 shares issued and outstanding at March 31, 2023 and December 31, 2022, respectively</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Class B Common Stock, par value $0.00001, 65,000,000 shares authorized, 45,626,933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w w:val="97"/>
              </w:rPr>
              <w:t>44,217,344 shares issued and outstanding, respectively, at March 31, 2023, and 50,433,101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48,923,952 shares issued and outstanding, respectively at December 31, 2022</w:t>
            </w:r>
          </w:p>
        </w:tc>
        <w:tc>
          <w:tcPr>
            <w:tcW w:w="200" w:type="dxa"/>
            <w:vAlign w:val="bottom"/>
          </w:tcPr>
          <w:p>
            <w:pPr>
              <w:spacing w:after="0"/>
              <w:rPr>
                <w:sz w:val="20"/>
                <w:szCs w:val="20"/>
                <w:color w:val="auto"/>
              </w:rPr>
            </w:pPr>
          </w:p>
        </w:tc>
        <w:tc>
          <w:tcPr>
            <w:tcW w:w="16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1,018,692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970,207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(37,125 )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(25,062 )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479,388</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533,027</w:t>
            </w:r>
          </w:p>
        </w:tc>
        <w:tc>
          <w:tcPr>
            <w:tcW w:w="100" w:type="dxa"/>
            <w:vAlign w:val="bottom"/>
          </w:tcPr>
          <w:p>
            <w:pPr>
              <w:spacing w:after="0"/>
              <w:rPr>
                <w:sz w:val="20"/>
                <w:szCs w:val="20"/>
                <w:color w:val="auto"/>
              </w:rPr>
            </w:pPr>
          </w:p>
        </w:tc>
      </w:tr>
      <w:tr>
        <w:trPr>
          <w:trHeight w:val="239"/>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1,463,858</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1,481,945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74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2,116,867</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2,122,624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-5768340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-5768340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-4516755</wp:posOffset>
            </wp:positionV>
            <wp:extent cx="122555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25550" cy="1797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-2005330</wp:posOffset>
            </wp:positionV>
            <wp:extent cx="6858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(amounts in thousands, except share amounts and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0" w:type="dxa"/>
            <w:vAlign w:val="bottom"/>
            <w:gridSpan w:val="5"/>
          </w:tcPr>
          <w:p>
            <w:pPr>
              <w:jc w:val="right"/>
              <w:ind w:right="901"/>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3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w:t>
            </w:r>
          </w:p>
        </w:tc>
        <w:tc>
          <w:tcPr>
            <w:tcW w:w="7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84"/>
              </w:rPr>
              <w:t>Restated)</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59,201</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50,124</w:t>
            </w: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exclusive of amortization</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20"/>
                <w:szCs w:val="20"/>
                <w:color w:val="auto"/>
              </w:rPr>
            </w:pPr>
          </w:p>
        </w:tc>
      </w:tr>
      <w:tr>
        <w:trPr>
          <w:trHeight w:val="237"/>
        </w:trPr>
        <w:tc>
          <w:tcPr>
            <w:tcW w:w="73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47,295</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23,423</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9,884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9,590</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Transaction, integration, and restructuring expenses</w:t>
            </w:r>
          </w:p>
        </w:tc>
        <w:tc>
          <w:tcPr>
            <w:tcW w:w="4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59,566</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50,362</w:t>
            </w: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(12,271</w:t>
            </w:r>
          </w:p>
        </w:tc>
        <w:tc>
          <w:tcPr>
            <w:tcW w:w="2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0"/>
                <w:szCs w:val="20"/>
                <w:color w:val="auto"/>
              </w:rPr>
            </w:pPr>
          </w:p>
        </w:tc>
        <w:tc>
          <w:tcPr>
            <w:tcW w:w="1580" w:type="dxa"/>
            <w:vAlign w:val="bottom"/>
            <w:gridSpan w:val="2"/>
          </w:tcPr>
          <w:p>
            <w:pPr>
              <w:jc w:val="right"/>
              <w:ind w:right="113"/>
              <w:spacing w:after="0"/>
              <w:rPr>
                <w:sz w:val="20"/>
                <w:szCs w:val="20"/>
                <w:color w:val="auto"/>
              </w:rPr>
            </w:pPr>
            <w:r>
              <w:rPr>
                <w:rFonts w:ascii="Arial" w:cs="Arial" w:eastAsia="Arial" w:hAnsi="Arial"/>
                <w:sz w:val="18"/>
                <w:szCs w:val="18"/>
                <w:color w:val="auto"/>
              </w:rPr>
              <w:t>(3,614 )</w:t>
            </w:r>
          </w:p>
        </w:tc>
        <w:tc>
          <w:tcPr>
            <w:tcW w:w="5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(1,954 )</w:t>
            </w:r>
          </w:p>
        </w:tc>
      </w:tr>
      <w:tr>
        <w:trPr>
          <w:trHeight w:val="249"/>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net</w:t>
            </w:r>
          </w:p>
        </w:tc>
        <w:tc>
          <w:tcPr>
            <w:tcW w:w="4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13"/>
              <w:spacing w:after="0"/>
              <w:rPr>
                <w:sz w:val="20"/>
                <w:szCs w:val="20"/>
                <w:color w:val="auto"/>
              </w:rPr>
            </w:pPr>
            <w:r>
              <w:rPr>
                <w:rFonts w:ascii="Arial" w:cs="Arial" w:eastAsia="Arial" w:hAnsi="Arial"/>
                <w:sz w:val="18"/>
                <w:szCs w:val="18"/>
                <w:color w:val="auto"/>
              </w:rPr>
              <w:t>(3,631 )</w:t>
            </w:r>
          </w:p>
        </w:tc>
        <w:tc>
          <w:tcPr>
            <w:tcW w:w="5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28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3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loss before income taxes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(16,682</w:t>
            </w:r>
          </w:p>
        </w:tc>
        <w:tc>
          <w:tcPr>
            <w:tcW w:w="2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20" w:type="dxa"/>
            <w:vAlign w:val="bottom"/>
          </w:tcPr>
          <w:p>
            <w:pPr>
              <w:ind w:left="380"/>
              <w:spacing w:after="0"/>
              <w:rPr>
                <w:sz w:val="20"/>
                <w:szCs w:val="20"/>
                <w:color w:val="auto"/>
              </w:rPr>
            </w:pPr>
            <w:r>
              <w:rPr>
                <w:rFonts w:ascii="Arial" w:cs="Arial" w:eastAsia="Arial" w:hAnsi="Arial"/>
                <w:sz w:val="18"/>
                <w:szCs w:val="18"/>
                <w:color w:val="auto"/>
              </w:rPr>
              <w:t>Benefit from income taxes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r>
      <w:tr>
        <w:trPr>
          <w:trHeight w:val="237"/>
        </w:trPr>
        <w:tc>
          <w:tcPr>
            <w:tcW w:w="73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(15,972</w:t>
            </w:r>
          </w:p>
        </w:tc>
        <w:tc>
          <w:tcPr>
            <w:tcW w:w="2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320" w:type="dxa"/>
            <w:vAlign w:val="bottom"/>
          </w:tcPr>
          <w:p>
            <w:pPr>
              <w:ind w:left="200"/>
              <w:spacing w:after="0"/>
              <w:rPr>
                <w:sz w:val="20"/>
                <w:szCs w:val="20"/>
                <w:color w:val="auto"/>
              </w:rPr>
            </w:pPr>
            <w:r>
              <w:rPr>
                <w:rFonts w:ascii="Arial" w:cs="Arial" w:eastAsia="Arial" w:hAnsi="Arial"/>
                <w:sz w:val="18"/>
                <w:szCs w:val="18"/>
                <w:color w:val="auto"/>
              </w:rPr>
              <w:t>Less: Net loss attributable to noncontrolling interests</w:t>
            </w:r>
          </w:p>
        </w:tc>
        <w:tc>
          <w:tcPr>
            <w:tcW w:w="400" w:type="dxa"/>
            <w:vAlign w:val="bottom"/>
          </w:tcPr>
          <w:p>
            <w:pPr>
              <w:spacing w:after="0"/>
              <w:rPr>
                <w:sz w:val="20"/>
                <w:szCs w:val="20"/>
                <w:color w:val="auto"/>
              </w:rPr>
            </w:pPr>
          </w:p>
        </w:tc>
        <w:tc>
          <w:tcPr>
            <w:tcW w:w="1580" w:type="dxa"/>
            <w:vAlign w:val="bottom"/>
            <w:gridSpan w:val="2"/>
          </w:tcPr>
          <w:p>
            <w:pPr>
              <w:jc w:val="right"/>
              <w:ind w:right="113"/>
              <w:spacing w:after="0"/>
              <w:rPr>
                <w:sz w:val="20"/>
                <w:szCs w:val="20"/>
                <w:color w:val="auto"/>
              </w:rPr>
            </w:pPr>
            <w:r>
              <w:rPr>
                <w:rFonts w:ascii="Arial" w:cs="Arial" w:eastAsia="Arial" w:hAnsi="Arial"/>
                <w:sz w:val="18"/>
                <w:szCs w:val="18"/>
                <w:color w:val="auto"/>
              </w:rPr>
              <w:t>(3,909 )</w:t>
            </w:r>
          </w:p>
        </w:tc>
        <w:tc>
          <w:tcPr>
            <w:tcW w:w="5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(4,458 )</w:t>
            </w:r>
          </w:p>
        </w:tc>
      </w:tr>
      <w:tr>
        <w:trPr>
          <w:trHeight w:val="283"/>
        </w:trPr>
        <w:tc>
          <w:tcPr>
            <w:tcW w:w="73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loss attributable to Definitive Healthcare Corp.</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(12,063</w:t>
            </w:r>
          </w:p>
        </w:tc>
        <w:tc>
          <w:tcPr>
            <w:tcW w:w="2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7"/>
        </w:trPr>
        <w:tc>
          <w:tcPr>
            <w:tcW w:w="7320" w:type="dxa"/>
            <w:vAlign w:val="bottom"/>
          </w:tcPr>
          <w:p>
            <w:pPr>
              <w:ind w:left="20"/>
              <w:spacing w:after="0"/>
              <w:rPr>
                <w:sz w:val="20"/>
                <w:szCs w:val="20"/>
                <w:color w:val="auto"/>
              </w:rPr>
            </w:pPr>
            <w:r>
              <w:rPr>
                <w:rFonts w:ascii="Arial" w:cs="Arial" w:eastAsia="Arial" w:hAnsi="Arial"/>
                <w:sz w:val="18"/>
                <w:szCs w:val="18"/>
                <w:color w:val="auto"/>
              </w:rPr>
              <w:t>Net loss per share of Class A Common Stock:</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9"/>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 and diluted</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113"/>
              <w:spacing w:after="0"/>
              <w:rPr>
                <w:sz w:val="20"/>
                <w:szCs w:val="20"/>
                <w:color w:val="auto"/>
              </w:rPr>
            </w:pPr>
            <w:r>
              <w:rPr>
                <w:rFonts w:ascii="Arial" w:cs="Arial" w:eastAsia="Arial" w:hAnsi="Arial"/>
                <w:sz w:val="18"/>
                <w:szCs w:val="18"/>
                <w:color w:val="auto"/>
              </w:rPr>
              <w:t>(0.11 )</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(0.09 )</w:t>
            </w:r>
          </w:p>
        </w:tc>
      </w:tr>
      <w:tr>
        <w:trPr>
          <w:trHeight w:val="217"/>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Class A Common Stock outstanding:</w:t>
            </w: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89"/>
        </w:trPr>
        <w:tc>
          <w:tcPr>
            <w:tcW w:w="7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 and diluted</w:t>
            </w:r>
          </w:p>
        </w:tc>
        <w:tc>
          <w:tcPr>
            <w:tcW w:w="40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108,234,043</w:t>
            </w:r>
          </w:p>
        </w:tc>
        <w:tc>
          <w:tcPr>
            <w:tcW w:w="2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97,158,823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-3539490</wp:posOffset>
            </wp:positionV>
            <wp:extent cx="685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-3539490</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-2605405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-2605405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5718810</wp:posOffset>
            </wp:positionH>
            <wp:positionV relativeFrom="paragraph">
              <wp:posOffset>-1675130</wp:posOffset>
            </wp:positionV>
            <wp:extent cx="13538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53820" cy="19685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-1019175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-1019175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-693420</wp:posOffset>
            </wp:positionV>
            <wp:extent cx="13284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8420" cy="17970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-359410</wp:posOffset>
            </wp:positionV>
            <wp:extent cx="13284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8420" cy="17970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4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w:t>
            </w:r>
          </w:p>
        </w:tc>
        <w:tc>
          <w:tcPr>
            <w:tcW w:w="1360" w:type="dxa"/>
            <w:vAlign w:val="bottom"/>
            <w:tcBorders>
              <w:bottom w:val="single" w:sz="8" w:color="auto"/>
            </w:tcBorders>
            <w:gridSpan w:val="2"/>
          </w:tcPr>
          <w:p>
            <w:pPr>
              <w:jc w:val="right"/>
              <w:ind w:right="736"/>
              <w:spacing w:after="0"/>
              <w:rPr>
                <w:sz w:val="20"/>
                <w:szCs w:val="20"/>
                <w:color w:val="auto"/>
              </w:rPr>
            </w:pPr>
            <w:r>
              <w:rPr>
                <w:rFonts w:ascii="Arial" w:cs="Arial" w:eastAsia="Arial" w:hAnsi="Arial"/>
                <w:sz w:val="14"/>
                <w:szCs w:val="14"/>
                <w:b w:val="1"/>
                <w:bCs w:val="1"/>
                <w:color w:val="auto"/>
                <w:w w:val="81"/>
              </w:rPr>
              <w:t>Restated)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w w:val="94"/>
              </w:rPr>
              <w:t>(15,972 )</w:t>
            </w: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(13,039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r>
      <w:tr>
        <w:trPr>
          <w:trHeight w:val="237"/>
        </w:trPr>
        <w:tc>
          <w:tcPr>
            <w:tcW w:w="7420" w:type="dxa"/>
            <w:vAlign w:val="bottom"/>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(309 )</w:t>
            </w:r>
          </w:p>
        </w:tc>
      </w:tr>
      <w:tr>
        <w:trPr>
          <w:trHeight w:val="243"/>
        </w:trPr>
        <w:tc>
          <w:tcPr>
            <w:tcW w:w="7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gain on interest rate hedging instruments</w:t>
            </w:r>
          </w:p>
        </w:tc>
        <w:tc>
          <w:tcPr>
            <w:tcW w:w="10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(1,355 )</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FF0FC"/>
          </w:tcPr>
          <w:p>
            <w:pPr>
              <w:spacing w:after="0"/>
              <w:rPr>
                <w:sz w:val="21"/>
                <w:szCs w:val="21"/>
                <w:color w:val="auto"/>
              </w:rPr>
            </w:pPr>
          </w:p>
        </w:tc>
      </w:tr>
      <w:tr>
        <w:trPr>
          <w:trHeight w:val="20"/>
        </w:trPr>
        <w:tc>
          <w:tcPr>
            <w:tcW w:w="74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Comprehensive loss</w:t>
            </w:r>
          </w:p>
        </w:tc>
        <w:tc>
          <w:tcPr>
            <w:tcW w:w="1080" w:type="dxa"/>
            <w:vAlign w:val="bottom"/>
          </w:tcPr>
          <w:p>
            <w:pPr>
              <w:spacing w:after="0"/>
              <w:rPr>
                <w:sz w:val="20"/>
                <w:szCs w:val="20"/>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w w:val="94"/>
              </w:rPr>
              <w:t>(17,219 )</w:t>
            </w:r>
          </w:p>
        </w:tc>
        <w:tc>
          <w:tcPr>
            <w:tcW w:w="10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(11,696 )</w:t>
            </w:r>
          </w:p>
        </w:tc>
      </w:tr>
      <w:tr>
        <w:trPr>
          <w:trHeight w:val="243"/>
        </w:trPr>
        <w:tc>
          <w:tcPr>
            <w:tcW w:w="7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0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(4,281 )</w:t>
            </w:r>
          </w:p>
        </w:tc>
        <w:tc>
          <w:tcPr>
            <w:tcW w:w="10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(3,971 )</w:t>
            </w:r>
          </w:p>
        </w:tc>
      </w:tr>
      <w:tr>
        <w:trPr>
          <w:trHeight w:val="20"/>
        </w:trPr>
        <w:tc>
          <w:tcPr>
            <w:tcW w:w="74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Comprehensive loss attributable to Definitive Healthcare Corp.</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w w:val="94"/>
              </w:rPr>
              <w:t>(12,938 )</w:t>
            </w: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(7,725 )</w:t>
            </w:r>
          </w:p>
        </w:tc>
      </w:tr>
      <w:tr>
        <w:trPr>
          <w:trHeight w:val="20"/>
        </w:trPr>
        <w:tc>
          <w:tcPr>
            <w:tcW w:w="7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-504825</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-187960</wp:posOffset>
            </wp:positionV>
            <wp:extent cx="6858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CONDENSED CONSOLIDATED STATEMENTS OF CHANGES IN TOTAL EQUITY</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(amounts in thousands, except share amounts)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(Unaudited)</w:t>
      </w:r>
    </w:p>
    <w:p>
      <w:pPr>
        <w:sectPr>
          <w:pgSz w:w="11900" w:h="16838" w:orient="portrait"/>
          <w:cols w:equalWidth="0" w:num="1">
            <w:col w:w="11220"/>
          </w:cols>
          <w:pgMar w:left="34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Balance at January 1, 2023, as restated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loss, as restated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Vested incentive units</w:t>
      </w:r>
    </w:p>
    <w:p>
      <w:pPr>
        <w:spacing w:after="0" w:line="46" w:lineRule="exact"/>
        <w:rPr>
          <w:sz w:val="20"/>
          <w:szCs w:val="20"/>
          <w:color w:val="auto"/>
        </w:rPr>
      </w:pPr>
    </w:p>
    <w:p>
      <w:pPr>
        <w:ind w:right="280"/>
        <w:spacing w:after="0" w:line="322" w:lineRule="auto"/>
        <w:rPr>
          <w:sz w:val="20"/>
          <w:szCs w:val="20"/>
          <w:color w:val="auto"/>
        </w:rPr>
      </w:pPr>
      <w:r>
        <w:rPr>
          <w:rFonts w:ascii="Arial" w:cs="Arial" w:eastAsia="Arial" w:hAnsi="Arial"/>
          <w:sz w:val="14"/>
          <w:szCs w:val="14"/>
          <w:color w:val="auto"/>
        </w:rPr>
        <w:t>Issuance of Class A Common Stock upon vesting of RSUs</w:t>
      </w:r>
    </w:p>
    <w:p>
      <w:pPr>
        <w:ind w:right="280"/>
        <w:spacing w:after="0" w:line="281" w:lineRule="auto"/>
        <w:rPr>
          <w:sz w:val="20"/>
          <w:szCs w:val="20"/>
          <w:color w:val="auto"/>
        </w:rPr>
      </w:pPr>
      <w:r>
        <w:rPr>
          <w:rFonts w:ascii="Arial" w:cs="Arial" w:eastAsia="Arial" w:hAnsi="Arial"/>
          <w:sz w:val="16"/>
          <w:szCs w:val="16"/>
          <w:color w:val="auto"/>
        </w:rPr>
        <w:t>Shares withheld related to net share settlement</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Effect of LLC unit exchanges, as restated</w:t>
      </w:r>
    </w:p>
    <w:p>
      <w:pPr>
        <w:spacing w:after="0" w:line="1" w:lineRule="exact"/>
        <w:rPr>
          <w:sz w:val="20"/>
          <w:szCs w:val="20"/>
          <w:color w:val="auto"/>
        </w:rPr>
      </w:pPr>
    </w:p>
    <w:p>
      <w:pPr>
        <w:spacing w:after="0" w:line="339" w:lineRule="auto"/>
        <w:rPr>
          <w:sz w:val="20"/>
          <w:szCs w:val="20"/>
          <w:color w:val="auto"/>
        </w:rPr>
      </w:pPr>
      <w:r>
        <w:rPr>
          <w:rFonts w:ascii="Arial" w:cs="Arial" w:eastAsia="Arial" w:hAnsi="Arial"/>
          <w:sz w:val="14"/>
          <w:szCs w:val="14"/>
          <w:color w:val="auto"/>
        </w:rPr>
        <w:t>Forfeited unvested incentive units Equity-based compensation</w:t>
      </w:r>
    </w:p>
    <w:p>
      <w:pPr>
        <w:ind w:right="140"/>
        <w:spacing w:after="0" w:line="298" w:lineRule="auto"/>
        <w:rPr>
          <w:sz w:val="20"/>
          <w:szCs w:val="20"/>
          <w:color w:val="auto"/>
        </w:rPr>
      </w:pPr>
      <w:r>
        <w:rPr>
          <w:rFonts w:ascii="Arial" w:cs="Arial" w:eastAsia="Arial" w:hAnsi="Arial"/>
          <w:sz w:val="16"/>
          <w:szCs w:val="16"/>
          <w:b w:val="1"/>
          <w:bCs w:val="1"/>
          <w:color w:val="auto"/>
        </w:rPr>
        <w:t>Balance at March 31, 2023, as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Balance at January 1, 2022, as restated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loss, as restated</w:t>
      </w:r>
    </w:p>
    <w:p>
      <w:pPr>
        <w:spacing w:after="0" w:line="46" w:lineRule="exact"/>
        <w:rPr>
          <w:sz w:val="20"/>
          <w:szCs w:val="20"/>
          <w:color w:val="auto"/>
        </w:rPr>
      </w:pPr>
    </w:p>
    <w:p>
      <w:pPr>
        <w:ind w:right="300"/>
        <w:spacing w:after="0" w:line="342" w:lineRule="auto"/>
        <w:rPr>
          <w:sz w:val="20"/>
          <w:szCs w:val="20"/>
          <w:color w:val="auto"/>
        </w:rPr>
      </w:pPr>
      <w:r>
        <w:rPr>
          <w:rFonts w:ascii="Arial" w:cs="Arial" w:eastAsia="Arial" w:hAnsi="Arial"/>
          <w:sz w:val="14"/>
          <w:szCs w:val="14"/>
          <w:color w:val="auto"/>
        </w:rPr>
        <w:t>Other comprehensive income Vested incentive units</w:t>
      </w:r>
    </w:p>
    <w:p>
      <w:pPr>
        <w:ind w:right="60"/>
        <w:spacing w:after="0" w:line="281" w:lineRule="auto"/>
        <w:rPr>
          <w:sz w:val="20"/>
          <w:szCs w:val="20"/>
          <w:color w:val="auto"/>
        </w:rPr>
      </w:pPr>
      <w:r>
        <w:rPr>
          <w:rFonts w:ascii="Arial" w:cs="Arial" w:eastAsia="Arial" w:hAnsi="Arial"/>
          <w:sz w:val="16"/>
          <w:szCs w:val="16"/>
          <w:color w:val="auto"/>
        </w:rPr>
        <w:t>Effect of LLC unit exchanges, as restated</w:t>
      </w:r>
    </w:p>
    <w:p>
      <w:pPr>
        <w:spacing w:after="0" w:line="1" w:lineRule="exact"/>
        <w:rPr>
          <w:sz w:val="20"/>
          <w:szCs w:val="20"/>
          <w:color w:val="auto"/>
        </w:rPr>
      </w:pPr>
    </w:p>
    <w:p>
      <w:pPr>
        <w:spacing w:after="0" w:line="342" w:lineRule="auto"/>
        <w:rPr>
          <w:sz w:val="20"/>
          <w:szCs w:val="20"/>
          <w:color w:val="auto"/>
        </w:rPr>
      </w:pPr>
      <w:r>
        <w:rPr>
          <w:rFonts w:ascii="Arial" w:cs="Arial" w:eastAsia="Arial" w:hAnsi="Arial"/>
          <w:sz w:val="14"/>
          <w:szCs w:val="14"/>
          <w:color w:val="auto"/>
        </w:rPr>
        <w:t>Forfeited unvested incentive units Equity-based compensation</w:t>
      </w:r>
    </w:p>
    <w:p>
      <w:pPr>
        <w:ind w:right="200"/>
        <w:spacing w:after="0" w:line="279" w:lineRule="auto"/>
        <w:rPr>
          <w:sz w:val="20"/>
          <w:szCs w:val="20"/>
          <w:color w:val="auto"/>
        </w:rPr>
      </w:pPr>
      <w:r>
        <w:rPr>
          <w:rFonts w:ascii="Arial" w:cs="Arial" w:eastAsia="Arial" w:hAnsi="Arial"/>
          <w:sz w:val="16"/>
          <w:szCs w:val="16"/>
          <w:color w:val="auto"/>
        </w:rPr>
        <w:t>Distributions to noncontrolling interests</w:t>
      </w:r>
    </w:p>
    <w:p>
      <w:pPr>
        <w:ind w:right="140"/>
        <w:spacing w:after="0" w:line="298" w:lineRule="auto"/>
        <w:rPr>
          <w:sz w:val="20"/>
          <w:szCs w:val="20"/>
          <w:color w:val="auto"/>
        </w:rPr>
      </w:pPr>
      <w:r>
        <w:rPr>
          <w:rFonts w:ascii="Arial" w:cs="Arial" w:eastAsia="Arial" w:hAnsi="Arial"/>
          <w:sz w:val="16"/>
          <w:szCs w:val="16"/>
          <w:b w:val="1"/>
          <w:bCs w:val="1"/>
          <w:color w:val="auto"/>
        </w:rPr>
        <w:t>Balance at March 31, 2022, as restated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597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97525" cy="889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5"/>
        </w:trPr>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w:t>
            </w:r>
          </w:p>
        </w:tc>
        <w:tc>
          <w:tcPr>
            <w:tcW w:w="9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Noncontrollin</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Class A</w:t>
            </w:r>
          </w:p>
        </w:tc>
        <w:tc>
          <w:tcPr>
            <w:tcW w:w="16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b w:val="1"/>
                <w:bCs w:val="1"/>
                <w:color w:val="auto"/>
              </w:rPr>
              <w:t>Class A</w:t>
            </w:r>
          </w:p>
        </w:tc>
        <w:tc>
          <w:tcPr>
            <w:tcW w:w="1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Class B</w:t>
            </w:r>
          </w:p>
        </w:tc>
        <w:tc>
          <w:tcPr>
            <w:tcW w:w="10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3"/>
                <w:szCs w:val="13"/>
                <w:b w:val="1"/>
                <w:bCs w:val="1"/>
                <w:color w:val="auto"/>
              </w:rPr>
              <w:t>Class B</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Paid-In</w:t>
            </w:r>
          </w:p>
        </w:tc>
        <w:tc>
          <w:tcPr>
            <w:tcW w:w="1040" w:type="dxa"/>
            <w:vAlign w:val="bottom"/>
            <w:gridSpan w:val="4"/>
          </w:tcPr>
          <w:p>
            <w:pPr>
              <w:jc w:val="center"/>
              <w:ind w:right="177"/>
              <w:spacing w:after="0"/>
              <w:rPr>
                <w:sz w:val="20"/>
                <w:szCs w:val="20"/>
                <w:color w:val="auto"/>
              </w:rPr>
            </w:pPr>
            <w:r>
              <w:rPr>
                <w:rFonts w:ascii="Arial" w:cs="Arial" w:eastAsia="Arial" w:hAnsi="Arial"/>
                <w:sz w:val="13"/>
                <w:szCs w:val="13"/>
                <w:b w:val="1"/>
                <w:bCs w:val="1"/>
                <w:color w:val="auto"/>
                <w:w w:val="88"/>
              </w:rPr>
              <w:t>Accumulated</w:t>
            </w:r>
          </w:p>
        </w:tc>
        <w:tc>
          <w:tcPr>
            <w:tcW w:w="7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74"/>
              </w:rPr>
              <w:t>ve</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r>
      <w:tr>
        <w:trPr>
          <w:trHeight w:val="165"/>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4"/>
                <w:szCs w:val="14"/>
                <w:color w:val="auto"/>
              </w:rPr>
            </w:pPr>
          </w:p>
        </w:tc>
      </w:tr>
      <w:tr>
        <w:trPr>
          <w:trHeight w:val="407"/>
        </w:trPr>
        <w:tc>
          <w:tcPr>
            <w:tcW w:w="1180" w:type="dxa"/>
            <w:vAlign w:val="bottom"/>
          </w:tcPr>
          <w:p>
            <w:pPr>
              <w:jc w:val="right"/>
              <w:spacing w:after="0"/>
              <w:rPr>
                <w:sz w:val="20"/>
                <w:szCs w:val="20"/>
                <w:color w:val="auto"/>
              </w:rPr>
            </w:pPr>
            <w:r>
              <w:rPr>
                <w:rFonts w:ascii="Arial" w:cs="Arial" w:eastAsia="Arial" w:hAnsi="Arial"/>
                <w:sz w:val="16"/>
                <w:szCs w:val="16"/>
                <w:color w:val="auto"/>
              </w:rPr>
              <w:t>105,138,273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50,433,101</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970,207</w:t>
            </w:r>
          </w:p>
        </w:tc>
        <w:tc>
          <w:tcPr>
            <w:tcW w:w="100" w:type="dxa"/>
            <w:vAlign w:val="bottom"/>
          </w:tcPr>
          <w:p>
            <w:pPr>
              <w:spacing w:after="0"/>
              <w:rPr>
                <w:sz w:val="24"/>
                <w:szCs w:val="24"/>
                <w:color w:val="auto"/>
              </w:rPr>
            </w:pPr>
          </w:p>
        </w:tc>
        <w:tc>
          <w:tcPr>
            <w:tcW w:w="220" w:type="dxa"/>
            <w:vAlign w:val="bottom"/>
          </w:tcPr>
          <w:p>
            <w:pPr>
              <w:jc w:val="right"/>
              <w:ind w:right="45"/>
              <w:spacing w:after="0"/>
              <w:rPr>
                <w:sz w:val="20"/>
                <w:szCs w:val="20"/>
                <w:color w:val="auto"/>
              </w:rPr>
            </w:pPr>
            <w:r>
              <w:rPr>
                <w:rFonts w:ascii="Arial" w:cs="Arial" w:eastAsia="Arial" w:hAnsi="Arial"/>
                <w:sz w:val="16"/>
                <w:szCs w:val="16"/>
                <w:color w:val="auto"/>
                <w:w w:val="89"/>
              </w:rPr>
              <w:t>$</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w w:val="98"/>
              </w:rPr>
              <w:t>(25,062 ) $</w:t>
            </w:r>
          </w:p>
        </w:tc>
        <w:tc>
          <w:tcPr>
            <w:tcW w:w="620" w:type="dxa"/>
            <w:vAlign w:val="bottom"/>
          </w:tcPr>
          <w:p>
            <w:pPr>
              <w:jc w:val="right"/>
              <w:spacing w:after="0"/>
              <w:rPr>
                <w:sz w:val="20"/>
                <w:szCs w:val="20"/>
                <w:color w:val="auto"/>
              </w:rPr>
            </w:pPr>
            <w:r>
              <w:rPr>
                <w:rFonts w:ascii="Arial" w:cs="Arial" w:eastAsia="Arial" w:hAnsi="Arial"/>
                <w:sz w:val="16"/>
                <w:szCs w:val="16"/>
                <w:color w:val="auto"/>
              </w:rPr>
              <w:t>3,668</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533,027</w:t>
            </w:r>
          </w:p>
        </w:tc>
        <w:tc>
          <w:tcPr>
            <w:tcW w:w="12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1,481,945</w:t>
            </w:r>
          </w:p>
        </w:tc>
        <w:tc>
          <w:tcPr>
            <w:tcW w:w="100" w:type="dxa"/>
            <w:vAlign w:val="bottom"/>
          </w:tcPr>
          <w:p>
            <w:pPr>
              <w:spacing w:after="0"/>
              <w:rPr>
                <w:sz w:val="24"/>
                <w:szCs w:val="24"/>
                <w:color w:val="auto"/>
              </w:rPr>
            </w:pPr>
          </w:p>
        </w:tc>
      </w:tr>
      <w:tr>
        <w:trPr>
          <w:trHeight w:val="229"/>
        </w:trPr>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(12,063 )</w:t>
            </w: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(3,909 )</w:t>
            </w: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(15,972 )</w:t>
            </w:r>
          </w:p>
        </w:tc>
      </w:tr>
      <w:tr>
        <w:trPr>
          <w:trHeight w:val="230"/>
        </w:trPr>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(875 )</w:t>
            </w: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(372 )</w:t>
            </w: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(1,247 )</w:t>
            </w:r>
          </w:p>
        </w:tc>
      </w:tr>
      <w:tr>
        <w:trPr>
          <w:trHeight w:val="229"/>
        </w:trPr>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(505 )</w:t>
            </w:r>
          </w:p>
        </w:tc>
        <w:tc>
          <w:tcPr>
            <w:tcW w:w="220" w:type="dxa"/>
            <w:vAlign w:val="bottom"/>
          </w:tcPr>
          <w:p>
            <w:pPr>
              <w:spacing w:after="0"/>
              <w:rPr>
                <w:sz w:val="19"/>
                <w:szCs w:val="19"/>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432"/>
        </w:trPr>
        <w:tc>
          <w:tcPr>
            <w:tcW w:w="1180" w:type="dxa"/>
            <w:vAlign w:val="bottom"/>
          </w:tcPr>
          <w:p>
            <w:pPr>
              <w:jc w:val="right"/>
              <w:spacing w:after="0"/>
              <w:rPr>
                <w:sz w:val="20"/>
                <w:szCs w:val="20"/>
                <w:color w:val="auto"/>
              </w:rPr>
            </w:pPr>
            <w:r>
              <w:rPr>
                <w:rFonts w:ascii="Arial" w:cs="Arial" w:eastAsia="Arial" w:hAnsi="Arial"/>
                <w:sz w:val="16"/>
                <w:szCs w:val="16"/>
                <w:color w:val="auto"/>
              </w:rPr>
              <w:t>380,676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(828 )</w:t>
            </w:r>
          </w:p>
        </w:tc>
        <w:tc>
          <w:tcPr>
            <w:tcW w:w="16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432"/>
        </w:trPr>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(127,829 )</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(1,530 )</w:t>
            </w:r>
          </w:p>
        </w:tc>
        <w:tc>
          <w:tcPr>
            <w:tcW w:w="220" w:type="dxa"/>
            <w:vAlign w:val="bottom"/>
          </w:tcPr>
          <w:p>
            <w:pPr>
              <w:spacing w:after="0"/>
              <w:rPr>
                <w:sz w:val="24"/>
                <w:szCs w:val="24"/>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(1,530 )</w:t>
            </w:r>
          </w:p>
        </w:tc>
      </w:tr>
      <w:tr>
        <w:trPr>
          <w:trHeight w:val="432"/>
        </w:trPr>
        <w:tc>
          <w:tcPr>
            <w:tcW w:w="1180" w:type="dxa"/>
            <w:vAlign w:val="bottom"/>
          </w:tcPr>
          <w:p>
            <w:pPr>
              <w:jc w:val="right"/>
              <w:spacing w:after="0"/>
              <w:rPr>
                <w:sz w:val="20"/>
                <w:szCs w:val="20"/>
                <w:color w:val="auto"/>
              </w:rPr>
            </w:pPr>
            <w:r>
              <w:rPr>
                <w:rFonts w:ascii="Arial" w:cs="Arial" w:eastAsia="Arial" w:hAnsi="Arial"/>
                <w:sz w:val="16"/>
                <w:szCs w:val="16"/>
                <w:color w:val="auto"/>
              </w:rPr>
              <w:t>4,771,545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(4,771,545 )</w:t>
            </w:r>
          </w:p>
        </w:tc>
        <w:tc>
          <w:tcPr>
            <w:tcW w:w="10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41,881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(52,352 )</w:t>
            </w:r>
          </w:p>
        </w:tc>
        <w:tc>
          <w:tcPr>
            <w:tcW w:w="1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(10,466 )</w:t>
            </w:r>
          </w:p>
        </w:tc>
      </w:tr>
      <w:tr>
        <w:trPr>
          <w:trHeight w:val="230"/>
        </w:trPr>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(34,623 )</w:t>
            </w: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2"/>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11,128</w:t>
            </w:r>
          </w:p>
        </w:tc>
        <w:tc>
          <w:tcPr>
            <w:tcW w:w="100" w:type="dxa"/>
            <w:vAlign w:val="bottom"/>
          </w:tcPr>
          <w:p>
            <w:pPr>
              <w:spacing w:after="0"/>
              <w:rPr>
                <w:sz w:val="21"/>
                <w:szCs w:val="21"/>
                <w:color w:val="auto"/>
              </w:rPr>
            </w:pPr>
          </w:p>
        </w:tc>
      </w:tr>
      <w:tr>
        <w:trPr>
          <w:trHeight w:val="372"/>
        </w:trPr>
        <w:tc>
          <w:tcPr>
            <w:tcW w:w="1180" w:type="dxa"/>
            <w:vAlign w:val="bottom"/>
          </w:tcPr>
          <w:p>
            <w:pPr>
              <w:jc w:val="right"/>
              <w:spacing w:after="0"/>
              <w:rPr>
                <w:sz w:val="20"/>
                <w:szCs w:val="20"/>
                <w:color w:val="auto"/>
              </w:rPr>
            </w:pPr>
            <w:r>
              <w:rPr>
                <w:rFonts w:ascii="Arial" w:cs="Arial" w:eastAsia="Arial" w:hAnsi="Arial"/>
                <w:sz w:val="16"/>
                <w:szCs w:val="16"/>
                <w:color w:val="auto"/>
              </w:rPr>
              <w:t>110,162,665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45,626,933</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1,018,692</w:t>
            </w:r>
          </w:p>
        </w:tc>
        <w:tc>
          <w:tcPr>
            <w:tcW w:w="100" w:type="dxa"/>
            <w:vAlign w:val="bottom"/>
          </w:tcPr>
          <w:p>
            <w:pPr>
              <w:spacing w:after="0"/>
              <w:rPr>
                <w:sz w:val="24"/>
                <w:szCs w:val="24"/>
                <w:color w:val="auto"/>
              </w:rPr>
            </w:pPr>
          </w:p>
        </w:tc>
        <w:tc>
          <w:tcPr>
            <w:tcW w:w="220" w:type="dxa"/>
            <w:vAlign w:val="bottom"/>
          </w:tcPr>
          <w:p>
            <w:pPr>
              <w:jc w:val="right"/>
              <w:ind w:right="45"/>
              <w:spacing w:after="0"/>
              <w:rPr>
                <w:sz w:val="20"/>
                <w:szCs w:val="20"/>
                <w:color w:val="auto"/>
              </w:rPr>
            </w:pPr>
            <w:r>
              <w:rPr>
                <w:rFonts w:ascii="Arial" w:cs="Arial" w:eastAsia="Arial" w:hAnsi="Arial"/>
                <w:sz w:val="16"/>
                <w:szCs w:val="16"/>
                <w:color w:val="auto"/>
                <w:w w:val="89"/>
              </w:rPr>
              <w:t>$</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w w:val="98"/>
              </w:rPr>
              <w:t>(37,125 ) $</w:t>
            </w:r>
          </w:p>
        </w:tc>
        <w:tc>
          <w:tcPr>
            <w:tcW w:w="620" w:type="dxa"/>
            <w:vAlign w:val="bottom"/>
          </w:tcPr>
          <w:p>
            <w:pPr>
              <w:jc w:val="right"/>
              <w:spacing w:after="0"/>
              <w:rPr>
                <w:sz w:val="20"/>
                <w:szCs w:val="20"/>
                <w:color w:val="auto"/>
              </w:rPr>
            </w:pPr>
            <w:r>
              <w:rPr>
                <w:rFonts w:ascii="Arial" w:cs="Arial" w:eastAsia="Arial" w:hAnsi="Arial"/>
                <w:sz w:val="16"/>
                <w:szCs w:val="16"/>
                <w:color w:val="auto"/>
              </w:rPr>
              <w:t>2,793</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479,388</w:t>
            </w:r>
          </w:p>
        </w:tc>
        <w:tc>
          <w:tcPr>
            <w:tcW w:w="12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1,463,858</w:t>
            </w:r>
          </w:p>
        </w:tc>
        <w:tc>
          <w:tcPr>
            <w:tcW w:w="100" w:type="dxa"/>
            <w:vAlign w:val="bottom"/>
          </w:tcPr>
          <w:p>
            <w:pPr>
              <w:spacing w:after="0"/>
              <w:rPr>
                <w:sz w:val="24"/>
                <w:szCs w:val="24"/>
                <w:color w:val="auto"/>
              </w:rPr>
            </w:pPr>
          </w:p>
        </w:tc>
      </w:tr>
      <w:tr>
        <w:trPr>
          <w:trHeight w:val="20"/>
        </w:trPr>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96"/>
        </w:trPr>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88"/>
              </w:rPr>
              <w:t>Three Months Ended March 31, 2022</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8"/>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35"/>
        </w:trPr>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w:t>
            </w:r>
          </w:p>
        </w:tc>
        <w:tc>
          <w:tcPr>
            <w:tcW w:w="9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Noncontrollin</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Class A</w:t>
            </w:r>
          </w:p>
        </w:tc>
        <w:tc>
          <w:tcPr>
            <w:tcW w:w="16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b w:val="1"/>
                <w:bCs w:val="1"/>
                <w:color w:val="auto"/>
              </w:rPr>
              <w:t>Class A</w:t>
            </w:r>
          </w:p>
        </w:tc>
        <w:tc>
          <w:tcPr>
            <w:tcW w:w="1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3"/>
              </w:rPr>
              <w:t>Class B</w:t>
            </w:r>
          </w:p>
        </w:tc>
        <w:tc>
          <w:tcPr>
            <w:tcW w:w="10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3"/>
                <w:szCs w:val="13"/>
                <w:b w:val="1"/>
                <w:bCs w:val="1"/>
                <w:color w:val="auto"/>
              </w:rPr>
              <w:t>Class B</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Paid-In</w:t>
            </w:r>
          </w:p>
        </w:tc>
        <w:tc>
          <w:tcPr>
            <w:tcW w:w="1040" w:type="dxa"/>
            <w:vAlign w:val="bottom"/>
            <w:gridSpan w:val="4"/>
          </w:tcPr>
          <w:p>
            <w:pPr>
              <w:jc w:val="center"/>
              <w:ind w:right="177"/>
              <w:spacing w:after="0"/>
              <w:rPr>
                <w:sz w:val="20"/>
                <w:szCs w:val="20"/>
                <w:color w:val="auto"/>
              </w:rPr>
            </w:pPr>
            <w:r>
              <w:rPr>
                <w:rFonts w:ascii="Arial" w:cs="Arial" w:eastAsia="Arial" w:hAnsi="Arial"/>
                <w:sz w:val="13"/>
                <w:szCs w:val="13"/>
                <w:b w:val="1"/>
                <w:bCs w:val="1"/>
                <w:color w:val="auto"/>
                <w:w w:val="88"/>
              </w:rPr>
              <w:t>Accumulated</w:t>
            </w:r>
          </w:p>
        </w:tc>
        <w:tc>
          <w:tcPr>
            <w:tcW w:w="7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74"/>
              </w:rPr>
              <w:t>ve</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r>
      <w:tr>
        <w:trPr>
          <w:trHeight w:val="165"/>
        </w:trPr>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right="397"/>
              <w:spacing w:after="0"/>
              <w:rPr>
                <w:sz w:val="20"/>
                <w:szCs w:val="20"/>
                <w:color w:val="auto"/>
              </w:rPr>
            </w:pPr>
            <w:r>
              <w:rPr>
                <w:rFonts w:ascii="Arial" w:cs="Arial" w:eastAsia="Arial" w:hAnsi="Arial"/>
                <w:sz w:val="13"/>
                <w:szCs w:val="13"/>
                <w:b w:val="1"/>
                <w:bCs w:val="1"/>
                <w:color w:val="auto"/>
                <w:w w:val="90"/>
              </w:rPr>
              <w:t>Deficit</w:t>
            </w:r>
          </w:p>
        </w:tc>
        <w:tc>
          <w:tcPr>
            <w:tcW w:w="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3"/>
              </w:rPr>
              <w:t>Income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407"/>
        </w:trPr>
        <w:tc>
          <w:tcPr>
            <w:tcW w:w="1180" w:type="dxa"/>
            <w:vAlign w:val="bottom"/>
          </w:tcPr>
          <w:p>
            <w:pPr>
              <w:jc w:val="right"/>
              <w:spacing w:after="0"/>
              <w:rPr>
                <w:sz w:val="20"/>
                <w:szCs w:val="20"/>
                <w:color w:val="auto"/>
              </w:rPr>
            </w:pPr>
            <w:r>
              <w:rPr>
                <w:rFonts w:ascii="Arial" w:cs="Arial" w:eastAsia="Arial" w:hAnsi="Arial"/>
                <w:sz w:val="16"/>
                <w:szCs w:val="16"/>
                <w:color w:val="auto"/>
              </w:rPr>
              <w:t>97,030,095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58,244,627</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888,992</w:t>
            </w:r>
          </w:p>
        </w:tc>
        <w:tc>
          <w:tcPr>
            <w:tcW w:w="100" w:type="dxa"/>
            <w:vAlign w:val="bottom"/>
          </w:tcPr>
          <w:p>
            <w:pPr>
              <w:spacing w:after="0"/>
              <w:rPr>
                <w:sz w:val="24"/>
                <w:szCs w:val="24"/>
                <w:color w:val="auto"/>
              </w:rPr>
            </w:pPr>
          </w:p>
        </w:tc>
        <w:tc>
          <w:tcPr>
            <w:tcW w:w="220" w:type="dxa"/>
            <w:vAlign w:val="bottom"/>
          </w:tcPr>
          <w:p>
            <w:pPr>
              <w:jc w:val="right"/>
              <w:ind w:right="45"/>
              <w:spacing w:after="0"/>
              <w:rPr>
                <w:sz w:val="20"/>
                <w:szCs w:val="20"/>
                <w:color w:val="auto"/>
              </w:rPr>
            </w:pPr>
            <w:r>
              <w:rPr>
                <w:rFonts w:ascii="Arial" w:cs="Arial" w:eastAsia="Arial" w:hAnsi="Arial"/>
                <w:sz w:val="16"/>
                <w:szCs w:val="16"/>
                <w:color w:val="auto"/>
                <w:w w:val="89"/>
              </w:rPr>
              <w:t>$</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w w:val="98"/>
              </w:rPr>
              <w:t>(17,840 ) $</w:t>
            </w: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628,525</w:t>
            </w:r>
          </w:p>
        </w:tc>
        <w:tc>
          <w:tcPr>
            <w:tcW w:w="120" w:type="dxa"/>
            <w:vAlign w:val="bottom"/>
          </w:tcPr>
          <w:p>
            <w:pPr>
              <w:spacing w:after="0"/>
              <w:rPr>
                <w:sz w:val="24"/>
                <w:szCs w:val="24"/>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1,499,836</w:t>
            </w:r>
          </w:p>
        </w:tc>
        <w:tc>
          <w:tcPr>
            <w:tcW w:w="100" w:type="dxa"/>
            <w:vAlign w:val="bottom"/>
          </w:tcPr>
          <w:p>
            <w:pPr>
              <w:spacing w:after="0"/>
              <w:rPr>
                <w:sz w:val="24"/>
                <w:szCs w:val="24"/>
                <w:color w:val="auto"/>
              </w:rPr>
            </w:pPr>
          </w:p>
        </w:tc>
      </w:tr>
      <w:tr>
        <w:trPr>
          <w:trHeight w:val="230"/>
        </w:trPr>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(8,581 )</w:t>
            </w: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(4,458 )</w:t>
            </w: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(13,039 )</w:t>
            </w:r>
          </w:p>
        </w:tc>
      </w:tr>
      <w:tr>
        <w:trPr>
          <w:trHeight w:val="230"/>
        </w:trPr>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19"/>
                <w:szCs w:val="19"/>
                <w:color w:val="auto"/>
              </w:rPr>
            </w:pPr>
          </w:p>
        </w:tc>
      </w:tr>
      <w:tr>
        <w:trPr>
          <w:trHeight w:val="229"/>
        </w:trPr>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(696 )</w:t>
            </w:r>
          </w:p>
        </w:tc>
        <w:tc>
          <w:tcPr>
            <w:tcW w:w="220" w:type="dxa"/>
            <w:vAlign w:val="bottom"/>
          </w:tcPr>
          <w:p>
            <w:pPr>
              <w:spacing w:after="0"/>
              <w:rPr>
                <w:sz w:val="19"/>
                <w:szCs w:val="19"/>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432"/>
        </w:trPr>
        <w:tc>
          <w:tcPr>
            <w:tcW w:w="1180" w:type="dxa"/>
            <w:vAlign w:val="bottom"/>
          </w:tcPr>
          <w:p>
            <w:pPr>
              <w:jc w:val="right"/>
              <w:spacing w:after="0"/>
              <w:rPr>
                <w:sz w:val="20"/>
                <w:szCs w:val="20"/>
                <w:color w:val="auto"/>
              </w:rPr>
            </w:pPr>
            <w:r>
              <w:rPr>
                <w:rFonts w:ascii="Arial" w:cs="Arial" w:eastAsia="Arial" w:hAnsi="Arial"/>
                <w:sz w:val="16"/>
                <w:szCs w:val="16"/>
                <w:color w:val="auto"/>
              </w:rPr>
              <w:t>544,302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(544,302 )</w:t>
            </w:r>
          </w:p>
        </w:tc>
        <w:tc>
          <w:tcPr>
            <w:tcW w:w="10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5,071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(5,965 )</w:t>
            </w:r>
          </w:p>
        </w:tc>
        <w:tc>
          <w:tcPr>
            <w:tcW w:w="1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(893 )</w:t>
            </w:r>
          </w:p>
        </w:tc>
      </w:tr>
      <w:tr>
        <w:trPr>
          <w:trHeight w:val="230"/>
        </w:trPr>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(33,549 )</w:t>
            </w: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6,872</w:t>
            </w:r>
          </w:p>
        </w:tc>
        <w:tc>
          <w:tcPr>
            <w:tcW w:w="100" w:type="dxa"/>
            <w:vAlign w:val="bottom"/>
          </w:tcPr>
          <w:p>
            <w:pPr>
              <w:spacing w:after="0"/>
              <w:rPr>
                <w:sz w:val="19"/>
                <w:szCs w:val="19"/>
                <w:color w:val="auto"/>
              </w:rPr>
            </w:pPr>
          </w:p>
        </w:tc>
      </w:tr>
      <w:tr>
        <w:trPr>
          <w:trHeight w:val="431"/>
        </w:trPr>
        <w:tc>
          <w:tcPr>
            <w:tcW w:w="1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(258 )</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(258 )</w:t>
            </w:r>
          </w:p>
        </w:tc>
      </w:tr>
      <w:tr>
        <w:trPr>
          <w:trHeight w:val="385"/>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97,574,397</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57,666,776</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897,744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8"/>
              </w:rPr>
              <w:t>(26,421 ) $</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621,522</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1,493,861</w:t>
            </w:r>
          </w:p>
        </w:tc>
        <w:tc>
          <w:tcPr>
            <w:tcW w:w="100" w:type="dxa"/>
            <w:vAlign w:val="bottom"/>
            <w:tcBorders>
              <w:bottom w:val="single" w:sz="8" w:color="auto"/>
            </w:tcBorders>
          </w:tcPr>
          <w:p>
            <w:pPr>
              <w:spacing w:after="0"/>
              <w:rPr>
                <w:sz w:val="24"/>
                <w:szCs w:val="24"/>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-4971415</wp:posOffset>
            </wp:positionV>
            <wp:extent cx="71323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-4551045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-4259580</wp:posOffset>
            </wp:positionV>
            <wp:extent cx="71323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-3710940</wp:posOffset>
            </wp:positionV>
            <wp:extent cx="71323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-3291205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-1824990</wp:posOffset>
            </wp:positionV>
            <wp:extent cx="71323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-1405255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-1113790</wp:posOffset>
            </wp:positionV>
            <wp:extent cx="71323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-693420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-273685</wp:posOffset>
            </wp:positionV>
            <wp:extent cx="7132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2"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17"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00" w:space="100"/>
            <w:col w:w="8920"/>
          </w:cols>
          <w:pgMar w:left="340" w:top="580" w:right="339" w:bottom="1440" w:gutter="0" w:footer="0" w:header="0"/>
          <w:type w:val="continuous"/>
        </w:sectPr>
      </w:pPr>
    </w:p>
    <w:bookmarkStart w:id="10" w:name="page11"/>
    <w:bookmarkEnd w:id="10"/>
    <w:p>
      <w:pPr>
        <w:jc w:val="center"/>
        <w:ind w:right="6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31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9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(As</w:t>
            </w:r>
          </w:p>
        </w:tc>
        <w:tc>
          <w:tcPr>
            <w:tcW w:w="66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4"/>
                <w:szCs w:val="14"/>
                <w:b w:val="1"/>
                <w:bCs w:val="1"/>
                <w:color w:val="auto"/>
                <w:w w:val="78"/>
              </w:rPr>
              <w:t>Restated)</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9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provided by (used in) operating activities: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40" w:type="dxa"/>
            <w:vAlign w:val="bottom"/>
          </w:tcPr>
          <w:p>
            <w:pPr>
              <w:ind w:left="360"/>
              <w:spacing w:after="0"/>
              <w:rPr>
                <w:sz w:val="20"/>
                <w:szCs w:val="20"/>
                <w:color w:val="auto"/>
              </w:rPr>
            </w:pPr>
            <w:r>
              <w:rPr>
                <w:rFonts w:ascii="Arial" w:cs="Arial" w:eastAsia="Arial" w:hAnsi="Arial"/>
                <w:sz w:val="15"/>
                <w:szCs w:val="15"/>
                <w:color w:val="auto"/>
              </w:rPr>
              <w:t>Net loss</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w w:val="96"/>
              </w:rPr>
              <w:t>(15,972 )</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(13,039 )</w:t>
            </w:r>
          </w:p>
        </w:tc>
      </w:tr>
      <w:tr>
        <w:trPr>
          <w:trHeight w:val="189"/>
        </w:trPr>
        <w:tc>
          <w:tcPr>
            <w:tcW w:w="694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Arial" w:cs="Arial" w:eastAsia="Arial" w:hAnsi="Arial"/>
                <w:sz w:val="15"/>
                <w:szCs w:val="15"/>
                <w:color w:val="auto"/>
              </w:rPr>
              <w:t>Depreciation and amortization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513</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Amortization of intangible assets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12,431</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14,727</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Arial" w:cs="Arial" w:eastAsia="Arial" w:hAnsi="Arial"/>
                <w:sz w:val="15"/>
                <w:szCs w:val="15"/>
                <w:color w:val="auto"/>
              </w:rPr>
              <w:t>Amortization of deferred contract costs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2,860</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1,875</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Equity-based compensation</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11,128</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6,872</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Arial" w:cs="Arial" w:eastAsia="Arial" w:hAnsi="Arial"/>
                <w:sz w:val="15"/>
                <w:szCs w:val="15"/>
                <w:color w:val="auto"/>
              </w:rPr>
              <w:t>Amortization of debt issuance costs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176</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176</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Provision for doubtful accounts receivable</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Arial" w:cs="Arial" w:eastAsia="Arial" w:hAnsi="Arial"/>
                <w:sz w:val="15"/>
                <w:szCs w:val="15"/>
                <w:color w:val="auto"/>
              </w:rPr>
              <w:t>Non-cash restructuring charges related to office leases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157</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9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Tax receivable agreement remeasurement</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3,552</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Arial" w:cs="Arial" w:eastAsia="Arial" w:hAnsi="Arial"/>
                <w:sz w:val="15"/>
                <w:szCs w:val="15"/>
                <w:color w:val="auto"/>
              </w:rPr>
              <w:t>Deferred income taxes</w:t>
            </w:r>
          </w:p>
        </w:tc>
        <w:tc>
          <w:tcPr>
            <w:tcW w:w="880" w:type="dxa"/>
            <w:vAlign w:val="bottom"/>
          </w:tcPr>
          <w:p>
            <w:pPr>
              <w:spacing w:after="0"/>
              <w:rPr>
                <w:sz w:val="16"/>
                <w:szCs w:val="16"/>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rPr>
              <w:t>(773 )</w:t>
            </w:r>
          </w:p>
        </w:tc>
        <w:tc>
          <w:tcPr>
            <w:tcW w:w="4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(444 )</w:t>
            </w:r>
          </w:p>
        </w:tc>
      </w:tr>
      <w:tr>
        <w:trPr>
          <w:trHeight w:val="189"/>
        </w:trPr>
        <w:tc>
          <w:tcPr>
            <w:tcW w:w="69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Arial" w:cs="Arial" w:eastAsia="Arial" w:hAnsi="Arial"/>
                <w:sz w:val="15"/>
                <w:szCs w:val="15"/>
                <w:color w:val="auto"/>
              </w:rPr>
              <w:t>Accounts receivable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6,966</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8,526</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Prepaid expenses and other current assets</w:t>
            </w:r>
          </w:p>
        </w:tc>
        <w:tc>
          <w:tcPr>
            <w:tcW w:w="8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(3,796 )</w:t>
            </w: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692</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640"/>
              <w:spacing w:after="0"/>
              <w:rPr>
                <w:sz w:val="20"/>
                <w:szCs w:val="20"/>
                <w:color w:val="auto"/>
              </w:rPr>
            </w:pPr>
            <w:r>
              <w:rPr>
                <w:rFonts w:ascii="Arial" w:cs="Arial" w:eastAsia="Arial" w:hAnsi="Arial"/>
                <w:sz w:val="15"/>
                <w:szCs w:val="15"/>
                <w:color w:val="auto"/>
              </w:rPr>
              <w:t>Deferred contract costs</w:t>
            </w:r>
          </w:p>
        </w:tc>
        <w:tc>
          <w:tcPr>
            <w:tcW w:w="880" w:type="dxa"/>
            <w:vAlign w:val="bottom"/>
          </w:tcPr>
          <w:p>
            <w:pPr>
              <w:spacing w:after="0"/>
              <w:rPr>
                <w:sz w:val="16"/>
                <w:szCs w:val="16"/>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rPr>
              <w:t>(4,021 )</w:t>
            </w:r>
          </w:p>
        </w:tc>
        <w:tc>
          <w:tcPr>
            <w:tcW w:w="4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(3,299 )</w:t>
            </w:r>
          </w:p>
        </w:tc>
      </w:tr>
      <w:tr>
        <w:trPr>
          <w:trHeight w:val="189"/>
        </w:trPr>
        <w:tc>
          <w:tcPr>
            <w:tcW w:w="6940" w:type="dxa"/>
            <w:vAlign w:val="bottom"/>
            <w:shd w:val="clear" w:color="auto" w:fill="CFF0FC"/>
          </w:tcPr>
          <w:p>
            <w:pPr>
              <w:ind w:left="640"/>
              <w:spacing w:after="0"/>
              <w:rPr>
                <w:sz w:val="20"/>
                <w:szCs w:val="20"/>
                <w:color w:val="auto"/>
              </w:rPr>
            </w:pPr>
            <w:r>
              <w:rPr>
                <w:rFonts w:ascii="Arial" w:cs="Arial" w:eastAsia="Arial" w:hAnsi="Arial"/>
                <w:sz w:val="15"/>
                <w:szCs w:val="15"/>
                <w:color w:val="auto"/>
              </w:rPr>
              <w:t>Contingent consideration</w:t>
            </w:r>
          </w:p>
        </w:tc>
        <w:tc>
          <w:tcPr>
            <w:tcW w:w="8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88"/>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(6,400 )</w:t>
            </w:r>
          </w:p>
        </w:tc>
      </w:tr>
      <w:tr>
        <w:trPr>
          <w:trHeight w:val="189"/>
        </w:trPr>
        <w:tc>
          <w:tcPr>
            <w:tcW w:w="6940" w:type="dxa"/>
            <w:vAlign w:val="bottom"/>
          </w:tcPr>
          <w:p>
            <w:pPr>
              <w:ind w:left="640"/>
              <w:spacing w:after="0"/>
              <w:rPr>
                <w:sz w:val="20"/>
                <w:szCs w:val="20"/>
                <w:color w:val="auto"/>
              </w:rPr>
            </w:pPr>
            <w:r>
              <w:rPr>
                <w:rFonts w:ascii="Arial" w:cs="Arial" w:eastAsia="Arial" w:hAnsi="Arial"/>
                <w:sz w:val="15"/>
                <w:szCs w:val="15"/>
                <w:color w:val="auto"/>
              </w:rPr>
              <w:t>Accounts payable, accrued expenses, and other liabilities</w:t>
            </w:r>
          </w:p>
        </w:tc>
        <w:tc>
          <w:tcPr>
            <w:tcW w:w="880" w:type="dxa"/>
            <w:vAlign w:val="bottom"/>
          </w:tcPr>
          <w:p>
            <w:pPr>
              <w:spacing w:after="0"/>
              <w:rPr>
                <w:sz w:val="16"/>
                <w:szCs w:val="16"/>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rPr>
              <w:t>(3,855 )</w:t>
            </w:r>
          </w:p>
        </w:tc>
        <w:tc>
          <w:tcPr>
            <w:tcW w:w="4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(2,998 )</w:t>
            </w:r>
          </w:p>
        </w:tc>
      </w:tr>
      <w:tr>
        <w:trPr>
          <w:trHeight w:val="189"/>
        </w:trPr>
        <w:tc>
          <w:tcPr>
            <w:tcW w:w="694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5"/>
                <w:szCs w:val="15"/>
                <w:color w:val="auto"/>
              </w:rPr>
              <w:t>Deferred revenue</w:t>
            </w:r>
          </w:p>
        </w:tc>
        <w:tc>
          <w:tcPr>
            <w:tcW w:w="8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5,569</w:t>
            </w:r>
          </w:p>
        </w:tc>
        <w:tc>
          <w:tcPr>
            <w:tcW w:w="2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6,249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940" w:type="dxa"/>
            <w:vAlign w:val="bottom"/>
          </w:tcPr>
          <w:p>
            <w:pPr>
              <w:spacing w:after="0"/>
              <w:rPr>
                <w:sz w:val="20"/>
                <w:szCs w:val="20"/>
                <w:color w:val="auto"/>
              </w:rPr>
            </w:pPr>
            <w:r>
              <w:rPr>
                <w:rFonts w:ascii="Arial" w:cs="Arial" w:eastAsia="Arial" w:hAnsi="Arial"/>
                <w:sz w:val="15"/>
                <w:szCs w:val="15"/>
                <w:color w:val="auto"/>
              </w:rPr>
              <w:t>Net cash provided by operating activities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14,957</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13,633</w:t>
            </w:r>
          </w:p>
        </w:tc>
        <w:tc>
          <w:tcPr>
            <w:tcW w:w="100" w:type="dxa"/>
            <w:vAlign w:val="bottom"/>
          </w:tcPr>
          <w:p>
            <w:pPr>
              <w:spacing w:after="0"/>
              <w:rPr>
                <w:sz w:val="15"/>
                <w:szCs w:val="15"/>
                <w:color w:val="auto"/>
              </w:rPr>
            </w:pPr>
          </w:p>
        </w:tc>
      </w:tr>
      <w:tr>
        <w:trPr>
          <w:trHeight w:val="183"/>
        </w:trPr>
        <w:tc>
          <w:tcPr>
            <w:tcW w:w="69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(used in) provided by investing activities: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40" w:type="dxa"/>
            <w:vAlign w:val="bottom"/>
          </w:tcPr>
          <w:p>
            <w:pPr>
              <w:ind w:left="360"/>
              <w:spacing w:after="0"/>
              <w:rPr>
                <w:sz w:val="20"/>
                <w:szCs w:val="20"/>
                <w:color w:val="auto"/>
              </w:rPr>
            </w:pPr>
            <w:r>
              <w:rPr>
                <w:rFonts w:ascii="Arial" w:cs="Arial" w:eastAsia="Arial" w:hAnsi="Arial"/>
                <w:sz w:val="15"/>
                <w:szCs w:val="15"/>
                <w:color w:val="auto"/>
              </w:rPr>
              <w:t>Purchases of property, equipment, and other assets</w:t>
            </w:r>
          </w:p>
        </w:tc>
        <w:tc>
          <w:tcPr>
            <w:tcW w:w="880" w:type="dxa"/>
            <w:vAlign w:val="bottom"/>
          </w:tcPr>
          <w:p>
            <w:pPr>
              <w:spacing w:after="0"/>
              <w:rPr>
                <w:sz w:val="16"/>
                <w:szCs w:val="16"/>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rPr>
              <w:t>(1,338 )</w:t>
            </w:r>
          </w:p>
        </w:tc>
        <w:tc>
          <w:tcPr>
            <w:tcW w:w="4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(794 )</w:t>
            </w:r>
          </w:p>
        </w:tc>
      </w:tr>
      <w:tr>
        <w:trPr>
          <w:trHeight w:val="189"/>
        </w:trPr>
        <w:tc>
          <w:tcPr>
            <w:tcW w:w="69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Purchases of short-term investments</w:t>
            </w:r>
          </w:p>
        </w:tc>
        <w:tc>
          <w:tcPr>
            <w:tcW w:w="8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w w:val="96"/>
              </w:rPr>
              <w:t>(90,252 )</w:t>
            </w:r>
          </w:p>
        </w:tc>
        <w:tc>
          <w:tcPr>
            <w:tcW w:w="4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(109,559 )</w:t>
            </w:r>
          </w:p>
        </w:tc>
      </w:tr>
      <w:tr>
        <w:trPr>
          <w:trHeight w:val="189"/>
        </w:trPr>
        <w:tc>
          <w:tcPr>
            <w:tcW w:w="6940" w:type="dxa"/>
            <w:vAlign w:val="bottom"/>
          </w:tcPr>
          <w:p>
            <w:pPr>
              <w:ind w:left="360"/>
              <w:spacing w:after="0"/>
              <w:rPr>
                <w:sz w:val="20"/>
                <w:szCs w:val="20"/>
                <w:color w:val="auto"/>
              </w:rPr>
            </w:pPr>
            <w:r>
              <w:rPr>
                <w:rFonts w:ascii="Arial" w:cs="Arial" w:eastAsia="Arial" w:hAnsi="Arial"/>
                <w:sz w:val="15"/>
                <w:szCs w:val="15"/>
                <w:color w:val="auto"/>
              </w:rPr>
              <w:t>Maturities of short-term investments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58,120</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9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Cash paid for acquisitions, net of cash acquired</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(56,499 )</w:t>
            </w:r>
          </w:p>
        </w:tc>
      </w:tr>
      <w:tr>
        <w:trPr>
          <w:trHeight w:val="20"/>
        </w:trPr>
        <w:tc>
          <w:tcPr>
            <w:tcW w:w="69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94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88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w w:val="96"/>
              </w:rPr>
              <w:t>(33,470 )</w:t>
            </w:r>
          </w:p>
        </w:tc>
        <w:tc>
          <w:tcPr>
            <w:tcW w:w="4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(166,852 )</w:t>
            </w:r>
          </w:p>
        </w:tc>
      </w:tr>
      <w:tr>
        <w:trPr>
          <w:trHeight w:val="183"/>
        </w:trPr>
        <w:tc>
          <w:tcPr>
            <w:tcW w:w="69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used in financing activities:</w:t>
            </w:r>
          </w:p>
        </w:tc>
        <w:tc>
          <w:tcPr>
            <w:tcW w:w="88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940" w:type="dxa"/>
            <w:vAlign w:val="bottom"/>
          </w:tcPr>
          <w:p>
            <w:pPr>
              <w:ind w:left="360"/>
              <w:spacing w:after="0"/>
              <w:rPr>
                <w:sz w:val="20"/>
                <w:szCs w:val="20"/>
                <w:color w:val="auto"/>
              </w:rPr>
            </w:pPr>
            <w:r>
              <w:rPr>
                <w:rFonts w:ascii="Arial" w:cs="Arial" w:eastAsia="Arial" w:hAnsi="Arial"/>
                <w:sz w:val="15"/>
                <w:szCs w:val="15"/>
                <w:color w:val="auto"/>
              </w:rPr>
              <w:t>Repayments of term loans</w:t>
            </w:r>
          </w:p>
        </w:tc>
        <w:tc>
          <w:tcPr>
            <w:tcW w:w="880" w:type="dxa"/>
            <w:vAlign w:val="bottom"/>
          </w:tcPr>
          <w:p>
            <w:pPr>
              <w:spacing w:after="0"/>
              <w:rPr>
                <w:sz w:val="16"/>
                <w:szCs w:val="16"/>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rPr>
              <w:t>(1,719 )</w:t>
            </w:r>
          </w:p>
        </w:tc>
        <w:tc>
          <w:tcPr>
            <w:tcW w:w="4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(1,719 )</w:t>
            </w:r>
          </w:p>
        </w:tc>
      </w:tr>
      <w:tr>
        <w:trPr>
          <w:trHeight w:val="189"/>
        </w:trPr>
        <w:tc>
          <w:tcPr>
            <w:tcW w:w="69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Taxes paid related to net share settlement of equity awards</w:t>
            </w:r>
          </w:p>
        </w:tc>
        <w:tc>
          <w:tcPr>
            <w:tcW w:w="8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(1,530 )</w:t>
            </w:r>
          </w:p>
        </w:tc>
        <w:tc>
          <w:tcPr>
            <w:tcW w:w="4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940" w:type="dxa"/>
            <w:vAlign w:val="bottom"/>
          </w:tcPr>
          <w:p>
            <w:pPr>
              <w:ind w:left="360"/>
              <w:spacing w:after="0"/>
              <w:rPr>
                <w:sz w:val="20"/>
                <w:szCs w:val="20"/>
                <w:color w:val="auto"/>
              </w:rPr>
            </w:pPr>
            <w:r>
              <w:rPr>
                <w:rFonts w:ascii="Arial" w:cs="Arial" w:eastAsia="Arial" w:hAnsi="Arial"/>
                <w:sz w:val="15"/>
                <w:szCs w:val="15"/>
                <w:color w:val="auto"/>
              </w:rPr>
              <w:t>Payment of contingent consideration</w:t>
            </w:r>
          </w:p>
        </w:tc>
        <w:tc>
          <w:tcPr>
            <w:tcW w:w="880" w:type="dxa"/>
            <w:vAlign w:val="bottom"/>
          </w:tcPr>
          <w:p>
            <w:pPr>
              <w:spacing w:after="0"/>
              <w:rPr>
                <w:sz w:val="16"/>
                <w:szCs w:val="16"/>
                <w:color w:val="auto"/>
              </w:rPr>
            </w:pPr>
          </w:p>
        </w:tc>
        <w:tc>
          <w:tcPr>
            <w:tcW w:w="780" w:type="dxa"/>
            <w:vAlign w:val="bottom"/>
            <w:gridSpan w:val="2"/>
          </w:tcPr>
          <w:p>
            <w:pPr>
              <w:jc w:val="right"/>
              <w:ind w:right="188"/>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(1,100 )</w:t>
            </w:r>
          </w:p>
        </w:tc>
      </w:tr>
      <w:tr>
        <w:trPr>
          <w:trHeight w:val="189"/>
        </w:trPr>
        <w:tc>
          <w:tcPr>
            <w:tcW w:w="69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Payments under tax receivable agreement</w:t>
            </w:r>
          </w:p>
        </w:tc>
        <w:tc>
          <w:tcPr>
            <w:tcW w:w="8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rPr>
              <w:t>(246 )</w:t>
            </w:r>
          </w:p>
        </w:tc>
        <w:tc>
          <w:tcPr>
            <w:tcW w:w="4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940" w:type="dxa"/>
            <w:vAlign w:val="bottom"/>
          </w:tcPr>
          <w:p>
            <w:pPr>
              <w:ind w:left="360"/>
              <w:spacing w:after="0"/>
              <w:rPr>
                <w:sz w:val="20"/>
                <w:szCs w:val="20"/>
                <w:color w:val="auto"/>
              </w:rPr>
            </w:pPr>
            <w:r>
              <w:rPr>
                <w:rFonts w:ascii="Arial" w:cs="Arial" w:eastAsia="Arial" w:hAnsi="Arial"/>
                <w:sz w:val="15"/>
                <w:szCs w:val="15"/>
                <w:color w:val="auto"/>
              </w:rPr>
              <w:t>Payments of equity offering issuance costs</w:t>
            </w:r>
          </w:p>
        </w:tc>
        <w:tc>
          <w:tcPr>
            <w:tcW w:w="880" w:type="dxa"/>
            <w:vAlign w:val="bottom"/>
          </w:tcPr>
          <w:p>
            <w:pPr>
              <w:spacing w:after="0"/>
              <w:rPr>
                <w:sz w:val="16"/>
                <w:szCs w:val="16"/>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rPr>
              <w:t>(30 )</w:t>
            </w:r>
          </w:p>
        </w:tc>
        <w:tc>
          <w:tcPr>
            <w:tcW w:w="4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(1,299 )</w:t>
            </w:r>
          </w:p>
        </w:tc>
      </w:tr>
      <w:tr>
        <w:trPr>
          <w:trHeight w:val="189"/>
        </w:trPr>
        <w:tc>
          <w:tcPr>
            <w:tcW w:w="69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Member distributions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(258 )</w:t>
            </w:r>
          </w:p>
        </w:tc>
      </w:tr>
      <w:tr>
        <w:trPr>
          <w:trHeight w:val="20"/>
        </w:trPr>
        <w:tc>
          <w:tcPr>
            <w:tcW w:w="69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940" w:type="dxa"/>
            <w:vAlign w:val="bottom"/>
          </w:tcPr>
          <w:p>
            <w:pPr>
              <w:spacing w:after="0"/>
              <w:rPr>
                <w:sz w:val="20"/>
                <w:szCs w:val="20"/>
                <w:color w:val="auto"/>
              </w:rPr>
            </w:pPr>
            <w:r>
              <w:rPr>
                <w:rFonts w:ascii="Arial" w:cs="Arial" w:eastAsia="Arial" w:hAnsi="Arial"/>
                <w:sz w:val="15"/>
                <w:szCs w:val="15"/>
                <w:color w:val="auto"/>
              </w:rPr>
              <w:t>Net cash used in financing activities</w:t>
            </w:r>
          </w:p>
        </w:tc>
        <w:tc>
          <w:tcPr>
            <w:tcW w:w="88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5"/>
                <w:szCs w:val="15"/>
                <w:color w:val="auto"/>
              </w:rPr>
              <w:t>(3,525 )</w:t>
            </w:r>
          </w:p>
        </w:tc>
        <w:tc>
          <w:tcPr>
            <w:tcW w:w="4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(4,376 )</w:t>
            </w:r>
          </w:p>
        </w:tc>
      </w:tr>
      <w:tr>
        <w:trPr>
          <w:trHeight w:val="20"/>
        </w:trPr>
        <w:tc>
          <w:tcPr>
            <w:tcW w:w="6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40" w:type="dxa"/>
            <w:vAlign w:val="bottom"/>
            <w:shd w:val="clear" w:color="auto" w:fill="CFF0FC"/>
          </w:tcPr>
          <w:p>
            <w:pPr>
              <w:spacing w:after="0"/>
              <w:rPr>
                <w:sz w:val="20"/>
                <w:szCs w:val="20"/>
                <w:color w:val="auto"/>
              </w:rPr>
            </w:pPr>
            <w:r>
              <w:rPr>
                <w:rFonts w:ascii="Arial" w:cs="Arial" w:eastAsia="Arial" w:hAnsi="Arial"/>
                <w:sz w:val="15"/>
                <w:szCs w:val="15"/>
                <w:color w:val="auto"/>
              </w:rPr>
              <w:t>Net decrease in cash and cash equivalents</w:t>
            </w:r>
          </w:p>
        </w:tc>
        <w:tc>
          <w:tcPr>
            <w:tcW w:w="8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5"/>
                <w:szCs w:val="15"/>
                <w:color w:val="auto"/>
                <w:w w:val="96"/>
              </w:rPr>
              <w:t>(22,038 )</w:t>
            </w:r>
          </w:p>
        </w:tc>
        <w:tc>
          <w:tcPr>
            <w:tcW w:w="4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(157,595 )</w:t>
            </w:r>
          </w:p>
        </w:tc>
      </w:tr>
      <w:tr>
        <w:trPr>
          <w:trHeight w:val="189"/>
        </w:trPr>
        <w:tc>
          <w:tcPr>
            <w:tcW w:w="6940" w:type="dxa"/>
            <w:vAlign w:val="bottom"/>
          </w:tcPr>
          <w:p>
            <w:pPr>
              <w:ind w:left="360"/>
              <w:spacing w:after="0"/>
              <w:rPr>
                <w:sz w:val="20"/>
                <w:szCs w:val="20"/>
                <w:color w:val="auto"/>
              </w:rPr>
            </w:pPr>
            <w:r>
              <w:rPr>
                <w:rFonts w:ascii="Arial" w:cs="Arial" w:eastAsia="Arial" w:hAnsi="Arial"/>
                <w:sz w:val="15"/>
                <w:szCs w:val="15"/>
                <w:color w:val="auto"/>
              </w:rPr>
              <w:t>Effect of exchange rate changes on cash and cash equivalents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65</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(108 )</w:t>
            </w:r>
          </w:p>
        </w:tc>
      </w:tr>
      <w:tr>
        <w:trPr>
          <w:trHeight w:val="189"/>
        </w:trPr>
        <w:tc>
          <w:tcPr>
            <w:tcW w:w="69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5"/>
                <w:szCs w:val="15"/>
                <w:color w:val="auto"/>
              </w:rPr>
              <w:t>Cash and cash equivalents, beginning of period</w:t>
            </w:r>
          </w:p>
        </w:tc>
        <w:tc>
          <w:tcPr>
            <w:tcW w:w="88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2"/>
              </w:rPr>
              <w:t>146,934</w:t>
            </w:r>
          </w:p>
        </w:tc>
        <w:tc>
          <w:tcPr>
            <w:tcW w:w="2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387,498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940" w:type="dxa"/>
            <w:vAlign w:val="bottom"/>
          </w:tcPr>
          <w:p>
            <w:pPr>
              <w:ind w:left="360"/>
              <w:spacing w:after="0"/>
              <w:rPr>
                <w:sz w:val="20"/>
                <w:szCs w:val="20"/>
                <w:color w:val="auto"/>
              </w:rPr>
            </w:pPr>
            <w:r>
              <w:rPr>
                <w:rFonts w:ascii="Arial" w:cs="Arial" w:eastAsia="Arial" w:hAnsi="Arial"/>
                <w:sz w:val="15"/>
                <w:szCs w:val="15"/>
                <w:color w:val="auto"/>
              </w:rPr>
              <w:t>Cash and cash equivalents, end of period</w:t>
            </w: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124,961</w:t>
            </w:r>
          </w:p>
        </w:tc>
        <w:tc>
          <w:tcPr>
            <w:tcW w:w="240" w:type="dxa"/>
            <w:vAlign w:val="bottom"/>
          </w:tcPr>
          <w:p>
            <w:pPr>
              <w:spacing w:after="0"/>
              <w:rPr>
                <w:sz w:val="15"/>
                <w:szCs w:val="15"/>
                <w:color w:val="auto"/>
              </w:rPr>
            </w:pP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229,795</w:t>
            </w:r>
          </w:p>
        </w:tc>
        <w:tc>
          <w:tcPr>
            <w:tcW w:w="100" w:type="dxa"/>
            <w:vAlign w:val="bottom"/>
          </w:tcPr>
          <w:p>
            <w:pPr>
              <w:spacing w:after="0"/>
              <w:rPr>
                <w:sz w:val="15"/>
                <w:szCs w:val="15"/>
                <w:color w:val="auto"/>
              </w:rPr>
            </w:pPr>
          </w:p>
        </w:tc>
      </w:tr>
      <w:tr>
        <w:trPr>
          <w:trHeight w:val="20"/>
        </w:trPr>
        <w:tc>
          <w:tcPr>
            <w:tcW w:w="6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94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Supplemental cash flow disclosures:</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940" w:type="dxa"/>
            <w:vAlign w:val="bottom"/>
          </w:tcPr>
          <w:p>
            <w:pPr>
              <w:ind w:left="360"/>
              <w:spacing w:after="0"/>
              <w:rPr>
                <w:sz w:val="20"/>
                <w:szCs w:val="20"/>
                <w:color w:val="auto"/>
              </w:rPr>
            </w:pPr>
            <w:r>
              <w:rPr>
                <w:rFonts w:ascii="Arial" w:cs="Arial" w:eastAsia="Arial" w:hAnsi="Arial"/>
                <w:sz w:val="15"/>
                <w:szCs w:val="15"/>
                <w:color w:val="auto"/>
              </w:rPr>
              <w:t>Cash paid during the period for:</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540"/>
              <w:spacing w:after="0"/>
              <w:rPr>
                <w:sz w:val="20"/>
                <w:szCs w:val="20"/>
                <w:color w:val="auto"/>
              </w:rPr>
            </w:pPr>
            <w:r>
              <w:rPr>
                <w:rFonts w:ascii="Arial" w:cs="Arial" w:eastAsia="Arial" w:hAnsi="Arial"/>
                <w:sz w:val="15"/>
                <w:szCs w:val="15"/>
                <w:color w:val="auto"/>
              </w:rPr>
              <w:t>Interest</w:t>
            </w:r>
          </w:p>
        </w:tc>
        <w:tc>
          <w:tcPr>
            <w:tcW w:w="880" w:type="dxa"/>
            <w:vAlign w:val="bottom"/>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3,475</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1,771</w:t>
            </w: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540"/>
              <w:spacing w:after="0"/>
              <w:rPr>
                <w:sz w:val="20"/>
                <w:szCs w:val="20"/>
                <w:color w:val="auto"/>
              </w:rPr>
            </w:pPr>
            <w:r>
              <w:rPr>
                <w:rFonts w:ascii="Arial" w:cs="Arial" w:eastAsia="Arial" w:hAnsi="Arial"/>
                <w:sz w:val="15"/>
                <w:szCs w:val="15"/>
                <w:color w:val="auto"/>
              </w:rPr>
              <w:t>Income taxes</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79</w:t>
            </w:r>
          </w:p>
        </w:tc>
        <w:tc>
          <w:tcPr>
            <w:tcW w:w="240" w:type="dxa"/>
            <w:vAlign w:val="bottom"/>
          </w:tcPr>
          <w:p>
            <w:pPr>
              <w:spacing w:after="0"/>
              <w:rPr>
                <w:sz w:val="16"/>
                <w:szCs w:val="16"/>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940" w:type="dxa"/>
            <w:vAlign w:val="bottom"/>
            <w:shd w:val="clear" w:color="auto" w:fill="CFF0FC"/>
          </w:tcPr>
          <w:p>
            <w:pPr>
              <w:ind w:left="540"/>
              <w:spacing w:after="0"/>
              <w:rPr>
                <w:sz w:val="20"/>
                <w:szCs w:val="20"/>
                <w:color w:val="auto"/>
              </w:rPr>
            </w:pPr>
            <w:r>
              <w:rPr>
                <w:rFonts w:ascii="Arial" w:cs="Arial" w:eastAsia="Arial" w:hAnsi="Arial"/>
                <w:sz w:val="15"/>
                <w:szCs w:val="15"/>
                <w:color w:val="auto"/>
              </w:rPr>
              <w:t>Acquisitions:</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940" w:type="dxa"/>
            <w:vAlign w:val="bottom"/>
          </w:tcPr>
          <w:p>
            <w:pPr>
              <w:ind w:left="720"/>
              <w:spacing w:after="0"/>
              <w:rPr>
                <w:sz w:val="20"/>
                <w:szCs w:val="20"/>
                <w:color w:val="auto"/>
              </w:rPr>
            </w:pPr>
            <w:r>
              <w:rPr>
                <w:rFonts w:ascii="Arial" w:cs="Arial" w:eastAsia="Arial" w:hAnsi="Arial"/>
                <w:sz w:val="15"/>
                <w:szCs w:val="15"/>
                <w:color w:val="auto"/>
              </w:rPr>
              <w:t>Net assets acquired, net of cash acquired</w:t>
            </w:r>
          </w:p>
        </w:tc>
        <w:tc>
          <w:tcPr>
            <w:tcW w:w="880" w:type="dxa"/>
            <w:vAlign w:val="bottom"/>
          </w:tcPr>
          <w:p>
            <w:pPr>
              <w:jc w:val="right"/>
              <w:ind w:right="7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8"/>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97,499</w:t>
            </w:r>
          </w:p>
        </w:tc>
        <w:tc>
          <w:tcPr>
            <w:tcW w:w="100" w:type="dxa"/>
            <w:vAlign w:val="bottom"/>
          </w:tcPr>
          <w:p>
            <w:pPr>
              <w:spacing w:after="0"/>
              <w:rPr>
                <w:sz w:val="16"/>
                <w:szCs w:val="16"/>
                <w:color w:val="auto"/>
              </w:rPr>
            </w:pPr>
          </w:p>
        </w:tc>
      </w:tr>
      <w:tr>
        <w:trPr>
          <w:trHeight w:val="189"/>
        </w:trPr>
        <w:tc>
          <w:tcPr>
            <w:tcW w:w="6940" w:type="dxa"/>
            <w:vAlign w:val="bottom"/>
            <w:shd w:val="clear" w:color="auto" w:fill="CFF0FC"/>
          </w:tcPr>
          <w:p>
            <w:pPr>
              <w:ind w:left="720"/>
              <w:spacing w:after="0"/>
              <w:rPr>
                <w:sz w:val="20"/>
                <w:szCs w:val="20"/>
                <w:color w:val="auto"/>
              </w:rPr>
            </w:pPr>
            <w:r>
              <w:rPr>
                <w:rFonts w:ascii="Arial" w:cs="Arial" w:eastAsia="Arial" w:hAnsi="Arial"/>
                <w:sz w:val="15"/>
                <w:szCs w:val="15"/>
                <w:color w:val="auto"/>
              </w:rPr>
              <w:t>Initial cash investment in prior year</w:t>
            </w:r>
          </w:p>
        </w:tc>
        <w:tc>
          <w:tcPr>
            <w:tcW w:w="8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88"/>
              <w:spacing w:after="0"/>
              <w:rPr>
                <w:sz w:val="20"/>
                <w:szCs w:val="20"/>
                <w:color w:val="auto"/>
              </w:rPr>
            </w:pPr>
            <w:r>
              <w:rPr>
                <w:rFonts w:ascii="Arial" w:cs="Arial" w:eastAsia="Arial" w:hAnsi="Arial"/>
                <w:sz w:val="15"/>
                <w:szCs w:val="15"/>
                <w:color w:val="auto"/>
              </w:rPr>
              <w:t>—</w:t>
            </w:r>
          </w:p>
        </w:tc>
        <w:tc>
          <w:tcPr>
            <w:tcW w:w="4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(40,000 )</w:t>
            </w:r>
          </w:p>
        </w:tc>
      </w:tr>
      <w:tr>
        <w:trPr>
          <w:trHeight w:val="189"/>
        </w:trPr>
        <w:tc>
          <w:tcPr>
            <w:tcW w:w="6940" w:type="dxa"/>
            <w:vAlign w:val="bottom"/>
          </w:tcPr>
          <w:p>
            <w:pPr>
              <w:ind w:left="720"/>
              <w:spacing w:after="0"/>
              <w:rPr>
                <w:sz w:val="20"/>
                <w:szCs w:val="20"/>
                <w:color w:val="auto"/>
              </w:rPr>
            </w:pPr>
            <w:r>
              <w:rPr>
                <w:rFonts w:ascii="Arial" w:cs="Arial" w:eastAsia="Arial" w:hAnsi="Arial"/>
                <w:sz w:val="15"/>
                <w:szCs w:val="15"/>
                <w:color w:val="auto"/>
              </w:rPr>
              <w:t>Contingent consideration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(1,000 )</w:t>
            </w:r>
          </w:p>
        </w:tc>
      </w:tr>
      <w:tr>
        <w:trPr>
          <w:trHeight w:val="223"/>
        </w:trPr>
        <w:tc>
          <w:tcPr>
            <w:tcW w:w="694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5"/>
                <w:szCs w:val="15"/>
                <w:color w:val="auto"/>
              </w:rPr>
              <w:t>Net cash paid for acquisitions</w:t>
            </w:r>
          </w:p>
        </w:tc>
        <w:tc>
          <w:tcPr>
            <w:tcW w:w="880" w:type="dxa"/>
            <w:vAlign w:val="bottom"/>
            <w:tcBorders>
              <w:top w:val="single" w:sz="8" w:color="auto"/>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56,499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6940" w:type="dxa"/>
            <w:vAlign w:val="bottom"/>
          </w:tcPr>
          <w:p>
            <w:pPr>
              <w:spacing w:after="0" w:line="169" w:lineRule="exact"/>
              <w:rPr>
                <w:sz w:val="20"/>
                <w:szCs w:val="20"/>
                <w:color w:val="auto"/>
              </w:rPr>
            </w:pPr>
            <w:r>
              <w:rPr>
                <w:rFonts w:ascii="Arial" w:cs="Arial" w:eastAsia="Arial" w:hAnsi="Arial"/>
                <w:sz w:val="15"/>
                <w:szCs w:val="15"/>
                <w:b w:val="1"/>
                <w:bCs w:val="1"/>
                <w:color w:val="auto"/>
              </w:rPr>
              <w:t>Supplemental disclosure of non-cash investing activities: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9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Capital expenditures included in accrued expenses</w:t>
            </w:r>
          </w:p>
        </w:tc>
        <w:tc>
          <w:tcPr>
            <w:tcW w:w="880" w:type="dxa"/>
            <w:vAlign w:val="bottom"/>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333</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3,500</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-3719830</wp:posOffset>
            </wp:positionV>
            <wp:extent cx="6032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-3719830</wp:posOffset>
            </wp:positionV>
            <wp:extent cx="603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-2982595</wp:posOffset>
            </wp:positionV>
            <wp:extent cx="6032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-2982595</wp:posOffset>
            </wp:positionV>
            <wp:extent cx="603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-2005330</wp:posOffset>
            </wp:positionV>
            <wp:extent cx="6032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-2005330</wp:posOffset>
            </wp:positionV>
            <wp:extent cx="6032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-1508125</wp:posOffset>
            </wp:positionV>
            <wp:extent cx="6032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-1508125</wp:posOffset>
            </wp:positionV>
            <wp:extent cx="60325"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-264795</wp:posOffset>
            </wp:positionV>
            <wp:extent cx="110617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64" w:right="8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11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Definitive Healthcare Corp. (the “Company”) was formed on May 5, 2021 as a Delaware corporation to facilitate an initial public offering (“IPO”) and other related transactions to carry on the business of AIDH TopCo, LLC (“Definitive OpCo”). Following consummation of the Reorganization Transactions as described in the Company’s 2022 Form 10-K/A for the fiscal year ended December 31, 2022, Definitive OpCo became a subsidiary of Definitive Healthcare Corp. The Company, through its operating subsidiaries,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Massachusetts.</w:t>
      </w:r>
    </w:p>
    <w:p>
      <w:pPr>
        <w:spacing w:after="0" w:line="7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limited liability company interests (“LLC Units”) in Definitive OpCo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p>
    <w:p>
      <w:pPr>
        <w:spacing w:after="0" w:line="64"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condensed consolidated financial statements.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Reorganization Transactions and the IPO, Definitive Healthcare Corp entered into a tax receivable agreement. See Note 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condensed consolidated financial statements as of March 31, 2023 and for the three months ended March 31, 2023 and 2022 are unaudited and should be read in conjunction with the Company’s audited financial statements for the year ended December 31, 2022.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58"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consolidated financial statements in the 2022 Form 10-K/A for the Company’s significant accounting policies and estimates.</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useful lives of intangible assets acquired in business combinations, equity-based compensation, and income taxes. Actual results could differ from those estimates.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In June 2016, the FASB issued ASU No. 2016-13—</w:t>
      </w:r>
      <w:r>
        <w:rPr>
          <w:rFonts w:ascii="Arial" w:cs="Arial" w:eastAsia="Arial" w:hAnsi="Arial"/>
          <w:sz w:val="16"/>
          <w:szCs w:val="16"/>
          <w:i w:val="1"/>
          <w:iCs w:val="1"/>
          <w:color w:val="auto"/>
        </w:rPr>
        <w:t>Financial Instruments – Credit Losses (Topic 326) –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This standard is intended to improve financial reporting by requiring earlier recognition of credit losses on financing receivables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in scope, such as trade receivables. The amendment is effective for fiscal years beginning after December 15, 2022. The Company adopted the update effective January 1, 2023 and the adoption of the standard did not have a material impact on the Company's consolidated financial statements.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accounting standard setting bodies that the Company adopts as of the specified effective date. Unless otherwise discussed, we do not believe that the adoption of recently issued standards have had or may have a material impact on our condensed consolidated statements or disclosures.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2. Restatement of Previously Issued Financial Statements</w:t>
      </w:r>
    </w:p>
    <w:p>
      <w:pPr>
        <w:spacing w:after="0" w:line="12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The unaudited consolidated financial statements for the quarters ended March 31, 2023 and 2022 have been restated to reflect the correction of misstatements related to the collection of sales taxes on sales of services to customers as further described below (the “Misstatements”), along with other immaterial adjustments. The Company also restated all amounts impacted within the notes to the financial statements in this Amendment. A description of the adjustments and their impacts on the previously issued financial statements are included below.</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Restatement Adjustments</w:t>
      </w:r>
    </w:p>
    <w:p>
      <w:pPr>
        <w:spacing w:after="0" w:line="117"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In the first quarter of 2023, the Company began a review of its sales tax positions, and related accounting matters, with the assistance of outside consultants. As a result of the review, subsequent to the filing of the Original Report, the Company determined during the second quarter of 2023 that sales in certain states were subject to sales tax and that the Company had not assessed such sales tax on sales of its services to customers. The Company determined that it did not accrue sales taxes and corrected these Misstatements by recording sales tax accruals through general and administrative expense as of the end of the Affected Periods. These accrual amounts assume that (i) customers who have not yet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its outreach with voluntarily disclosures. The Company expects to make adjustments to the sales tax liability in future periods as and if it obtains any waivers of interest and penalties or other benefits from its voluntary disclosures and as and if it obtains additional documentation from customers supporting exemption from sales tax. The Misstatements that appeared in the previously issued financial statements of the Company were material.</w:t>
      </w:r>
    </w:p>
    <w:p>
      <w:pPr>
        <w:spacing w:after="0" w:line="6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light of the foregoing, the Company, in accordance with ASC 250, is restating the previously issued financial statements as of and for the quarters ended March 31, 2023 and 2022 to reflect the effects of the Misstatements and other immaterial adjustments, and to make certain corresponding disclosures. The balance sheets, statements of operations, total equity, statements of comprehensive loss, cash flows, and Notes 3, 8, 9, 16, and 17 were updated to reflect the restatement.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adjustments described above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March 31, 2023</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553"/>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6"/>
          </w:tcPr>
          <w:p>
            <w:pPr>
              <w:jc w:val="center"/>
              <w:ind w:right="400"/>
              <w:spacing w:after="0" w:line="133" w:lineRule="exact"/>
              <w:rPr>
                <w:sz w:val="20"/>
                <w:szCs w:val="20"/>
                <w:color w:val="auto"/>
              </w:rPr>
            </w:pPr>
            <w:r>
              <w:rPr>
                <w:rFonts w:ascii="Arial" w:cs="Arial" w:eastAsia="Arial" w:hAnsi="Arial"/>
                <w:sz w:val="14"/>
                <w:szCs w:val="14"/>
                <w:b w:val="1"/>
                <w:bCs w:val="1"/>
                <w:color w:val="auto"/>
                <w:w w:val="91"/>
              </w:rPr>
              <w:t>As previously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6"/>
          </w:tcPr>
          <w:p>
            <w:pPr>
              <w:jc w:val="right"/>
              <w:ind w:right="110"/>
              <w:spacing w:after="0" w:line="133" w:lineRule="exact"/>
              <w:rPr>
                <w:sz w:val="20"/>
                <w:szCs w:val="20"/>
                <w:color w:val="auto"/>
              </w:rPr>
            </w:pPr>
            <w:r>
              <w:rPr>
                <w:rFonts w:ascii="Arial" w:cs="Arial" w:eastAsia="Arial" w:hAnsi="Arial"/>
                <w:sz w:val="14"/>
                <w:szCs w:val="14"/>
                <w:b w:val="1"/>
                <w:bCs w:val="1"/>
                <w:color w:val="auto"/>
                <w:w w:val="95"/>
              </w:rPr>
              <w:t>As previously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reported</w:t>
            </w:r>
          </w:p>
        </w:tc>
        <w:tc>
          <w:tcPr>
            <w:tcW w:w="98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1"/>
              </w:rPr>
              <w:t>As Restated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1"/>
              </w:rPr>
              <w:t>As Restated</w:t>
            </w: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(15,600</w:t>
            </w:r>
          </w:p>
        </w:tc>
        <w:tc>
          <w:tcPr>
            <w:tcW w:w="1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(15,972</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gridSpan w:val="2"/>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(13,057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Net loss attributable to noncontrolling interests</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5"/>
              <w:spacing w:after="0"/>
              <w:rPr>
                <w:sz w:val="20"/>
                <w:szCs w:val="20"/>
                <w:color w:val="auto"/>
              </w:rPr>
            </w:pPr>
            <w:r>
              <w:rPr>
                <w:rFonts w:ascii="Arial" w:cs="Arial" w:eastAsia="Arial" w:hAnsi="Arial"/>
                <w:sz w:val="18"/>
                <w:szCs w:val="18"/>
                <w:color w:val="auto"/>
              </w:rPr>
              <w:t>(3,783 )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(3,909 )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(4,433 )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(4,458 )</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Net loss attributable to Definitive Healthcare Corp.</w:t>
            </w:r>
          </w:p>
        </w:tc>
        <w:tc>
          <w:tcPr>
            <w:tcW w:w="8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(11,817 )</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(12,063 )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6"/>
              </w:rPr>
              <w:t>(8,624 )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(8,581 )</w:t>
            </w:r>
          </w:p>
        </w:tc>
        <w:tc>
          <w:tcPr>
            <w:tcW w:w="560" w:type="dxa"/>
            <w:vAlign w:val="bottom"/>
          </w:tcPr>
          <w:p>
            <w:pPr>
              <w:spacing w:after="0"/>
              <w:rPr>
                <w:sz w:val="21"/>
                <w:szCs w:val="21"/>
                <w:color w:val="auto"/>
              </w:rPr>
            </w:pPr>
          </w:p>
        </w:tc>
      </w:tr>
      <w:tr>
        <w:trPr>
          <w:trHeight w:val="473"/>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2023</w:t>
            </w: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As previously reported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05"/>
              <w:spacing w:after="0"/>
              <w:rPr>
                <w:sz w:val="20"/>
                <w:szCs w:val="20"/>
                <w:color w:val="auto"/>
              </w:rPr>
            </w:pPr>
            <w:r>
              <w:rPr>
                <w:rFonts w:ascii="Arial" w:cs="Arial" w:eastAsia="Arial" w:hAnsi="Arial"/>
                <w:sz w:val="14"/>
                <w:szCs w:val="14"/>
                <w:b w:val="1"/>
                <w:bCs w:val="1"/>
                <w:color w:val="auto"/>
                <w:w w:val="88"/>
              </w:rPr>
              <w:t>As Restated</w:t>
            </w:r>
          </w:p>
        </w:tc>
        <w:tc>
          <w:tcPr>
            <w:tcW w:w="1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8"/>
          </w:tcPr>
          <w:p>
            <w:pPr>
              <w:ind w:left="40"/>
              <w:spacing w:after="0"/>
              <w:rPr>
                <w:sz w:val="20"/>
                <w:szCs w:val="20"/>
                <w:color w:val="auto"/>
              </w:rPr>
            </w:pPr>
            <w:r>
              <w:rPr>
                <w:rFonts w:ascii="Arial" w:cs="Arial" w:eastAsia="Arial" w:hAnsi="Arial"/>
                <w:sz w:val="14"/>
                <w:szCs w:val="14"/>
                <w:b w:val="1"/>
                <w:bCs w:val="1"/>
                <w:color w:val="auto"/>
                <w:w w:val="97"/>
              </w:rPr>
              <w:t>As previously reported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w w:val="91"/>
              </w:rPr>
              <w:t>As Restated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2,115,236</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2,116,867</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6"/>
            <w:shd w:val="clear" w:color="auto" w:fill="CFF0FC"/>
          </w:tcPr>
          <w:p>
            <w:pPr>
              <w:jc w:val="right"/>
              <w:spacing w:after="0"/>
              <w:rPr>
                <w:sz w:val="20"/>
                <w:szCs w:val="20"/>
                <w:color w:val="auto"/>
              </w:rPr>
            </w:pPr>
            <w:r>
              <w:rPr>
                <w:rFonts w:ascii="Arial" w:cs="Arial" w:eastAsia="Arial" w:hAnsi="Arial"/>
                <w:sz w:val="18"/>
                <w:szCs w:val="18"/>
                <w:color w:val="auto"/>
              </w:rPr>
              <w:t>2,120,993</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2,122,624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645,785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653,009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633,772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640,679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6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1,469,451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1,463,858</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1,487,221</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1,481,945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756"/>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categories of restatement adjustments and their impacts on previously reported financial statements are described below:</w:t>
      </w:r>
    </w:p>
    <w:p>
      <w:pPr>
        <w:spacing w:after="0" w:line="225" w:lineRule="exact"/>
        <w:rPr>
          <w:sz w:val="20"/>
          <w:szCs w:val="20"/>
          <w:color w:val="auto"/>
        </w:rPr>
      </w:pPr>
    </w:p>
    <w:p>
      <w:pPr>
        <w:ind w:left="1020" w:right="380" w:hanging="503"/>
        <w:spacing w:after="0" w:line="259" w:lineRule="auto"/>
        <w:tabs>
          <w:tab w:leader="none" w:pos="10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Tax and Related Misstatements </w:t>
      </w:r>
      <w:r>
        <w:rPr>
          <w:rFonts w:ascii="Arial" w:cs="Arial" w:eastAsia="Arial" w:hAnsi="Arial"/>
          <w:sz w:val="18"/>
          <w:szCs w:val="18"/>
          <w:color w:val="auto"/>
        </w:rPr>
        <w:t>– Sales tax on sales of services to customers who were subject to sales tax, inclusive of maximum</w:t>
      </w:r>
      <w:r>
        <w:rPr>
          <w:rFonts w:ascii="Arial" w:cs="Arial" w:eastAsia="Arial" w:hAnsi="Arial"/>
          <w:sz w:val="18"/>
          <w:szCs w:val="18"/>
          <w:i w:val="1"/>
          <w:iCs w:val="1"/>
          <w:color w:val="auto"/>
        </w:rPr>
        <w:t xml:space="preserve"> </w:t>
      </w:r>
      <w:r>
        <w:rPr>
          <w:rFonts w:ascii="Arial" w:cs="Arial" w:eastAsia="Arial" w:hAnsi="Arial"/>
          <w:sz w:val="18"/>
          <w:szCs w:val="18"/>
          <w:color w:val="auto"/>
        </w:rPr>
        <w:t>penalties and interest, that was not previously accrued by the Company is corrected by an increase to accrued expenses and other current liabilities on the condensed consolidated balance sheets and an increase to general and administrative expenses on the condensed consolidated statements of operations.</w:t>
      </w:r>
    </w:p>
    <w:p>
      <w:pPr>
        <w:spacing w:after="0" w:line="78" w:lineRule="exact"/>
        <w:rPr>
          <w:rFonts w:ascii="Arial" w:cs="Arial" w:eastAsia="Arial" w:hAnsi="Arial"/>
          <w:sz w:val="18"/>
          <w:szCs w:val="18"/>
          <w:i w:val="1"/>
          <w:iCs w:val="1"/>
          <w:color w:val="auto"/>
        </w:rPr>
      </w:pPr>
    </w:p>
    <w:p>
      <w:pPr>
        <w:ind w:left="1020" w:hanging="503"/>
        <w:spacing w:after="0" w:line="267" w:lineRule="auto"/>
        <w:tabs>
          <w:tab w:leader="none" w:pos="10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Related Impact on Tax Receivable Agreement ("TRA")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Any impact on tax receivable gains and losses due to the corrections in (a) above is reflected</w:t>
      </w:r>
      <w:r>
        <w:rPr>
          <w:rFonts w:ascii="Arial" w:cs="Arial" w:eastAsia="Arial" w:hAnsi="Arial"/>
          <w:sz w:val="17"/>
          <w:szCs w:val="17"/>
          <w:i w:val="1"/>
          <w:iCs w:val="1"/>
          <w:color w:val="auto"/>
        </w:rPr>
        <w:t xml:space="preserve"> </w:t>
      </w:r>
      <w:r>
        <w:rPr>
          <w:rFonts w:ascii="Arial" w:cs="Arial" w:eastAsia="Arial" w:hAnsi="Arial"/>
          <w:sz w:val="17"/>
          <w:szCs w:val="17"/>
          <w:color w:val="auto"/>
        </w:rPr>
        <w:t>as a change in the tax receivable agreement liability on the condensed consolidated balance sheets and a change in other expense on the condensed consolidated statements of operations.</w:t>
      </w:r>
    </w:p>
    <w:p>
      <w:pPr>
        <w:spacing w:after="0" w:line="73" w:lineRule="exact"/>
        <w:rPr>
          <w:rFonts w:ascii="Arial" w:cs="Arial" w:eastAsia="Arial" w:hAnsi="Arial"/>
          <w:sz w:val="17"/>
          <w:szCs w:val="17"/>
          <w:i w:val="1"/>
          <w:iCs w:val="1"/>
          <w:color w:val="auto"/>
        </w:rPr>
      </w:pPr>
    </w:p>
    <w:p>
      <w:pPr>
        <w:ind w:left="1020" w:right="20" w:hanging="503"/>
        <w:spacing w:after="0" w:line="274" w:lineRule="auto"/>
        <w:tabs>
          <w:tab w:leader="none" w:pos="10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Price Allocation Misstatement – </w:t>
      </w:r>
      <w:r>
        <w:rPr>
          <w:rFonts w:ascii="Arial" w:cs="Arial" w:eastAsia="Arial" w:hAnsi="Arial"/>
          <w:sz w:val="16"/>
          <w:szCs w:val="16"/>
          <w:color w:val="auto"/>
        </w:rPr>
        <w:t>In connection with the Company’s acquisition of Monocl Holding Company, the Company had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failed to record a deferred tax liability related to identified intangible assets of Monocl Holding Company. Therefore, the Company corrected the opening purchase price allocation of Monocl Holding Company to record an opening deferred tax liability with an offset to goodwill on the condensed consolidated balance sheets. The opening deferred tax liability subsequently resulted in an increase in benefit from income taxes on the condensed consolidated statements of operations through the period ending March 31, 2022.</w:t>
      </w:r>
    </w:p>
    <w:p>
      <w:pPr>
        <w:spacing w:after="0" w:line="73" w:lineRule="exact"/>
        <w:rPr>
          <w:rFonts w:ascii="Arial" w:cs="Arial" w:eastAsia="Arial" w:hAnsi="Arial"/>
          <w:sz w:val="16"/>
          <w:szCs w:val="16"/>
          <w:i w:val="1"/>
          <w:iCs w:val="1"/>
          <w:color w:val="auto"/>
        </w:rPr>
      </w:pPr>
    </w:p>
    <w:p>
      <w:pPr>
        <w:ind w:left="1020" w:right="160" w:hanging="503"/>
        <w:spacing w:after="0" w:line="267" w:lineRule="auto"/>
        <w:tabs>
          <w:tab w:leader="none" w:pos="102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Related Impact on Noncontrolling Interests </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Any impact on noncontrolling interests resulting from the allocation of net loss due to the corrections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(a) and (c) above is reflected as (i) a change in the net loss attributable to noncontrolling interests on the condensed consolidated statements of operations, and (ii) a change in noncontrolling interests on the condensed consolidated balance sheets.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summarizes the impacts of the correction of the Misstatements and other adjustments for the quarters ended March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03"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following table sets forth the corrections in each of the individual line items affected in the condensed consolidated statements of operations for each respective period:</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r>
      <w:tr>
        <w:trPr>
          <w:trHeight w:val="169"/>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March 31, 2023</w:t>
            </w: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Increase in general and administrative expense (a)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Increase in gain on remeasurement of TRA liability (other income) (b)</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Increase in benefit from income taxes (c)</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Increase (decrease) in net loss due to restatement items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(18 )</w:t>
            </w:r>
          </w:p>
        </w:tc>
      </w:tr>
      <w:tr>
        <w:trPr>
          <w:trHeight w:val="24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loss attributable to noncontrolling interests due to restatement items (d)</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1"/>
                <w:szCs w:val="21"/>
                <w:color w:val="auto"/>
              </w:rPr>
            </w:pPr>
          </w:p>
        </w:tc>
      </w:tr>
      <w:tr>
        <w:trPr>
          <w:trHeight w:val="215"/>
        </w:trPr>
        <w:tc>
          <w:tcPr>
            <w:tcW w:w="6940" w:type="dxa"/>
            <w:vAlign w:val="bottom"/>
          </w:tcPr>
          <w:p>
            <w:pPr>
              <w:spacing w:after="0"/>
              <w:rPr>
                <w:sz w:val="20"/>
                <w:szCs w:val="20"/>
                <w:color w:val="auto"/>
              </w:rPr>
            </w:pPr>
            <w:r>
              <w:rPr>
                <w:rFonts w:ascii="Arial" w:cs="Arial" w:eastAsia="Arial" w:hAnsi="Arial"/>
                <w:sz w:val="18"/>
                <w:szCs w:val="18"/>
                <w:color w:val="auto"/>
                <w:w w:val="94"/>
              </w:rPr>
              <w:t>Increase (decrease) in net loss attributable to Definitive Healthcare Corp. due to restatement</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items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(43 )</w:t>
            </w:r>
          </w:p>
        </w:tc>
      </w:tr>
    </w:tbl>
    <w:p>
      <w:pPr>
        <w:spacing w:after="0" w:line="4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See footnote descriptions above</w:t>
      </w:r>
    </w:p>
    <w:p>
      <w:pPr>
        <w:ind w:left="1100" w:hanging="224"/>
        <w:spacing w:after="0" w:line="221" w:lineRule="auto"/>
        <w:tabs>
          <w:tab w:leader="none" w:pos="1100" w:val="left"/>
        </w:tabs>
        <w:numPr>
          <w:ilvl w:val="0"/>
          <w:numId w:val="6"/>
        </w:numPr>
        <w:rPr>
          <w:rFonts w:ascii="Arial" w:cs="Arial" w:eastAsia="Arial" w:hAnsi="Arial"/>
          <w:sz w:val="14"/>
          <w:szCs w:val="14"/>
          <w:color w:val="auto"/>
        </w:rPr>
      </w:pPr>
      <w:r>
        <w:rPr>
          <w:rFonts w:ascii="Arial" w:cs="Arial" w:eastAsia="Arial" w:hAnsi="Arial"/>
          <w:sz w:val="14"/>
          <w:szCs w:val="14"/>
          <w:color w:val="auto"/>
        </w:rPr>
        <w:t>Sales Tax</w:t>
      </w:r>
    </w:p>
    <w:p>
      <w:pPr>
        <w:ind w:left="1120" w:hanging="244"/>
        <w:spacing w:after="0" w:line="221" w:lineRule="auto"/>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Related Impact on TRA</w:t>
      </w:r>
    </w:p>
    <w:p>
      <w:pPr>
        <w:ind w:left="1100" w:hanging="224"/>
        <w:spacing w:after="0" w:line="221" w:lineRule="auto"/>
        <w:tabs>
          <w:tab w:leader="none" w:pos="11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 Price Allocation Misstatement</w:t>
      </w:r>
    </w:p>
    <w:p>
      <w:pPr>
        <w:ind w:left="1120" w:hanging="244"/>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Related Impact on Noncontrolling Interests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 2023</w:t>
            </w:r>
          </w:p>
        </w:tc>
        <w:tc>
          <w:tcPr>
            <w:tcW w:w="100" w:type="dxa"/>
            <w:vAlign w:val="bottom"/>
          </w:tcPr>
          <w:p>
            <w:pPr>
              <w:spacing w:after="0"/>
              <w:rPr>
                <w:sz w:val="16"/>
                <w:szCs w:val="16"/>
                <w:color w:val="auto"/>
              </w:rPr>
            </w:pPr>
          </w:p>
        </w:tc>
        <w:tc>
          <w:tcPr>
            <w:tcW w:w="254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w w:val="95"/>
              </w:rPr>
              <w:t>Three Months Ended March 31, 2022</w:t>
            </w:r>
          </w:p>
        </w:tc>
        <w:tc>
          <w:tcPr>
            <w:tcW w:w="280" w:type="dxa"/>
            <w:vAlign w:val="bottom"/>
          </w:tcPr>
          <w:p>
            <w:pPr>
              <w:spacing w:after="0"/>
              <w:rPr>
                <w:sz w:val="16"/>
                <w:szCs w:val="16"/>
                <w:color w:val="auto"/>
              </w:rPr>
            </w:pPr>
          </w:p>
        </w:tc>
      </w:tr>
      <w:tr>
        <w:trPr>
          <w:trHeight w:val="133"/>
        </w:trPr>
        <w:tc>
          <w:tcPr>
            <w:tcW w:w="30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As previously</w:t>
            </w: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310"/>
              <w:spacing w:after="0" w:line="133" w:lineRule="exact"/>
              <w:rPr>
                <w:sz w:val="20"/>
                <w:szCs w:val="20"/>
                <w:color w:val="auto"/>
              </w:rPr>
            </w:pPr>
            <w:r>
              <w:rPr>
                <w:rFonts w:ascii="Arial" w:cs="Arial" w:eastAsia="Arial" w:hAnsi="Arial"/>
                <w:sz w:val="14"/>
                <w:szCs w:val="14"/>
                <w:b w:val="1"/>
                <w:bCs w:val="1"/>
                <w:color w:val="auto"/>
                <w:w w:val="93"/>
              </w:rPr>
              <w:t>As previously</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85"/>
        </w:trPr>
        <w:tc>
          <w:tcPr>
            <w:tcW w:w="30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share amounts and per share data)</w:t>
            </w:r>
          </w:p>
        </w:tc>
        <w:tc>
          <w:tcPr>
            <w:tcW w:w="140" w:type="dxa"/>
            <w:vAlign w:val="bottom"/>
          </w:tcPr>
          <w:p>
            <w:pPr>
              <w:spacing w:after="0"/>
              <w:rPr>
                <w:sz w:val="16"/>
                <w:szCs w:val="16"/>
                <w:color w:val="auto"/>
              </w:rPr>
            </w:pPr>
          </w:p>
        </w:tc>
        <w:tc>
          <w:tcPr>
            <w:tcW w:w="130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6"/>
                <w:szCs w:val="16"/>
                <w:color w:val="auto"/>
              </w:rPr>
            </w:pPr>
          </w:p>
        </w:tc>
        <w:tc>
          <w:tcPr>
            <w:tcW w:w="12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w w:val="96"/>
              </w:rPr>
              <w:t>As Restated</w:t>
            </w:r>
          </w:p>
        </w:tc>
        <w:tc>
          <w:tcPr>
            <w:tcW w:w="100" w:type="dxa"/>
            <w:vAlign w:val="bottom"/>
          </w:tcPr>
          <w:p>
            <w:pPr>
              <w:spacing w:after="0"/>
              <w:rPr>
                <w:sz w:val="16"/>
                <w:szCs w:val="16"/>
                <w:color w:val="auto"/>
              </w:rPr>
            </w:pPr>
          </w:p>
        </w:tc>
        <w:tc>
          <w:tcPr>
            <w:tcW w:w="128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6"/>
                <w:szCs w:val="16"/>
                <w:color w:val="auto"/>
              </w:rPr>
            </w:pPr>
          </w:p>
        </w:tc>
        <w:tc>
          <w:tcPr>
            <w:tcW w:w="1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3"/>
              </w:rPr>
              <w:t>As Restated</w:t>
            </w:r>
          </w:p>
        </w:tc>
        <w:tc>
          <w:tcPr>
            <w:tcW w:w="280" w:type="dxa"/>
            <w:vAlign w:val="bottom"/>
          </w:tcPr>
          <w:p>
            <w:pPr>
              <w:spacing w:after="0"/>
              <w:rPr>
                <w:sz w:val="16"/>
                <w:szCs w:val="16"/>
                <w:color w:val="auto"/>
              </w:rPr>
            </w:pPr>
          </w:p>
        </w:tc>
      </w:tr>
      <w:tr>
        <w:trPr>
          <w:trHeight w:val="236"/>
        </w:trPr>
        <w:tc>
          <w:tcPr>
            <w:tcW w:w="300" w:type="dxa"/>
            <w:vAlign w:val="bottom"/>
          </w:tcPr>
          <w:p>
            <w:pPr>
              <w:spacing w:after="0"/>
              <w:rPr>
                <w:sz w:val="20"/>
                <w:szCs w:val="20"/>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59,201</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59,201</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50,124</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50,124</w:t>
            </w:r>
          </w:p>
        </w:tc>
        <w:tc>
          <w:tcPr>
            <w:tcW w:w="1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 of revenue exclusive of amortization</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51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47,295</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47,295</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38,796</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38,796</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9,884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5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Transaction, integration, and restructuring expenses</w:t>
            </w: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51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59,566</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5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(10,985</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300" w:type="dxa"/>
            <w:vAlign w:val="bottom"/>
          </w:tcPr>
          <w:p>
            <w:pPr>
              <w:spacing w:after="0"/>
              <w:rPr>
                <w:sz w:val="21"/>
                <w:szCs w:val="21"/>
                <w:color w:val="auto"/>
              </w:rPr>
            </w:pPr>
          </w:p>
        </w:tc>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(3,614 )</w:t>
            </w:r>
          </w:p>
        </w:tc>
        <w:tc>
          <w:tcPr>
            <w:tcW w:w="16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(3,614 )</w:t>
            </w:r>
          </w:p>
        </w:tc>
        <w:tc>
          <w:tcPr>
            <w:tcW w:w="10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(1,954 )</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(1,954 )</w:t>
            </w: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5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(3,698 )</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(3,631 )</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(101 )</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280" w:type="dxa"/>
            <w:vAlign w:val="bottom"/>
          </w:tcPr>
          <w:p>
            <w:pPr>
              <w:spacing w:after="0"/>
              <w:rPr>
                <w:sz w:val="21"/>
                <w:szCs w:val="21"/>
                <w:color w:val="auto"/>
              </w:rPr>
            </w:pPr>
          </w:p>
        </w:tc>
      </w:tr>
      <w:tr>
        <w:trPr>
          <w:trHeight w:val="20"/>
        </w:trPr>
        <w:tc>
          <w:tcPr>
            <w:tcW w:w="300" w:type="dxa"/>
            <w:vAlign w:val="bottom"/>
          </w:tcPr>
          <w:p>
            <w:pPr>
              <w:spacing w:after="0" w:line="20" w:lineRule="exact"/>
              <w:rPr>
                <w:sz w:val="1"/>
                <w:szCs w:val="1"/>
                <w:color w:val="auto"/>
              </w:rPr>
            </w:pPr>
          </w:p>
        </w:tc>
        <w:tc>
          <w:tcPr>
            <w:tcW w:w="5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514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(4,478 )</w:t>
            </w:r>
          </w:p>
        </w:tc>
        <w:tc>
          <w:tcPr>
            <w:tcW w:w="16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(4,411 )</w:t>
            </w:r>
          </w:p>
        </w:tc>
        <w:tc>
          <w:tcPr>
            <w:tcW w:w="10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(1,985 )</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(1,899 )</w:t>
            </w: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5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Benefit from (provision for) income taxes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(87 )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514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(13,057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14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(3,783 )</w:t>
            </w:r>
          </w:p>
        </w:tc>
        <w:tc>
          <w:tcPr>
            <w:tcW w:w="16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(3,909 )</w:t>
            </w:r>
          </w:p>
        </w:tc>
        <w:tc>
          <w:tcPr>
            <w:tcW w:w="10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(4,433 )</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(4,458 )</w:t>
            </w:r>
          </w:p>
        </w:tc>
        <w:tc>
          <w:tcPr>
            <w:tcW w:w="280" w:type="dxa"/>
            <w:vAlign w:val="bottom"/>
          </w:tcPr>
          <w:p>
            <w:pPr>
              <w:spacing w:after="0"/>
              <w:rPr>
                <w:sz w:val="20"/>
                <w:szCs w:val="20"/>
                <w:color w:val="auto"/>
              </w:rPr>
            </w:pPr>
          </w:p>
        </w:tc>
      </w:tr>
      <w:tr>
        <w:trPr>
          <w:trHeight w:val="283"/>
        </w:trPr>
        <w:tc>
          <w:tcPr>
            <w:tcW w:w="300" w:type="dxa"/>
            <w:vAlign w:val="bottom"/>
          </w:tcPr>
          <w:p>
            <w:pPr>
              <w:spacing w:after="0"/>
              <w:rPr>
                <w:sz w:val="24"/>
                <w:szCs w:val="24"/>
                <w:color w:val="auto"/>
              </w:rPr>
            </w:pPr>
          </w:p>
        </w:tc>
        <w:tc>
          <w:tcPr>
            <w:tcW w:w="51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loss attributable to Definitive Healthcare Corp.</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r>
      <w:tr>
        <w:trPr>
          <w:trHeight w:val="217"/>
        </w:trPr>
        <w:tc>
          <w:tcPr>
            <w:tcW w:w="30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Net loss per share of Class A Common Stock:</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89"/>
        </w:trPr>
        <w:tc>
          <w:tcPr>
            <w:tcW w:w="300" w:type="dxa"/>
            <w:vAlign w:val="bottom"/>
          </w:tcPr>
          <w:p>
            <w:pPr>
              <w:spacing w:after="0"/>
              <w:rPr>
                <w:sz w:val="24"/>
                <w:szCs w:val="24"/>
                <w:color w:val="auto"/>
              </w:rPr>
            </w:pPr>
          </w:p>
        </w:tc>
        <w:tc>
          <w:tcPr>
            <w:tcW w:w="5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(0.11 )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(0.11 )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(0.09 )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(0.09 )</w:t>
            </w:r>
          </w:p>
        </w:tc>
        <w:tc>
          <w:tcPr>
            <w:tcW w:w="280" w:type="dxa"/>
            <w:vAlign w:val="bottom"/>
          </w:tcPr>
          <w:p>
            <w:pPr>
              <w:spacing w:after="0"/>
              <w:rPr>
                <w:sz w:val="24"/>
                <w:szCs w:val="24"/>
                <w:color w:val="auto"/>
              </w:rPr>
            </w:pPr>
          </w:p>
        </w:tc>
      </w:tr>
      <w:tr>
        <w:trPr>
          <w:trHeight w:val="217"/>
        </w:trPr>
        <w:tc>
          <w:tcPr>
            <w:tcW w:w="300" w:type="dxa"/>
            <w:vAlign w:val="bottom"/>
          </w:tcPr>
          <w:p>
            <w:pPr>
              <w:spacing w:after="0"/>
              <w:rPr>
                <w:sz w:val="18"/>
                <w:szCs w:val="18"/>
                <w:color w:val="auto"/>
              </w:rPr>
            </w:pPr>
          </w:p>
        </w:tc>
        <w:tc>
          <w:tcPr>
            <w:tcW w:w="514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Weighted average Common Stock outstanding:</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Pr>
          <w:p>
            <w:pPr>
              <w:spacing w:after="0"/>
              <w:rPr>
                <w:sz w:val="18"/>
                <w:szCs w:val="18"/>
                <w:color w:val="auto"/>
              </w:rPr>
            </w:pPr>
          </w:p>
        </w:tc>
      </w:tr>
      <w:tr>
        <w:trPr>
          <w:trHeight w:val="289"/>
        </w:trPr>
        <w:tc>
          <w:tcPr>
            <w:tcW w:w="300" w:type="dxa"/>
            <w:vAlign w:val="bottom"/>
          </w:tcPr>
          <w:p>
            <w:pPr>
              <w:spacing w:after="0"/>
              <w:rPr>
                <w:sz w:val="24"/>
                <w:szCs w:val="24"/>
                <w:color w:val="auto"/>
              </w:rPr>
            </w:pPr>
          </w:p>
        </w:tc>
        <w:tc>
          <w:tcPr>
            <w:tcW w:w="5140" w:type="dxa"/>
            <w:vAlign w:val="bottom"/>
            <w:tcBorders>
              <w:bottom w:val="single" w:sz="8" w:color="CFF0FC"/>
            </w:tcBorders>
            <w:shd w:val="clear" w:color="auto" w:fill="CFF0FC"/>
          </w:tcPr>
          <w:p>
            <w:pPr>
              <w:ind w:left="360"/>
              <w:spacing w:after="0" w:line="249" w:lineRule="exact"/>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24"/>
                <w:szCs w:val="24"/>
                <w:color w:val="auto"/>
                <w:vertAlign w:val="superscript"/>
              </w:rPr>
              <w:t>(1)</w:t>
            </w:r>
          </w:p>
        </w:tc>
        <w:tc>
          <w:tcPr>
            <w:tcW w:w="14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108,234,043</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108,234,043</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97,158,823</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97,158,823</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Pr>
          <w:p>
            <w:pPr>
              <w:spacing w:after="0"/>
              <w:rPr>
                <w:sz w:val="24"/>
                <w:szCs w:val="24"/>
                <w:color w:val="auto"/>
              </w:rPr>
            </w:pPr>
          </w:p>
        </w:tc>
      </w:tr>
      <w:tr>
        <w:trPr>
          <w:trHeight w:val="737"/>
        </w:trPr>
        <w:tc>
          <w:tcPr>
            <w:tcW w:w="3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0" w:type="dxa"/>
            <w:vAlign w:val="bottom"/>
            <w:gridSpan w:val="2"/>
          </w:tcPr>
          <w:p>
            <w:pPr>
              <w:jc w:val="right"/>
              <w:ind w:right="832"/>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-4105275</wp:posOffset>
            </wp:positionV>
            <wp:extent cx="6858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-4105275</wp:posOffset>
            </wp:positionV>
            <wp:extent cx="6858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-4105275</wp:posOffset>
            </wp:positionV>
            <wp:extent cx="6032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-4105275</wp:posOffset>
            </wp:positionV>
            <wp:extent cx="6032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-3171190</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-3171190</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-3171190</wp:posOffset>
            </wp:positionV>
            <wp:extent cx="6032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-3171190</wp:posOffset>
            </wp:positionV>
            <wp:extent cx="6032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-2228215</wp:posOffset>
            </wp:positionV>
            <wp:extent cx="685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-2228215</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-2228215</wp:posOffset>
            </wp:positionV>
            <wp:extent cx="6032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-2228215</wp:posOffset>
            </wp:positionV>
            <wp:extent cx="6032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-1585595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-1585595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-1585595</wp:posOffset>
            </wp:positionV>
            <wp:extent cx="6032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-1585595</wp:posOffset>
            </wp:positionV>
            <wp:extent cx="6032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-1259205</wp:posOffset>
            </wp:positionV>
            <wp:extent cx="274320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43200" cy="17970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-925195</wp:posOffset>
            </wp:positionV>
            <wp:extent cx="274320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43200" cy="18034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-590550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-573405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-590550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-573405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-590550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-573405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-590550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-573405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6" w:name="page17"/>
    <w:bookmarkEnd w:id="16"/>
    <w:p>
      <w:pPr>
        <w:ind w:right="400" w:firstLine="509"/>
        <w:spacing w:after="0" w:line="277" w:lineRule="auto"/>
        <w:rPr>
          <w:sz w:val="20"/>
          <w:szCs w:val="20"/>
          <w:color w:val="auto"/>
        </w:rPr>
      </w:pPr>
      <w:r>
        <w:rPr>
          <w:rFonts w:ascii="Arial" w:cs="Arial" w:eastAsia="Arial" w:hAnsi="Arial"/>
          <w:sz w:val="18"/>
          <w:szCs w:val="18"/>
          <w:color w:val="auto"/>
        </w:rPr>
        <w:t>The following table sets forth the corrections in each of the line items affected in the condensed consolidated balance sheets for each respective period: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As previously reported</w:t>
            </w:r>
          </w:p>
        </w:tc>
        <w:tc>
          <w:tcPr>
            <w:tcW w:w="40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Restatement</w:t>
            </w:r>
          </w:p>
        </w:tc>
        <w:tc>
          <w:tcPr>
            <w:tcW w:w="420" w:type="dxa"/>
            <w:vAlign w:val="bottom"/>
          </w:tcPr>
          <w:p>
            <w:pPr>
              <w:spacing w:after="0"/>
              <w:rPr>
                <w:sz w:val="14"/>
                <w:szCs w:val="14"/>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4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March 31, 2023</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1,323,102</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2,115,236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2,116,867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8,546</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142,620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Tax receivable agreements liability, net of current portion</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161,721</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(1,322 )</w:t>
            </w: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645,785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1,020,709</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(2,017 )</w:t>
            </w: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1,018,692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(35,531 )</w:t>
            </w:r>
          </w:p>
        </w:tc>
        <w:tc>
          <w:tcPr>
            <w:tcW w:w="4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(1,594 )</w:t>
            </w:r>
          </w:p>
        </w:tc>
        <w:tc>
          <w:tcPr>
            <w:tcW w:w="4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(37,125 )</w:t>
            </w: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481,370</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(1,982 )</w:t>
            </w: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479,388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1,469,451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(5,593 )</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1,463,858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2,115,236</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2,116,867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4740" w:type="dxa"/>
            <w:vAlign w:val="bottom"/>
          </w:tcPr>
          <w:p>
            <w:pPr>
              <w:spacing w:after="0"/>
              <w:rPr>
                <w:sz w:val="20"/>
                <w:szCs w:val="20"/>
                <w:color w:val="auto"/>
              </w:rPr>
            </w:pPr>
            <w:r>
              <w:rPr>
                <w:rFonts w:ascii="Arial" w:cs="Arial" w:eastAsia="Arial" w:hAnsi="Arial"/>
                <w:sz w:val="18"/>
                <w:szCs w:val="18"/>
                <w:i w:val="1"/>
                <w:iCs w:val="1"/>
                <w:color w:val="auto"/>
              </w:rPr>
              <w:t>December 31, 2022</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4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1,323,102</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2,120,993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2,122,624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132,503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Tax receivable agreements liability, net of current portion</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156,311</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(1,200 )</w:t>
            </w: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633,772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972,077</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(1,870 )</w:t>
            </w: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(23,714 )</w:t>
            </w:r>
          </w:p>
        </w:tc>
        <w:tc>
          <w:tcPr>
            <w:tcW w:w="4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(1,348 )</w:t>
            </w:r>
          </w:p>
        </w:tc>
        <w:tc>
          <w:tcPr>
            <w:tcW w:w="4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(25,062 )</w:t>
            </w: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535,085</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(2,058 )</w:t>
            </w: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533,027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1,487,221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(5,276 )</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1,481,945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2,120,993</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2,122,624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following table sets forth the corrections in each of the line items affected in the condensed consolidated statements of changes in total equity for each respective period: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15"/>
                <w:szCs w:val="15"/>
                <w:color w:val="auto"/>
              </w:rPr>
            </w:pPr>
          </w:p>
        </w:tc>
        <w:tc>
          <w:tcPr>
            <w:tcW w:w="13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5"/>
                <w:szCs w:val="15"/>
                <w:color w:val="auto"/>
              </w:rPr>
            </w:pPr>
          </w:p>
        </w:tc>
      </w:tr>
      <w:tr>
        <w:trPr>
          <w:trHeight w:val="185"/>
        </w:trPr>
        <w:tc>
          <w:tcPr>
            <w:tcW w:w="58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34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Interests</w:t>
            </w:r>
          </w:p>
        </w:tc>
        <w:tc>
          <w:tcPr>
            <w:tcW w:w="26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4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December 31, 2022</w:t>
            </w:r>
          </w:p>
        </w:tc>
        <w:tc>
          <w:tcPr>
            <w:tcW w:w="1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 reported</w:t>
            </w:r>
          </w:p>
        </w:tc>
        <w:tc>
          <w:tcPr>
            <w:tcW w:w="42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972,077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(23,714 )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535,085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1,487,221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Adjustment due to cumulative error correction</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(1,870 )</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(1,348 )</w:t>
            </w: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(2,058 )</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(5,276 )</w:t>
            </w: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As restated</w:t>
            </w:r>
          </w:p>
        </w:tc>
        <w:tc>
          <w:tcPr>
            <w:tcW w:w="16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970,207</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(25,062 )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533,027</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1,481,945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March 31, 2023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As reported</w:t>
            </w:r>
          </w:p>
        </w:tc>
        <w:tc>
          <w:tcPr>
            <w:tcW w:w="42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(35,531 )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481,370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1,469,451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Adjustment due to cumulative error correction</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(2,017 )</w:t>
            </w:r>
          </w:p>
        </w:tc>
        <w:tc>
          <w:tcPr>
            <w:tcW w:w="16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(1,594 )</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(1,982 )</w:t>
            </w: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(5,593 )</w:t>
            </w:r>
          </w:p>
        </w:tc>
        <w:tc>
          <w:tcPr>
            <w:tcW w:w="560" w:type="dxa"/>
            <w:vAlign w:val="bottom"/>
          </w:tcPr>
          <w:p>
            <w:pPr>
              <w:spacing w:after="0"/>
              <w:rPr>
                <w:sz w:val="20"/>
                <w:szCs w:val="20"/>
                <w:color w:val="auto"/>
              </w:rPr>
            </w:pPr>
          </w:p>
        </w:tc>
      </w:tr>
      <w:tr>
        <w:trPr>
          <w:trHeight w:val="283"/>
        </w:trPr>
        <w:tc>
          <w:tcPr>
            <w:tcW w:w="580" w:type="dxa"/>
            <w:vAlign w:val="bottom"/>
          </w:tcPr>
          <w:p>
            <w:pPr>
              <w:spacing w:after="0"/>
              <w:rPr>
                <w:sz w:val="24"/>
                <w:szCs w:val="24"/>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 restated</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1,018,692</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479,388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1,463,858</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736"/>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-1559560</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-1559560</wp:posOffset>
            </wp:positionV>
            <wp:extent cx="603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-1559560</wp:posOffset>
            </wp:positionV>
            <wp:extent cx="6032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-1559560</wp:posOffset>
            </wp:positionV>
            <wp:extent cx="6032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-590550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-574040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-590550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-574040</wp:posOffset>
            </wp:positionV>
            <wp:extent cx="60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-590550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-574040</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-574040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ind w:firstLine="509"/>
        <w:spacing w:after="0" w:line="277" w:lineRule="auto"/>
        <w:rPr>
          <w:sz w:val="20"/>
          <w:szCs w:val="20"/>
          <w:color w:val="auto"/>
        </w:rPr>
      </w:pPr>
      <w:r>
        <w:rPr>
          <w:rFonts w:ascii="Arial" w:cs="Arial" w:eastAsia="Arial" w:hAnsi="Arial"/>
          <w:sz w:val="18"/>
          <w:szCs w:val="18"/>
          <w:color w:val="auto"/>
        </w:rPr>
        <w:t>The following table sets forth the corrections in each of the line items affected in the condensed consolidated statements of cash flows for each respective period:</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As previously reported</w:t>
            </w:r>
          </w:p>
        </w:tc>
        <w:tc>
          <w:tcPr>
            <w:tcW w:w="34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Error correction</w:t>
            </w:r>
          </w:p>
        </w:tc>
        <w:tc>
          <w:tcPr>
            <w:tcW w:w="420" w:type="dxa"/>
            <w:vAlign w:val="bottom"/>
          </w:tcPr>
          <w:p>
            <w:pPr>
              <w:spacing w:after="0"/>
              <w:rPr>
                <w:sz w:val="16"/>
                <w:szCs w:val="16"/>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Restated</w:t>
            </w:r>
          </w:p>
        </w:tc>
      </w:tr>
      <w:tr>
        <w:trPr>
          <w:trHeight w:val="237"/>
        </w:trPr>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March 31, 2023</w:t>
            </w:r>
          </w:p>
        </w:tc>
        <w:tc>
          <w:tcPr>
            <w:tcW w:w="20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(15,600 )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(372 )</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(15,972 )</w:t>
            </w:r>
          </w:p>
        </w:tc>
      </w:tr>
      <w:tr>
        <w:trPr>
          <w:trHeight w:val="221"/>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Tax receivable agreement remeasurement gain</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(67 )</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0"/>
                <w:szCs w:val="20"/>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AP, accrued expenses, and other current liabilities</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(4,294 )</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(3,855 )</w:t>
            </w:r>
          </w:p>
        </w:tc>
      </w:tr>
      <w:tr>
        <w:trPr>
          <w:trHeight w:val="243"/>
        </w:trPr>
        <w:tc>
          <w:tcPr>
            <w:tcW w:w="4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March 31, 2022</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(13,057 )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(13,039 )</w:t>
            </w:r>
          </w:p>
        </w:tc>
      </w:tr>
      <w:tr>
        <w:trPr>
          <w:trHeight w:val="221"/>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Tax receivable agreement remeasurement gain</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(86 )</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(513 )</w:t>
            </w:r>
          </w:p>
        </w:tc>
        <w:tc>
          <w:tcPr>
            <w:tcW w:w="4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(444 )</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AP, accrued expenses, and other current liabilities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(3,579 )</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(2,998 )</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8" w:right="7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On December 22, 2021, Definitive Healthcare, LLC (“DH, LLC”), an indirect wholly owned subsidiary of Definitive Healthcare Corp. made a $40.0 million investment in Analytical Wizards Inc. (“AW” or “Analytical Wizards”), a privately held company. Analytical Wizards automates complex analytic models using tools that expedite efficient big data mining through artificial intelligence and machine learning to uncover deep insights. In the transaction the Company purchased Series B Convertible Preferred Stock of AW (“Series B Preferred Stock”), representing 35% ownership of AW, and an option to acquire the remaining 65% ownership (the "Purchase Option") for $65.0 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 million for the Series B Preferred Stock and Purchase Option, which was allocated on a relative fair value basis such that the Series B Preferred Stock and Purchase Option had carrying values of $32.7 million and $7.3 million at the time of the transaction, respectively. The Series B Preferred Stock was recorded in Investments in equity securities and the Purchase Option was recorded in Other assets in the accompanying condensed consolidated balance sheet as of December 31, 2021.</w:t>
      </w:r>
    </w:p>
    <w:p>
      <w:pPr>
        <w:spacing w:after="0" w:line="6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In February 2022, the Company completed the purchase the remaining 65% of AW’s equity for $65.0 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condensed consolidated statements of operations for the three months ended March 31, 2022. The Company has included the financial results of Analytical Wizards in the condensed consolidated financial statements from February 18, 2022, the date of acquisition.</w:t>
      </w:r>
    </w:p>
    <w:p>
      <w:pPr>
        <w:spacing w:after="0" w:line="6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Upon the consummation of the acquisition, AW became an indirect wholly owned subsidiary of Definitive Healthcare Corp. The total consideration for the initial investment and subsequent exercise of the Purchase Option was $99.4 million, consisting of $40.0 million for the initial investment paid in December 2021, approximately $58.6 million of cash paid at closing, $0.2 million reimbursement from sellers for working capital adjustments, and up to $5.0 million of contingent consideration, initially valued at $1.0 million. The contingent consideration, which relates to earn-out payments that may be paid out, subject to meeting certain expense control metrics during the two-year period following the closing of the AW acquisition, has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condensed consolidated results as of the acquisition date.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The consideration transferred for the transaction is summarized as follows:</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Initial cash investment in December 2021</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FF0FC"/>
          </w:tcPr>
          <w:p>
            <w:pPr>
              <w:spacing w:after="0"/>
              <w:rPr>
                <w:sz w:val="21"/>
                <w:szCs w:val="21"/>
                <w:color w:val="auto"/>
              </w:rPr>
            </w:pP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Cash consideration paid at closing</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58,645</w:t>
            </w:r>
          </w:p>
        </w:tc>
        <w:tc>
          <w:tcPr>
            <w:tcW w:w="100" w:type="dxa"/>
            <w:vAlign w:val="bottom"/>
          </w:tcPr>
          <w:p>
            <w:pPr>
              <w:spacing w:after="0"/>
              <w:rPr>
                <w:sz w:val="20"/>
                <w:szCs w:val="20"/>
                <w:color w:val="auto"/>
              </w:rPr>
            </w:pPr>
          </w:p>
        </w:tc>
      </w:tr>
      <w:tr>
        <w:trPr>
          <w:trHeight w:val="249"/>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adjustment</w:t>
            </w:r>
          </w:p>
        </w:tc>
        <w:tc>
          <w:tcPr>
            <w:tcW w:w="6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(202 )</w:t>
            </w: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r>
      <w:tr>
        <w:trPr>
          <w:trHeight w:val="283"/>
        </w:trPr>
        <w:tc>
          <w:tcPr>
            <w:tcW w:w="83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Purchase price</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 xml:space="preserve">The contingent consideration was based on the achievement of certain expense control metrics during the two-year period following the acquisition date, with potential earn-out payouts ranging from $0 to $5.0 million. The Company estimated the fair value of the contingent consideration to be $1.0 million as of February 18, 2022, based on the estimated achievement of the expense control metrics and time to payment. The Company estimated the fair value of the contingent consideration to be $2.3 million at March 31, 2023. The contingent consideration was recorded in accrued expenses and other current liabilities in the accompanying condensed consolidated balance sheet as of March 31, 2023. Refer to Note 12.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53"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Company finalized the purchase price allocations of the AW acquisition during the first quarter of 2023. Acquisition-date fair values of assets and liabilities pertaining to this business combination have been allocated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51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5"/>
                <w:szCs w:val="15"/>
                <w:color w:val="auto"/>
              </w:rPr>
            </w:pPr>
          </w:p>
        </w:tc>
        <w:tc>
          <w:tcPr>
            <w:tcW w:w="16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Preliminary, as</w:t>
            </w:r>
          </w:p>
        </w:tc>
        <w:tc>
          <w:tcPr>
            <w:tcW w:w="17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w w:val="97"/>
              </w:rPr>
              <w:t>Measurement period</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Arial" w:cs="Arial" w:eastAsia="Arial" w:hAnsi="Arial"/>
                <w:sz w:val="14"/>
                <w:szCs w:val="14"/>
                <w:b w:val="1"/>
                <w:bCs w:val="1"/>
                <w:color w:val="auto"/>
              </w:rPr>
              <w:t>Purchase price allocation:</w:t>
            </w:r>
          </w:p>
        </w:tc>
        <w:tc>
          <w:tcPr>
            <w:tcW w:w="140" w:type="dxa"/>
            <w:vAlign w:val="bottom"/>
          </w:tcPr>
          <w:p>
            <w:pPr>
              <w:spacing w:after="0"/>
              <w:rPr>
                <w:sz w:val="16"/>
                <w:szCs w:val="16"/>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originally reported</w:t>
            </w:r>
          </w:p>
        </w:tc>
        <w:tc>
          <w:tcPr>
            <w:tcW w:w="240" w:type="dxa"/>
            <w:vAlign w:val="bottom"/>
          </w:tcPr>
          <w:p>
            <w:pPr>
              <w:spacing w:after="0"/>
              <w:rPr>
                <w:sz w:val="16"/>
                <w:szCs w:val="16"/>
                <w:color w:val="auto"/>
              </w:rPr>
            </w:pPr>
          </w:p>
        </w:tc>
        <w:tc>
          <w:tcPr>
            <w:tcW w:w="1460" w:type="dxa"/>
            <w:vAlign w:val="bottom"/>
            <w:gridSpan w:val="2"/>
          </w:tcPr>
          <w:p>
            <w:pPr>
              <w:jc w:val="right"/>
              <w:ind w:right="521"/>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6"/>
                <w:szCs w:val="16"/>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01"/>
              <w:spacing w:after="0"/>
              <w:rPr>
                <w:sz w:val="20"/>
                <w:szCs w:val="20"/>
                <w:color w:val="auto"/>
              </w:rPr>
            </w:pPr>
            <w:r>
              <w:rPr>
                <w:rFonts w:ascii="Arial" w:cs="Arial" w:eastAsia="Arial" w:hAnsi="Arial"/>
                <w:sz w:val="18"/>
                <w:szCs w:val="18"/>
                <w:color w:val="auto"/>
              </w:rPr>
              <w:t>(50 )</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Right-of-use asset, operating leases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(485 )</w:t>
            </w:r>
          </w:p>
        </w:tc>
        <w:tc>
          <w:tcPr>
            <w:tcW w:w="240" w:type="dxa"/>
            <w:vAlign w:val="bottom"/>
          </w:tcPr>
          <w:p>
            <w:pPr>
              <w:spacing w:after="0"/>
              <w:rPr>
                <w:sz w:val="20"/>
                <w:szCs w:val="20"/>
                <w:color w:val="auto"/>
              </w:rPr>
            </w:pPr>
          </w:p>
        </w:tc>
        <w:tc>
          <w:tcPr>
            <w:tcW w:w="1460" w:type="dxa"/>
            <w:vAlign w:val="bottom"/>
            <w:gridSpan w:val="2"/>
          </w:tcPr>
          <w:p>
            <w:pPr>
              <w:jc w:val="right"/>
              <w:ind w:right="101"/>
              <w:spacing w:after="0"/>
              <w:rPr>
                <w:sz w:val="20"/>
                <w:szCs w:val="20"/>
                <w:color w:val="auto"/>
              </w:rPr>
            </w:pPr>
            <w:r>
              <w:rPr>
                <w:rFonts w:ascii="Arial" w:cs="Arial" w:eastAsia="Arial" w:hAnsi="Arial"/>
                <w:sz w:val="18"/>
                <w:szCs w:val="18"/>
                <w:color w:val="auto"/>
              </w:rPr>
              <w:t>(543 )</w:t>
            </w: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(1,028 )</w:t>
            </w: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(3,691 )</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(3,365 )</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Right-of-use liability, operating leases</w:t>
            </w:r>
          </w:p>
        </w:tc>
        <w:tc>
          <w:tcPr>
            <w:tcW w:w="14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(832 )</w:t>
            </w:r>
          </w:p>
        </w:tc>
        <w:tc>
          <w:tcPr>
            <w:tcW w:w="24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(832 )</w:t>
            </w:r>
          </w:p>
        </w:tc>
        <w:tc>
          <w:tcPr>
            <w:tcW w:w="0" w:type="dxa"/>
            <w:vAlign w:val="bottom"/>
          </w:tcPr>
          <w:p>
            <w:pPr>
              <w:spacing w:after="0"/>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(10,345 )</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(10,278 )</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(267 )</w:t>
            </w:r>
          </w:p>
        </w:tc>
        <w:tc>
          <w:tcPr>
            <w:tcW w:w="240" w:type="dxa"/>
            <w:vAlign w:val="bottom"/>
          </w:tcPr>
          <w:p>
            <w:pPr>
              <w:spacing w:after="0"/>
              <w:rPr>
                <w:sz w:val="20"/>
                <w:szCs w:val="20"/>
                <w:color w:val="auto"/>
              </w:rPr>
            </w:pPr>
          </w:p>
        </w:tc>
        <w:tc>
          <w:tcPr>
            <w:tcW w:w="1460" w:type="dxa"/>
            <w:vAlign w:val="bottom"/>
            <w:gridSpan w:val="2"/>
          </w:tcPr>
          <w:p>
            <w:pPr>
              <w:jc w:val="right"/>
              <w:ind w:right="101"/>
              <w:spacing w:after="0"/>
              <w:rPr>
                <w:sz w:val="20"/>
                <w:szCs w:val="20"/>
                <w:color w:val="auto"/>
              </w:rPr>
            </w:pPr>
            <w:r>
              <w:rPr>
                <w:rFonts w:ascii="Arial" w:cs="Arial" w:eastAsia="Arial" w:hAnsi="Arial"/>
                <w:sz w:val="18"/>
                <w:szCs w:val="18"/>
                <w:color w:val="auto"/>
              </w:rPr>
              <w:t>(633 )</w:t>
            </w:r>
          </w:p>
        </w:tc>
        <w:tc>
          <w:tcPr>
            <w:tcW w:w="22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(900 )</w:t>
            </w: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 and liabilities assumed</w:t>
            </w:r>
          </w:p>
        </w:tc>
        <w:tc>
          <w:tcPr>
            <w:tcW w:w="14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37,573</w:t>
            </w:r>
          </w:p>
        </w:tc>
        <w:tc>
          <w:tcPr>
            <w:tcW w:w="26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62,072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101"/>
              <w:spacing w:after="0"/>
              <w:rPr>
                <w:sz w:val="20"/>
                <w:szCs w:val="20"/>
                <w:color w:val="auto"/>
              </w:rPr>
            </w:pPr>
            <w:r>
              <w:rPr>
                <w:rFonts w:ascii="Arial" w:cs="Arial" w:eastAsia="Arial" w:hAnsi="Arial"/>
                <w:sz w:val="18"/>
                <w:szCs w:val="18"/>
                <w:color w:val="auto"/>
              </w:rPr>
              <w:t>(413 )</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Purchase price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99,645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99,443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As a result of the AW acquisition, the Company recorded goodwill, customer relationships, developed software, and tradename of $61.5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76" w:right="439" w:bottom="1440" w:gutter="0" w:footer="0" w:header="0"/>
        </w:sectPr>
      </w:pPr>
    </w:p>
    <w:bookmarkStart w:id="20" w:name="page21"/>
    <w:bookmarkEnd w:id="20"/>
    <w:p>
      <w:pPr>
        <w:ind w:right="60" w:firstLine="509"/>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spacing w:after="0" w:line="80" w:lineRule="exact"/>
        <w:rPr>
          <w:sz w:val="20"/>
          <w:szCs w:val="20"/>
          <w:color w:val="auto"/>
        </w:rPr>
      </w:pPr>
    </w:p>
    <w:p>
      <w:pPr>
        <w:ind w:right="280" w:firstLine="509"/>
        <w:spacing w:after="0" w:line="255" w:lineRule="auto"/>
        <w:rPr>
          <w:sz w:val="20"/>
          <w:szCs w:val="20"/>
          <w:color w:val="auto"/>
        </w:rPr>
      </w:pPr>
      <w:r>
        <w:rPr>
          <w:rFonts w:ascii="Arial" w:cs="Arial" w:eastAsia="Arial" w:hAnsi="Arial"/>
          <w:sz w:val="18"/>
          <w:szCs w:val="18"/>
          <w:color w:val="auto"/>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spacing w:after="0" w:line="84"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spacing w:after="0" w:line="41"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amortization periods for the customer relationships, developed software, and tradenames are 20 years, 6 years, and 5 years, respectively. See Note 8 for the estimated total intangible amortization expense during the next five years.</w:t>
      </w:r>
    </w:p>
    <w:p>
      <w:pPr>
        <w:spacing w:after="0" w:line="62"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In connection with the acquisition, the Company recognized acquisition related costs of $1.3 million which were recorded within transaction expenses in the accompanying condensed consolidated statements of operations for the year ended December 31, 2022.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2022, AW’s post-acquisition revenue and net loss on a standalone basis were not material.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Supplementary Data:</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r>
      <w:tr>
        <w:trPr>
          <w:trHeight w:val="185"/>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2022</w:t>
            </w:r>
          </w:p>
        </w:tc>
      </w:tr>
      <w:tr>
        <w:trPr>
          <w:trHeight w:val="169"/>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(As Restated)</w:t>
            </w:r>
          </w:p>
        </w:tc>
        <w:tc>
          <w:tcPr>
            <w:tcW w:w="100" w:type="dxa"/>
            <w:vAlign w:val="bottom"/>
          </w:tcPr>
          <w:p>
            <w:pPr>
              <w:spacing w:after="0"/>
              <w:rPr>
                <w:sz w:val="14"/>
                <w:szCs w:val="14"/>
                <w:color w:val="auto"/>
              </w:rPr>
            </w:pPr>
          </w:p>
        </w:tc>
      </w:tr>
      <w:tr>
        <w:trPr>
          <w:trHeight w:val="237"/>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51,601</w:t>
            </w:r>
          </w:p>
        </w:tc>
        <w:tc>
          <w:tcPr>
            <w:tcW w:w="100" w:type="dxa"/>
            <w:vAlign w:val="bottom"/>
            <w:shd w:val="clear" w:color="auto" w:fill="CFF0FC"/>
          </w:tcPr>
          <w:p>
            <w:pPr>
              <w:spacing w:after="0"/>
              <w:rPr>
                <w:sz w:val="20"/>
                <w:szCs w:val="20"/>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(13,636 )</w:t>
            </w:r>
          </w:p>
        </w:tc>
      </w:tr>
    </w:tbl>
    <w:p>
      <w:pPr>
        <w:spacing w:after="0" w:line="21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unaudited pro forma supplementary data presented in the table above shows the effect of the AW acquisitions as if the transaction had occurred on January 1, 2021.</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4. Revenue</w:t>
      </w:r>
    </w:p>
    <w:p>
      <w:pPr>
        <w:spacing w:after="0" w:line="12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62" w:lineRule="exact"/>
        <w:rPr>
          <w:sz w:val="20"/>
          <w:szCs w:val="20"/>
          <w:color w:val="auto"/>
        </w:rPr>
      </w:pPr>
    </w:p>
    <w:p>
      <w:pPr>
        <w:ind w:firstLine="509"/>
        <w:spacing w:after="0" w:line="308" w:lineRule="auto"/>
        <w:rPr>
          <w:sz w:val="20"/>
          <w:szCs w:val="20"/>
          <w:color w:val="auto"/>
        </w:rPr>
      </w:pPr>
      <w:r>
        <w:rPr>
          <w:rFonts w:ascii="Arial" w:cs="Arial" w:eastAsia="Arial" w:hAnsi="Arial"/>
          <w:sz w:val="18"/>
          <w:szCs w:val="18"/>
          <w:color w:val="auto"/>
        </w:rPr>
        <w:t>The following table represents a disaggregation of revenue from arrangements with customers for the three months ended March 31, 2023 and 2022, respectively:</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Subscription services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58,517</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49,769</w:t>
            </w: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r>
      <w:tr>
        <w:trPr>
          <w:trHeight w:val="28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59,201</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40" w:firstLine="509"/>
        <w:spacing w:after="0" w:line="308"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51,801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58,799</w:t>
            </w: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Deferred contract costs, current portion</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11,064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Deferred contract costs, long-term</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shd w:val="clear" w:color="auto" w:fill="CFF0FC"/>
          </w:tcPr>
          <w:p>
            <w:pPr>
              <w:spacing w:after="0"/>
              <w:rPr>
                <w:sz w:val="21"/>
                <w:szCs w:val="2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105,500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99,928</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right="100" w:firstLine="509"/>
        <w:spacing w:after="0" w:line="308" w:lineRule="auto"/>
        <w:rPr>
          <w:sz w:val="20"/>
          <w:szCs w:val="20"/>
          <w:color w:val="auto"/>
        </w:rPr>
      </w:pPr>
      <w:r>
        <w:rPr>
          <w:rFonts w:ascii="Arial" w:cs="Arial" w:eastAsia="Arial" w:hAnsi="Arial"/>
          <w:sz w:val="18"/>
          <w:szCs w:val="18"/>
          <w:color w:val="auto"/>
        </w:rPr>
        <w:t>A summary of the activity impacting the deferred contract costs for the three months ended March 31, 2023 and the year ended December 31, 2022 is presented below:</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Twelve Months</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5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85"/>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6"/>
                <w:szCs w:val="16"/>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March 31, 2023</w:t>
            </w:r>
          </w:p>
        </w:tc>
        <w:tc>
          <w:tcPr>
            <w:tcW w:w="160" w:type="dxa"/>
            <w:vAlign w:val="bottom"/>
          </w:tcPr>
          <w:p>
            <w:pPr>
              <w:spacing w:after="0"/>
              <w:rPr>
                <w:sz w:val="16"/>
                <w:szCs w:val="16"/>
                <w:color w:val="auto"/>
              </w:rPr>
            </w:pPr>
          </w:p>
        </w:tc>
        <w:tc>
          <w:tcPr>
            <w:tcW w:w="12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24,983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Costs amortized</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(2,860 )</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(8,816 )</w:t>
            </w:r>
          </w:p>
        </w:tc>
        <w:tc>
          <w:tcPr>
            <w:tcW w:w="0" w:type="dxa"/>
            <w:vAlign w:val="bottom"/>
          </w:tcPr>
          <w:p>
            <w:pPr>
              <w:spacing w:after="0"/>
              <w:rPr>
                <w:sz w:val="1"/>
                <w:szCs w:val="1"/>
                <w:color w:val="auto"/>
              </w:rPr>
            </w:pPr>
          </w:p>
        </w:tc>
      </w:tr>
      <w:tr>
        <w:trPr>
          <w:trHeight w:val="243"/>
        </w:trPr>
        <w:tc>
          <w:tcPr>
            <w:tcW w:w="69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Additional amounts deferred</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Classified as:</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11,064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26,144</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-822325</wp:posOffset>
            </wp:positionV>
            <wp:extent cx="6032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-822325</wp:posOffset>
            </wp:positionV>
            <wp:extent cx="6032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activity impacting deferred revenue balances during the three months ended March 31, 2023 and for the year ended December 31,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2022 is presented below:</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Twelve Months</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5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85"/>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6"/>
                <w:szCs w:val="16"/>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March 31, 2023</w:t>
            </w:r>
          </w:p>
        </w:tc>
        <w:tc>
          <w:tcPr>
            <w:tcW w:w="160" w:type="dxa"/>
            <w:vAlign w:val="bottom"/>
          </w:tcPr>
          <w:p>
            <w:pPr>
              <w:spacing w:after="0"/>
              <w:rPr>
                <w:sz w:val="16"/>
                <w:szCs w:val="16"/>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99,928</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Revenue recognized</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(59,201 )</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(222,653 )</w:t>
            </w:r>
          </w:p>
        </w:tc>
        <w:tc>
          <w:tcPr>
            <w:tcW w:w="0" w:type="dxa"/>
            <w:vAlign w:val="bottom"/>
          </w:tcPr>
          <w:p>
            <w:pPr>
              <w:spacing w:after="0"/>
              <w:rPr>
                <w:sz w:val="1"/>
                <w:szCs w:val="1"/>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Additional amounts deferred</w:t>
            </w:r>
          </w:p>
        </w:tc>
        <w:tc>
          <w:tcPr>
            <w:tcW w:w="1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64,773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105,500</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unearned revenue and unbilled amounts that will be invoiced and recognized as revenue in future periods. The Company expects to recognize approximately 68% of the revenue within the next year and the remainder thereafter.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180,902</w:t>
            </w:r>
          </w:p>
        </w:tc>
        <w:tc>
          <w:tcPr>
            <w:tcW w:w="180" w:type="dxa"/>
            <w:vAlign w:val="bottom"/>
            <w:shd w:val="clear" w:color="auto" w:fill="CFF0FC"/>
          </w:tcPr>
          <w:p>
            <w:pPr>
              <w:spacing w:after="0"/>
              <w:rPr>
                <w:sz w:val="20"/>
                <w:szCs w:val="20"/>
                <w:color w:val="auto"/>
              </w:rPr>
            </w:pPr>
          </w:p>
        </w:tc>
        <w:tc>
          <w:tcPr>
            <w:tcW w:w="26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183,527</w:t>
            </w:r>
          </w:p>
        </w:tc>
        <w:tc>
          <w:tcPr>
            <w:tcW w:w="100" w:type="dxa"/>
            <w:vAlign w:val="bottom"/>
            <w:shd w:val="clear" w:color="auto" w:fill="CFF0FC"/>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Non-current</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84,890</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93,464</w:t>
            </w:r>
          </w:p>
        </w:tc>
        <w:tc>
          <w:tcPr>
            <w:tcW w:w="100" w:type="dxa"/>
            <w:vAlign w:val="bottom"/>
          </w:tcPr>
          <w:p>
            <w:pPr>
              <w:spacing w:after="0"/>
              <w:rPr>
                <w:sz w:val="20"/>
                <w:szCs w:val="20"/>
                <w:color w:val="auto"/>
              </w:rPr>
            </w:pPr>
          </w:p>
        </w:tc>
      </w:tr>
      <w:tr>
        <w:trPr>
          <w:trHeight w:val="283"/>
        </w:trPr>
        <w:tc>
          <w:tcPr>
            <w:tcW w:w="580" w:type="dxa"/>
            <w:vAlign w:val="bottom"/>
          </w:tcPr>
          <w:p>
            <w:pPr>
              <w:spacing w:after="0"/>
              <w:rPr>
                <w:sz w:val="24"/>
                <w:szCs w:val="24"/>
                <w:color w:val="auto"/>
              </w:rPr>
            </w:pPr>
          </w:p>
        </w:tc>
        <w:tc>
          <w:tcPr>
            <w:tcW w:w="32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265,792</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4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5. Short-term Investments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520" w:type="dxa"/>
            <w:vAlign w:val="bottom"/>
            <w:gridSpan w:val="6"/>
          </w:tcPr>
          <w:p>
            <w:pPr>
              <w:ind w:left="520"/>
              <w:spacing w:after="0"/>
              <w:rPr>
                <w:sz w:val="20"/>
                <w:szCs w:val="20"/>
                <w:color w:val="auto"/>
              </w:rPr>
            </w:pPr>
            <w:r>
              <w:rPr>
                <w:rFonts w:ascii="Arial" w:cs="Arial" w:eastAsia="Arial" w:hAnsi="Arial"/>
                <w:sz w:val="18"/>
                <w:szCs w:val="18"/>
                <w:color w:val="auto"/>
                <w:w w:val="93"/>
              </w:rPr>
              <w:t>Short-term investments classified as available-for-sale consisted of the following:</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3"/>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March 31, 2023</w:t>
            </w: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6"/>
                <w:szCs w:val="16"/>
                <w:color w:val="auto"/>
              </w:rPr>
            </w:pPr>
          </w:p>
        </w:tc>
        <w:tc>
          <w:tcPr>
            <w:tcW w:w="1320" w:type="dxa"/>
            <w:vAlign w:val="bottom"/>
          </w:tcPr>
          <w:p>
            <w:pPr>
              <w:jc w:val="right"/>
              <w:ind w:right="173"/>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Gross Unrealized 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00" w:type="dxa"/>
            <w:vAlign w:val="bottom"/>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tcBorders>
              <w:top w:val="single" w:sz="8" w:color="auto"/>
              <w:left w:val="single" w:sz="8" w:color="CFF0FC"/>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US Treasuries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73,491</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(78 )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73,428</w:t>
            </w:r>
          </w:p>
        </w:tc>
        <w:tc>
          <w:tcPr>
            <w:tcW w:w="10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Agency bonds</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FF0FC"/>
            </w:tcBorders>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105,554</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(73 )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105,494</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36,755</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(25 )</w:t>
            </w:r>
          </w:p>
        </w:tc>
        <w:tc>
          <w:tcPr>
            <w:tcW w:w="260" w:type="dxa"/>
            <w:vAlign w:val="bottom"/>
            <w:tcBorders>
              <w:left w:val="single" w:sz="8" w:color="CFF0FC"/>
            </w:tcBorders>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36,742</w:t>
            </w:r>
          </w:p>
        </w:tc>
        <w:tc>
          <w:tcPr>
            <w:tcW w:w="100" w:type="dxa"/>
            <w:vAlign w:val="bottom"/>
            <w:shd w:val="clear" w:color="auto" w:fill="CFF0FC"/>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219,090</w:t>
            </w:r>
          </w:p>
        </w:tc>
        <w:tc>
          <w:tcPr>
            <w:tcW w:w="280" w:type="dxa"/>
            <w:vAlign w:val="bottom"/>
          </w:tcPr>
          <w:p>
            <w:pPr>
              <w:spacing w:after="0"/>
              <w:rPr>
                <w:sz w:val="21"/>
                <w:szCs w:val="21"/>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1"/>
                <w:szCs w:val="21"/>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(176 )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218,955</w:t>
            </w:r>
          </w:p>
        </w:tc>
        <w:tc>
          <w:tcPr>
            <w:tcW w:w="10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December 31, 2022</w:t>
            </w: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33"/>
        </w:trPr>
        <w:tc>
          <w:tcPr>
            <w:tcW w:w="5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6"/>
                <w:szCs w:val="16"/>
                <w:color w:val="auto"/>
              </w:rPr>
            </w:pPr>
          </w:p>
        </w:tc>
        <w:tc>
          <w:tcPr>
            <w:tcW w:w="1320" w:type="dxa"/>
            <w:vAlign w:val="bottom"/>
          </w:tcPr>
          <w:p>
            <w:pPr>
              <w:jc w:val="right"/>
              <w:ind w:right="173"/>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Gross Unrealized Gains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00" w:type="dxa"/>
            <w:vAlign w:val="bottom"/>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30"/>
        </w:trPr>
        <w:tc>
          <w:tcPr>
            <w:tcW w:w="5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80" w:type="dxa"/>
            <w:vAlign w:val="bottom"/>
          </w:tcPr>
          <w:p>
            <w:pPr>
              <w:spacing w:after="0"/>
              <w:rPr>
                <w:sz w:val="21"/>
                <w:szCs w:val="21"/>
                <w:color w:val="auto"/>
              </w:rPr>
            </w:pPr>
          </w:p>
        </w:tc>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59,849</w:t>
            </w:r>
          </w:p>
        </w:tc>
        <w:tc>
          <w:tcPr>
            <w:tcW w:w="116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(129 )</w:t>
            </w:r>
          </w:p>
        </w:tc>
        <w:tc>
          <w:tcPr>
            <w:tcW w:w="260" w:type="dxa"/>
            <w:vAlign w:val="bottom"/>
            <w:tcBorders>
              <w:left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59,723</w:t>
            </w:r>
          </w:p>
        </w:tc>
        <w:tc>
          <w:tcPr>
            <w:tcW w:w="100" w:type="dxa"/>
            <w:vAlign w:val="bottom"/>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Agency bonds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6,450</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95,831</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(123 )</w:t>
            </w:r>
          </w:p>
        </w:tc>
        <w:tc>
          <w:tcPr>
            <w:tcW w:w="260" w:type="dxa"/>
            <w:vAlign w:val="bottom"/>
            <w:tcBorders>
              <w:left w:val="single" w:sz="8" w:color="CFF0FC"/>
            </w:tcBorders>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95,737</w:t>
            </w:r>
          </w:p>
        </w:tc>
        <w:tc>
          <w:tcPr>
            <w:tcW w:w="100" w:type="dxa"/>
            <w:vAlign w:val="bottom"/>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23,034</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(24 )</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23,027</w:t>
            </w:r>
          </w:p>
        </w:tc>
        <w:tc>
          <w:tcPr>
            <w:tcW w:w="100" w:type="dxa"/>
            <w:vAlign w:val="bottom"/>
          </w:tcPr>
          <w:p>
            <w:pPr>
              <w:spacing w:after="0"/>
              <w:rPr>
                <w:sz w:val="20"/>
                <w:szCs w:val="20"/>
                <w:color w:val="auto"/>
              </w:rPr>
            </w:pPr>
          </w:p>
        </w:tc>
      </w:tr>
      <w:tr>
        <w:trPr>
          <w:trHeight w:val="283"/>
        </w:trPr>
        <w:tc>
          <w:tcPr>
            <w:tcW w:w="580" w:type="dxa"/>
            <w:vAlign w:val="bottom"/>
          </w:tcPr>
          <w:p>
            <w:pPr>
              <w:spacing w:after="0"/>
              <w:rPr>
                <w:sz w:val="24"/>
                <w:szCs w:val="24"/>
                <w:color w:val="auto"/>
              </w:rPr>
            </w:pPr>
          </w:p>
        </w:tc>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185,164</w:t>
            </w:r>
          </w:p>
        </w:tc>
        <w:tc>
          <w:tcPr>
            <w:tcW w:w="2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left w:val="single" w:sz="8" w:color="CFF0FC"/>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-3274060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-3256915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-3274060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-3256915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-1508125</wp:posOffset>
            </wp:positionV>
            <wp:extent cx="6858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-1508125</wp:posOffset>
            </wp:positionV>
            <wp:extent cx="6858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-1508125</wp:posOffset>
            </wp:positionV>
            <wp:extent cx="60325"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21463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-1508125</wp:posOffset>
            </wp:positionV>
            <wp:extent cx="60325" cy="7029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70294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short-term investments had stated maturity dates of less than one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consisted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8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59,780</w:t>
            </w:r>
          </w:p>
        </w:tc>
        <w:tc>
          <w:tcPr>
            <w:tcW w:w="100" w:type="dxa"/>
            <w:vAlign w:val="bottom"/>
            <w:shd w:val="clear" w:color="auto" w:fill="CFF0FC"/>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Unbilled receivable</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53,480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60,661</w:t>
            </w:r>
          </w:p>
        </w:tc>
        <w:tc>
          <w:tcPr>
            <w:tcW w:w="100" w:type="dxa"/>
            <w:vAlign w:val="bottom"/>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(1,679 )</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(1,862 )</w:t>
            </w:r>
          </w:p>
        </w:tc>
      </w:tr>
      <w:tr>
        <w:trPr>
          <w:trHeight w:val="283"/>
        </w:trPr>
        <w:tc>
          <w:tcPr>
            <w:tcW w:w="580" w:type="dxa"/>
            <w:vAlign w:val="bottom"/>
          </w:tcPr>
          <w:p>
            <w:pPr>
              <w:spacing w:after="0"/>
              <w:rPr>
                <w:sz w:val="24"/>
                <w:szCs w:val="24"/>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51,801</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48"/>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52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consisted of the following:</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7"/>
        </w:trPr>
        <w:tc>
          <w:tcPr>
            <w:tcW w:w="5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8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Computers and software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CFF0FC"/>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24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FF0FC"/>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(5,267 )</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(4,798 )</w:t>
            </w:r>
          </w:p>
        </w:tc>
      </w:tr>
      <w:tr>
        <w:trPr>
          <w:trHeight w:val="243"/>
        </w:trPr>
        <w:tc>
          <w:tcPr>
            <w:tcW w:w="580" w:type="dxa"/>
            <w:vAlign w:val="bottom"/>
          </w:tcPr>
          <w:p>
            <w:pPr>
              <w:spacing w:after="0"/>
              <w:rPr>
                <w:sz w:val="21"/>
                <w:szCs w:val="21"/>
                <w:color w:val="auto"/>
              </w:rPr>
            </w:pPr>
          </w:p>
        </w:tc>
        <w:tc>
          <w:tcPr>
            <w:tcW w:w="69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24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Borders>
              <w:top w:val="single" w:sz="8" w:color="CFF0FC"/>
            </w:tcBorders>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-1842135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-1824990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-1842135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-1824990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 expense associated with property and equipment was $0.5 million for the three months ended March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03" w:right="6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goodwill and intangible assets, as of March 31, 2023 and December 31, 2022, consisted of the following:</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1"/>
                <w:szCs w:val="11"/>
                <w:color w:val="auto"/>
              </w:rPr>
            </w:pPr>
          </w:p>
        </w:tc>
        <w:tc>
          <w:tcPr>
            <w:tcW w:w="10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(As Restated)</w:t>
            </w:r>
          </w:p>
        </w:tc>
        <w:tc>
          <w:tcPr>
            <w:tcW w:w="2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409,430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(137,290 )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Developed technologies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56,975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(27,563 )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(7,684 )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Database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(41,706 )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552,538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(214,243 )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1,877,271</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(214,243 )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1,663,028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1"/>
                <w:szCs w:val="11"/>
                <w:color w:val="auto"/>
              </w:rPr>
            </w:pPr>
          </w:p>
        </w:tc>
        <w:tc>
          <w:tcPr>
            <w:tcW w:w="10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(As Restated)</w:t>
            </w:r>
          </w:p>
        </w:tc>
        <w:tc>
          <w:tcPr>
            <w:tcW w:w="2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409,430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(128,745 )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Developed technologies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56,965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(25,514 )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(7,150 )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Database</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(40,393 )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552,524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(201,802 )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1,877,257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(201,802 )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1,675,455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-2485390</wp:posOffset>
            </wp:positionV>
            <wp:extent cx="6858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-2485390</wp:posOffset>
            </wp:positionV>
            <wp:extent cx="60325"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-2485390</wp:posOffset>
            </wp:positionV>
            <wp:extent cx="6032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-2167890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-2167890</wp:posOffset>
            </wp:positionV>
            <wp:extent cx="60325"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-2167890</wp:posOffset>
            </wp:positionV>
            <wp:extent cx="6032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-505460</wp:posOffset>
            </wp:positionV>
            <wp:extent cx="6858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-505460</wp:posOffset>
            </wp:positionV>
            <wp:extent cx="60325"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0325"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Amortization expense associated with finite-lived intangible assets was $12.4 million and $14.7 million for the three months ended March 31, 2023 and 2022, respectively, of which $3.4 million and $5.4 million was included in cost of revenue for each respective period.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2023, excluding the three months ended March 31, 2023</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37,467</w:t>
            </w:r>
          </w:p>
        </w:tc>
        <w:tc>
          <w:tcPr>
            <w:tcW w:w="100" w:type="dxa"/>
            <w:vAlign w:val="bottom"/>
            <w:shd w:val="clear" w:color="auto" w:fill="CFF0FC"/>
          </w:tcPr>
          <w:p>
            <w:pPr>
              <w:spacing w:after="0"/>
              <w:rPr>
                <w:sz w:val="21"/>
                <w:szCs w:val="21"/>
                <w:color w:val="auto"/>
              </w:rPr>
            </w:pP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46,925</w:t>
            </w:r>
          </w:p>
        </w:tc>
        <w:tc>
          <w:tcPr>
            <w:tcW w:w="100" w:type="dxa"/>
            <w:vAlign w:val="bottom"/>
          </w:tcPr>
          <w:p>
            <w:pPr>
              <w:spacing w:after="0"/>
              <w:rPr>
                <w:sz w:val="20"/>
                <w:szCs w:val="20"/>
                <w:color w:val="auto"/>
              </w:rPr>
            </w:pPr>
          </w:p>
        </w:tc>
      </w:tr>
      <w:tr>
        <w:trPr>
          <w:trHeight w:val="249"/>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42,367</w:t>
            </w:r>
          </w:p>
        </w:tc>
        <w:tc>
          <w:tcPr>
            <w:tcW w:w="100" w:type="dxa"/>
            <w:vAlign w:val="bottom"/>
            <w:shd w:val="clear" w:color="auto" w:fill="CFF0FC"/>
          </w:tcPr>
          <w:p>
            <w:pPr>
              <w:spacing w:after="0"/>
              <w:rPr>
                <w:sz w:val="21"/>
                <w:szCs w:val="21"/>
                <w:color w:val="auto"/>
              </w:rPr>
            </w:pP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2026</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34,892</w:t>
            </w:r>
          </w:p>
        </w:tc>
        <w:tc>
          <w:tcPr>
            <w:tcW w:w="100" w:type="dxa"/>
            <w:vAlign w:val="bottom"/>
          </w:tcPr>
          <w:p>
            <w:pPr>
              <w:spacing w:after="0"/>
              <w:rPr>
                <w:sz w:val="20"/>
                <w:szCs w:val="20"/>
                <w:color w:val="auto"/>
              </w:rPr>
            </w:pPr>
          </w:p>
        </w:tc>
      </w:tr>
      <w:tr>
        <w:trPr>
          <w:trHeight w:val="249"/>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28,559</w:t>
            </w:r>
          </w:p>
        </w:tc>
        <w:tc>
          <w:tcPr>
            <w:tcW w:w="100" w:type="dxa"/>
            <w:vAlign w:val="bottom"/>
            <w:shd w:val="clear" w:color="auto" w:fill="CFF0FC"/>
          </w:tcPr>
          <w:p>
            <w:pPr>
              <w:spacing w:after="0"/>
              <w:rPr>
                <w:sz w:val="21"/>
                <w:szCs w:val="21"/>
                <w:color w:val="auto"/>
              </w:rPr>
            </w:pP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148,085</w:t>
            </w:r>
          </w:p>
        </w:tc>
        <w:tc>
          <w:tcPr>
            <w:tcW w:w="100" w:type="dxa"/>
            <w:vAlign w:val="bottom"/>
          </w:tcPr>
          <w:p>
            <w:pPr>
              <w:spacing w:after="0"/>
              <w:rPr>
                <w:sz w:val="20"/>
                <w:szCs w:val="20"/>
                <w:color w:val="auto"/>
              </w:rPr>
            </w:pPr>
          </w:p>
        </w:tc>
      </w:tr>
      <w:tr>
        <w:trPr>
          <w:trHeight w:val="277"/>
        </w:trPr>
        <w:tc>
          <w:tcPr>
            <w:tcW w:w="8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338,295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determined it had one reporting unit. There was no impairment of goodwill in the three months ended March 31, 2023 or 2022.</w:t>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2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9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(As</w:t>
            </w:r>
          </w:p>
        </w:tc>
        <w:tc>
          <w:tcPr>
            <w:tcW w:w="1640" w:type="dxa"/>
            <w:vAlign w:val="bottom"/>
            <w:tcBorders>
              <w:bottom w:val="single" w:sz="8" w:color="auto"/>
            </w:tcBorders>
            <w:gridSpan w:val="3"/>
          </w:tcPr>
          <w:p>
            <w:pPr>
              <w:jc w:val="right"/>
              <w:ind w:right="1035"/>
              <w:spacing w:after="0"/>
              <w:rPr>
                <w:sz w:val="20"/>
                <w:szCs w:val="20"/>
                <w:color w:val="auto"/>
              </w:rPr>
            </w:pPr>
            <w:r>
              <w:rPr>
                <w:rFonts w:ascii="Arial" w:cs="Arial" w:eastAsia="Arial" w:hAnsi="Arial"/>
                <w:sz w:val="14"/>
                <w:szCs w:val="14"/>
                <w:b w:val="1"/>
                <w:bCs w:val="1"/>
                <w:color w:val="auto"/>
                <w:w w:val="78"/>
              </w:rPr>
              <w:t>Restated)</w:t>
            </w: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Payroll and payroll-related</w:t>
            </w:r>
          </w:p>
        </w:tc>
        <w:tc>
          <w:tcPr>
            <w:tcW w:w="88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11,961</w:t>
            </w: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Tax receivable agreement, current portion</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current</w:t>
            </w: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spacing w:after="0"/>
              <w:rPr>
                <w:sz w:val="20"/>
                <w:szCs w:val="20"/>
                <w:color w:val="auto"/>
              </w:rPr>
            </w:pPr>
            <w:r>
              <w:rPr>
                <w:rFonts w:ascii="Arial" w:cs="Arial" w:eastAsia="Arial" w:hAnsi="Arial"/>
                <w:sz w:val="18"/>
                <w:szCs w:val="18"/>
                <w:color w:val="auto"/>
              </w:rPr>
              <w:t>Sales, franchise, and other taxes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10,528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69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29,316</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26,855</w:t>
            </w:r>
          </w:p>
        </w:tc>
        <w:tc>
          <w:tcPr>
            <w:tcW w:w="100" w:type="dxa"/>
            <w:vAlign w:val="bottom"/>
          </w:tcPr>
          <w:p>
            <w:pPr>
              <w:spacing w:after="0"/>
              <w:rPr>
                <w:sz w:val="21"/>
                <w:szCs w:val="21"/>
                <w:color w:val="auto"/>
              </w:rPr>
            </w:pPr>
          </w:p>
        </w:tc>
      </w:tr>
      <w:tr>
        <w:trPr>
          <w:trHeight w:val="20"/>
        </w:trPr>
        <w:tc>
          <w:tcPr>
            <w:tcW w:w="6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On January 12, 2023, the Company announced a restructuring plan intended to reduce operating costs, improve operating margins, and continue advancing the Company’s ongoing commitment to profitable growth. During the first quarter of 2023, the Company incurred restructuring and related charges of $2.1 million, consisting primarily of severance payments, employee benefits, and related cash expenses. These charges were recognized within Transaction, integration, and restructuring expenses in the Company’s condensed consolidated statements of operations. As of March 31, 2023, $1.8 million has been paid and the remaining $0.3 million is included in Accrued expenses and other liabilities in the condensed consolidated balance sheets. The Company expects these remaining payments to be made over the next three months. In addition, the Company expects to incur an additional $0.5 million in expense through August 2023 associated with the restructuring plan.</w:t>
      </w:r>
    </w:p>
    <w:p>
      <w:pPr>
        <w:spacing w:after="0" w:line="69"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the first quarter of 2023, the Company began a review of its sales tax positions, and related accounting matters, with the assistance of outside consultants. As a result of the review, subsequent to the filing of the Original Report, the Company determined during the second quarter of 2023 that sales in certain states were subject to sales tax and that the Company had not assessed such sales tax on sales of its services to customers. As of March 31, 2023 and December 31, 2022, the Company has accrued a sales tax accrual, which includes maximum penalties and interest, of $8.5 million and $8.1 million, respectively.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10.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 as of March 31, 2023 and December 31, 2022, respectively:</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10"/>
              <w:spacing w:after="0"/>
              <w:rPr>
                <w:sz w:val="20"/>
                <w:szCs w:val="20"/>
                <w:color w:val="auto"/>
              </w:rPr>
            </w:pPr>
            <w:r>
              <w:rPr>
                <w:rFonts w:ascii="Arial" w:cs="Arial" w:eastAsia="Arial" w:hAnsi="Arial"/>
                <w:sz w:val="14"/>
                <w:szCs w:val="14"/>
                <w:b w:val="1"/>
                <w:bCs w:val="1"/>
                <w:color w:val="auto"/>
                <w:w w:val="96"/>
              </w:rPr>
              <w:t>March 31, 2023</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4"/>
              </w:rPr>
              <w:t>Unamortized debt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3"/>
              </w:rPr>
              <w:t>Total debt,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85"/>
              </w:rPr>
              <w:t>issuance costs /</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9"/>
              </w:rPr>
              <w:t>financing costs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7"/>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264,688</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252,465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w w:val="95"/>
              </w:rPr>
              <w:t>December 31, 2022</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tcPr>
          <w:p>
            <w:pPr>
              <w:jc w:val="center"/>
              <w:ind w:right="310"/>
              <w:spacing w:after="0" w:line="133" w:lineRule="exact"/>
              <w:rPr>
                <w:sz w:val="20"/>
                <w:szCs w:val="20"/>
                <w:color w:val="auto"/>
              </w:rPr>
            </w:pPr>
            <w:r>
              <w:rPr>
                <w:rFonts w:ascii="Arial" w:cs="Arial" w:eastAsia="Arial" w:hAnsi="Arial"/>
                <w:sz w:val="14"/>
                <w:szCs w:val="14"/>
                <w:b w:val="1"/>
                <w:bCs w:val="1"/>
                <w:color w:val="auto"/>
                <w:w w:val="94"/>
              </w:rPr>
              <w:t>Unamortized debt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3"/>
              </w:rPr>
              <w:t>Total debt,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85"/>
              </w:rPr>
              <w:t>issuance costs /</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7"/>
              </w:rPr>
              <w:t>financing costs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24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266,406</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255,765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-1010920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2023, the Company repaid $1.7 million in outstanding principal of the 2021 Term Loan.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2021 Credit Agreement</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73"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$264.7 million outstanding on the 2021 Term Loan at March 31, 2023.</w:t>
      </w:r>
    </w:p>
    <w:p>
      <w:pPr>
        <w:spacing w:after="0" w:line="68"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March 31, 2023.</w:t>
      </w:r>
    </w:p>
    <w:p>
      <w:pPr>
        <w:spacing w:after="0" w:line="4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For both the 2021 Term Loan and 2021 Revolving Line of Credit, DH Holdings may elect from several interest rate options based on the LIBO Rate or the Base Rate plus an applicable margin. The applicable margin is based on the total leverage ratio beginning in the fiscal year ended December 31, 2022. As of March 31, 2023, the effective interest rate was 6.66%.</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October 31, 2022, the Company amended the 2021 Credit Agreement to replace the LIBO rate with Term SOFR plus an applicable rate.</w:t>
      </w:r>
    </w:p>
    <w:p>
      <w:pPr>
        <w:spacing w:after="0" w:line="129"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 At March 31, 2023, the unamortized financing costs were $0.5 million.</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 xml:space="preserve">The Company is exposed to risks from changes in interest rates related to the 2021 Term Loan (See Note 10.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 Hedges of Interest Rate Risk</w:t>
      </w:r>
    </w:p>
    <w:p>
      <w:pPr>
        <w:spacing w:after="0" w:line="117" w:lineRule="exact"/>
        <w:rPr>
          <w:sz w:val="20"/>
          <w:szCs w:val="20"/>
          <w:color w:val="auto"/>
        </w:rPr>
      </w:pPr>
    </w:p>
    <w:p>
      <w:pPr>
        <w:jc w:val="both"/>
        <w:ind w:firstLine="698"/>
        <w:spacing w:after="0" w:line="257" w:lineRule="auto"/>
        <w:rPr>
          <w:sz w:val="20"/>
          <w:szCs w:val="20"/>
          <w:color w:val="auto"/>
        </w:rPr>
      </w:pPr>
      <w:r>
        <w:rPr>
          <w:rFonts w:ascii="Arial" w:cs="Arial" w:eastAsia="Arial" w:hAnsi="Arial"/>
          <w:sz w:val="18"/>
          <w:szCs w:val="18"/>
          <w:color w:val="auto"/>
        </w:rPr>
        <w:t xml:space="preserve">The Company entered into two 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the Company amended the two interest rate swap agreements to replace the LIBO rate with Term SOFR. As a result, subsequent to October 31, 2022, the counterparties paid and will continue to pay interest at a floating rate based on Term SOFR.</w:t>
      </w:r>
    </w:p>
    <w:p>
      <w:pPr>
        <w:spacing w:after="0" w:line="8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As of March 31, 2023, the two outstanding interest rate swap agreements each had a notional value of $66.2 million with fixed interest rates of 1.909% and 1.9065%. Interest payments under the swaps are made monthly on a net settlement basis. The Company has not recorded any amounts due to ineffectiveness for the period ended March 31, 2023. The notional value of each interest rate swap agreement is expected to match the corresponding principal amount of a portion of our borrowings under the 2021 Term Loan. The swap agreements mature on March 31, 2025.</w:t>
      </w:r>
    </w:p>
    <w:p>
      <w:pPr>
        <w:spacing w:after="0" w:line="6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$3.5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fair values of the interest rate swaps and their respective locations in our condensed consolidated balance sheets at March 31,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were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6"/>
                <w:szCs w:val="16"/>
                <w:color w:val="auto"/>
              </w:rPr>
            </w:pPr>
          </w:p>
        </w:tc>
        <w:tc>
          <w:tcPr>
            <w:tcW w:w="406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8"/>
              </w:rPr>
              <w:t>March 31, 2023</w:t>
            </w:r>
          </w:p>
        </w:tc>
        <w:tc>
          <w:tcPr>
            <w:tcW w:w="24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Pr>
          <w:p>
            <w:pPr>
              <w:spacing w:after="0"/>
              <w:rPr>
                <w:sz w:val="16"/>
                <w:szCs w:val="16"/>
                <w:color w:val="auto"/>
              </w:rPr>
            </w:pPr>
          </w:p>
        </w:tc>
      </w:tr>
      <w:tr>
        <w:trPr>
          <w:trHeight w:val="236"/>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Short-term derivative asset</w:t>
            </w:r>
          </w:p>
        </w:tc>
        <w:tc>
          <w:tcPr>
            <w:tcW w:w="180" w:type="dxa"/>
            <w:vAlign w:val="bottom"/>
            <w:shd w:val="clear" w:color="auto" w:fill="CFF0FC"/>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FF0FC"/>
          </w:tcPr>
          <w:p>
            <w:pPr>
              <w:spacing w:after="0"/>
              <w:rPr>
                <w:sz w:val="20"/>
                <w:szCs w:val="20"/>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Long-term derivative asset</w:t>
            </w:r>
          </w:p>
        </w:tc>
        <w:tc>
          <w:tcPr>
            <w:tcW w:w="1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1,735</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4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The Company’s short- and long-term debt are recorded at their carrying values in the condensed consolidated balance sheets, which may differ from their respective fair values. The carrying values and estimated fair values of the Company’s short- and long-term debt approximate their carrying values as of March 31, 2023 and December 31, 2022, based on interest rates currently available to the Company for similar borrowings.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Money market funds (included in 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Money market funds are recorded at fair value using quoted market prices in active markets and are classified as Level 1 in the fair value hierarchy.</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Company estimates the fair values of investments in U.S. treasuries, agency bond securities, commercial paper, and certificates of deposit using level 2 inputs,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41" w:lineRule="exact"/>
        <w:rPr>
          <w:sz w:val="20"/>
          <w:szCs w:val="20"/>
          <w:color w:val="auto"/>
        </w:rPr>
      </w:pPr>
    </w:p>
    <w:p>
      <w:pPr>
        <w:ind w:right="920" w:firstLine="509"/>
        <w:spacing w:after="0" w:line="277" w:lineRule="auto"/>
        <w:rPr>
          <w:sz w:val="20"/>
          <w:szCs w:val="20"/>
          <w:color w:val="auto"/>
        </w:rPr>
      </w:pPr>
      <w:r>
        <w:rPr>
          <w:rFonts w:ascii="Arial" w:cs="Arial" w:eastAsia="Arial" w:hAnsi="Arial"/>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62"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March 31, 2023 and December 31, 2022 were classified as Level 2 in the fair value hierarchy.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220" w:firstLine="509"/>
        <w:spacing w:after="0" w:line="257" w:lineRule="auto"/>
        <w:rPr>
          <w:sz w:val="20"/>
          <w:szCs w:val="20"/>
          <w:color w:val="auto"/>
        </w:rPr>
      </w:pPr>
      <w:r>
        <w:rPr>
          <w:rFonts w:ascii="Arial" w:cs="Arial" w:eastAsia="Arial" w:hAnsi="Arial"/>
          <w:sz w:val="18"/>
          <w:szCs w:val="18"/>
          <w:color w:val="auto"/>
        </w:rPr>
        <w:t>The deferred consideration that resulted from the acquisition of Analytical Wizards in the first quarter of 2022, which is subject to the meeting of certain expense control metrics during the two-year period following the acquisition, is measured at fair value on a recurring basis. The fair value was estimated based on the present value of the amount expected to be paid at the end of the measurement period. At March 31, 2023, the fair value of the contingent consideration was estimated to be $2.3 million and is included in accrued expenses and other current liabilities on the condensed consolidated balance sheet.</w:t>
      </w:r>
    </w:p>
    <w:p>
      <w:pPr>
        <w:spacing w:after="0" w:line="80"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7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change in fair value and other adjustments</w:t>
            </w:r>
          </w:p>
        </w:tc>
        <w:tc>
          <w:tcPr>
            <w:tcW w:w="2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(7,500 )</w:t>
            </w:r>
          </w:p>
        </w:tc>
        <w:tc>
          <w:tcPr>
            <w:tcW w:w="560" w:type="dxa"/>
            <w:vAlign w:val="bottom"/>
          </w:tcPr>
          <w:p>
            <w:pPr>
              <w:spacing w:after="0"/>
              <w:rPr>
                <w:sz w:val="20"/>
                <w:szCs w:val="20"/>
                <w:color w:val="auto"/>
              </w:rPr>
            </w:pPr>
          </w:p>
        </w:tc>
      </w:tr>
      <w:tr>
        <w:trPr>
          <w:trHeight w:val="283"/>
        </w:trPr>
        <w:tc>
          <w:tcPr>
            <w:tcW w:w="580" w:type="dxa"/>
            <w:vAlign w:val="bottom"/>
          </w:tcPr>
          <w:p>
            <w:pPr>
              <w:spacing w:after="0"/>
              <w:rPr>
                <w:sz w:val="24"/>
                <w:szCs w:val="24"/>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27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21"/>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700" w:type="dxa"/>
            <w:vAlign w:val="bottom"/>
          </w:tcPr>
          <w:p>
            <w:pPr>
              <w:jc w:val="right"/>
              <w:ind w:right="171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-454025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-436245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-436245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of the notes to the consolidated financial statements in the Company’s 2022 Form 10-K/A.</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2023 and December 31, 2022, assets and liabilities measured at fair value on a recurring basis were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 2023</w:t>
            </w: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w w:val="99"/>
              </w:rPr>
              <w:t>Commercial paper (maturities less than 90 days)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rPr>
              <w:t>U.S. Treasuries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73,428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73,428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Agency bonds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105,494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105,494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422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0"/>
                <w:szCs w:val="20"/>
                <w:color w:val="auto"/>
              </w:rPr>
            </w:pPr>
          </w:p>
        </w:tc>
      </w:tr>
      <w:tr>
        <w:trPr>
          <w:trHeight w:val="539"/>
        </w:trPr>
        <w:tc>
          <w:tcPr>
            <w:tcW w:w="4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39,523</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39,523</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w w:val="99"/>
              </w:rPr>
              <w:t>Commercial paper (maturities less than 90 days)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15"/>
        </w:trPr>
        <w:tc>
          <w:tcPr>
            <w:tcW w:w="4220" w:type="dxa"/>
            <w:vAlign w:val="bottom"/>
          </w:tcPr>
          <w:p>
            <w:pPr>
              <w:ind w:left="360"/>
              <w:spacing w:after="0"/>
              <w:rPr>
                <w:sz w:val="20"/>
                <w:szCs w:val="20"/>
                <w:color w:val="auto"/>
              </w:rPr>
            </w:pPr>
            <w:r>
              <w:rPr>
                <w:rFonts w:ascii="Arial" w:cs="Arial" w:eastAsia="Arial" w:hAnsi="Arial"/>
                <w:sz w:val="18"/>
                <w:szCs w:val="18"/>
                <w:color w:val="auto"/>
              </w:rPr>
              <w:t>Certificates of deposit (maturities less than 90</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rPr>
              <w:t>days)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0"/>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Agency bonds (maturities less than 90 days)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U.S. Treasuries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59,723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59,723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rPr>
              <w:t>Agency bonds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6,452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23,027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23,027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360"/>
              <w:spacing w:after="0"/>
              <w:rPr>
                <w:sz w:val="20"/>
                <w:szCs w:val="20"/>
                <w:color w:val="auto"/>
              </w:rPr>
            </w:pPr>
            <w:r>
              <w:rPr>
                <w:rFonts w:ascii="Arial" w:cs="Arial" w:eastAsia="Arial" w:hAnsi="Arial"/>
                <w:sz w:val="18"/>
                <w:szCs w:val="18"/>
                <w:color w:val="auto"/>
              </w:rPr>
              <w:t>Interest rate swap contracts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Contingent consideration</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FF0FC"/>
          </w:tcPr>
          <w:p>
            <w:pPr>
              <w:spacing w:after="0"/>
              <w:rPr>
                <w:sz w:val="21"/>
                <w:szCs w:val="21"/>
                <w:color w:val="auto"/>
              </w:rPr>
            </w:pPr>
          </w:p>
        </w:tc>
      </w:tr>
    </w:tbl>
    <w:p>
      <w:pPr>
        <w:spacing w:after="0" w:line="94"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At March 31, 2023 and December 31, 2022,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13. Noncontrolling Interest</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condensed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Condensed Consolidated Balance Sheets.</w:t>
      </w:r>
    </w:p>
    <w:p>
      <w:pPr>
        <w:spacing w:after="0" w:line="8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During the three months ended March 31, 2023, 4,771,545 LLC Units held by Continuing Pre-IPO LLC Members were exchanged for shares of Class A Common Stock of Definitive Healthcare Corp. pursuant to the terms of the Amended LLC Agreement. In addition, 380,676 restricted stock units vested and 127,829 shares were withheld to cover withholding tax obligations, resulting in the net issuance of 252,847 shares of Class A Common Stock of Definitive Healthcare Corp., for which LLC Units were issued on a one-for-one basis pursuant to the Definitive OpCo second amended and restated limited liability company agreement entered into in connection with the IPO.</w:t>
      </w:r>
    </w:p>
    <w:p>
      <w:pPr>
        <w:spacing w:after="0" w:line="80" w:lineRule="exact"/>
        <w:rPr>
          <w:sz w:val="20"/>
          <w:szCs w:val="20"/>
          <w:color w:val="auto"/>
        </w:rPr>
      </w:pPr>
    </w:p>
    <w:p>
      <w:pPr>
        <w:ind w:right="480" w:firstLine="509"/>
        <w:spacing w:after="0" w:line="274" w:lineRule="auto"/>
        <w:rPr>
          <w:sz w:val="20"/>
          <w:szCs w:val="20"/>
          <w:color w:val="auto"/>
        </w:rPr>
      </w:pPr>
      <w:r>
        <w:rPr>
          <w:rFonts w:ascii="Arial" w:cs="Arial" w:eastAsia="Arial" w:hAnsi="Arial"/>
          <w:sz w:val="18"/>
          <w:szCs w:val="18"/>
          <w:color w:val="auto"/>
        </w:rPr>
        <w:t>As of March 31, 2023 and December 31, 2022, Definitive Healthcare Corp. held ownership interests in Definitive OpCo of 71.4% and 68.2%, respectively, and noncontrolling interests of 28.6% and 31.8%, respectively</w:t>
      </w:r>
      <w:r>
        <w:rPr>
          <w:rFonts w:ascii="Arial" w:cs="Arial" w:eastAsia="Arial" w:hAnsi="Arial"/>
          <w:sz w:val="21"/>
          <w:szCs w:val="21"/>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following table summarize the changes in accumulated balances of other comprehensive income for the three months ended March 31, 2023 and 2022, respectively.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Three Months Ended March 31, 2023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Gains on</w:t>
            </w:r>
          </w:p>
        </w:tc>
        <w:tc>
          <w:tcPr>
            <w:tcW w:w="40" w:type="dxa"/>
            <w:vAlign w:val="bottom"/>
          </w:tcPr>
          <w:p>
            <w:pPr>
              <w:spacing w:after="0"/>
              <w:rPr>
                <w:sz w:val="17"/>
                <w:szCs w:val="17"/>
                <w:color w:val="auto"/>
              </w:rPr>
            </w:pPr>
          </w:p>
        </w:tc>
        <w:tc>
          <w:tcPr>
            <w:tcW w:w="1660" w:type="dxa"/>
            <w:vAlign w:val="bottom"/>
            <w:gridSpan w:val="5"/>
          </w:tcPr>
          <w:p>
            <w:pPr>
              <w:spacing w:after="0"/>
              <w:rPr>
                <w:sz w:val="20"/>
                <w:szCs w:val="20"/>
                <w:color w:val="auto"/>
              </w:rPr>
            </w:pPr>
            <w:r>
              <w:rPr>
                <w:rFonts w:ascii="Arial" w:cs="Arial" w:eastAsia="Arial" w:hAnsi="Arial"/>
                <w:sz w:val="16"/>
                <w:szCs w:val="16"/>
                <w:b w:val="1"/>
                <w:bCs w:val="1"/>
                <w:color w:val="auto"/>
              </w:rPr>
              <w:t>Unrealized Loss on</w:t>
            </w: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Cash Flow Hedges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Investments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r>
      <w:tr>
        <w:trPr>
          <w:trHeight w:val="219"/>
        </w:trPr>
        <w:tc>
          <w:tcPr>
            <w:tcW w:w="520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4,307</w:t>
            </w:r>
          </w:p>
        </w:tc>
        <w:tc>
          <w:tcPr>
            <w:tcW w:w="80" w:type="dxa"/>
            <w:vAlign w:val="bottom"/>
          </w:tcPr>
          <w:p>
            <w:pPr>
              <w:spacing w:after="0"/>
              <w:rPr>
                <w:sz w:val="19"/>
                <w:szCs w:val="19"/>
                <w:color w:val="auto"/>
              </w:rPr>
            </w:pPr>
          </w:p>
        </w:tc>
        <w:tc>
          <w:tcPr>
            <w:tcW w:w="20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19"/>
              <w:spacing w:after="0"/>
              <w:rPr>
                <w:sz w:val="20"/>
                <w:szCs w:val="20"/>
                <w:color w:val="auto"/>
              </w:rPr>
            </w:pPr>
            <w:r>
              <w:rPr>
                <w:rFonts w:ascii="Arial" w:cs="Arial" w:eastAsia="Arial" w:hAnsi="Arial"/>
                <w:sz w:val="16"/>
                <w:szCs w:val="16"/>
                <w:color w:val="auto"/>
              </w:rPr>
              <w:t>(135 ) $</w:t>
            </w:r>
          </w:p>
        </w:tc>
        <w:tc>
          <w:tcPr>
            <w:tcW w:w="1560" w:type="dxa"/>
            <w:vAlign w:val="bottom"/>
            <w:gridSpan w:val="3"/>
          </w:tcPr>
          <w:p>
            <w:pPr>
              <w:jc w:val="right"/>
              <w:ind w:right="119"/>
              <w:spacing w:after="0"/>
              <w:rPr>
                <w:sz w:val="20"/>
                <w:szCs w:val="20"/>
                <w:color w:val="auto"/>
              </w:rPr>
            </w:pPr>
            <w:r>
              <w:rPr>
                <w:rFonts w:ascii="Arial" w:cs="Arial" w:eastAsia="Arial" w:hAnsi="Arial"/>
                <w:sz w:val="16"/>
                <w:szCs w:val="16"/>
                <w:color w:val="auto"/>
              </w:rPr>
              <w:t>(504 ) $</w:t>
            </w:r>
          </w:p>
        </w:tc>
        <w:tc>
          <w:tcPr>
            <w:tcW w:w="980" w:type="dxa"/>
            <w:vAlign w:val="bottom"/>
          </w:tcPr>
          <w:p>
            <w:pPr>
              <w:jc w:val="right"/>
              <w:spacing w:after="0"/>
              <w:rPr>
                <w:sz w:val="20"/>
                <w:szCs w:val="20"/>
                <w:color w:val="auto"/>
              </w:rPr>
            </w:pPr>
            <w:r>
              <w:rPr>
                <w:rFonts w:ascii="Arial" w:cs="Arial" w:eastAsia="Arial" w:hAnsi="Arial"/>
                <w:sz w:val="16"/>
                <w:szCs w:val="16"/>
                <w:color w:val="auto"/>
              </w:rPr>
              <w:t>3,668</w:t>
            </w:r>
          </w:p>
        </w:tc>
        <w:tc>
          <w:tcPr>
            <w:tcW w:w="100" w:type="dxa"/>
            <w:vAlign w:val="bottom"/>
          </w:tcPr>
          <w:p>
            <w:pPr>
              <w:spacing w:after="0"/>
              <w:rPr>
                <w:sz w:val="19"/>
                <w:szCs w:val="19"/>
                <w:color w:val="auto"/>
              </w:rPr>
            </w:pPr>
          </w:p>
        </w:tc>
      </w:tr>
      <w:tr>
        <w:trPr>
          <w:trHeight w:val="23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(344 )</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60" w:type="dxa"/>
            <w:vAlign w:val="bottom"/>
            <w:tcBorders>
              <w:left w:val="single" w:sz="8" w:color="CFF0FC"/>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left w:val="single" w:sz="8" w:color="CFF0FC"/>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(268 )</w:t>
            </w: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(607 )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(607 )</w:t>
            </w:r>
          </w:p>
        </w:tc>
      </w:tr>
      <w:tr>
        <w:trPr>
          <w:trHeight w:val="23"/>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3,356</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50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(73 ) $</w:t>
            </w:r>
          </w:p>
        </w:tc>
        <w:tc>
          <w:tcPr>
            <w:tcW w:w="156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(490 ) $</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2,793</w:t>
            </w:r>
          </w:p>
        </w:tc>
        <w:tc>
          <w:tcPr>
            <w:tcW w:w="100" w:type="dxa"/>
            <w:vAlign w:val="bottom"/>
            <w:shd w:val="clear" w:color="auto" w:fill="CFF0FC"/>
          </w:tcPr>
          <w:p>
            <w:pPr>
              <w:spacing w:after="0"/>
              <w:rPr>
                <w:sz w:val="21"/>
                <w:szCs w:val="21"/>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23"/>
        </w:trPr>
        <w:tc>
          <w:tcPr>
            <w:tcW w:w="5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Three months ended March 31, 2022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Foreign Currency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rPr>
              <w:t>Unrealized Gains on</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w w:val="89"/>
              </w:rPr>
              <w:t>Unrealized Loss</w:t>
            </w: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88"/>
              </w:rPr>
              <w:t>Cash Flow Hedges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1"/>
              </w:rPr>
              <w:t>on Investments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9"/>
                <w:szCs w:val="19"/>
                <w:color w:val="auto"/>
              </w:rPr>
            </w:pPr>
          </w:p>
        </w:tc>
      </w:tr>
      <w:tr>
        <w:trPr>
          <w:trHeight w:val="219"/>
        </w:trPr>
        <w:tc>
          <w:tcPr>
            <w:tcW w:w="520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gridSpan w:val="2"/>
          </w:tcPr>
          <w:p>
            <w:pPr>
              <w:jc w:val="right"/>
              <w:ind w:right="21"/>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1,049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(197 )</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left w:val="single" w:sz="8" w:color="CFF0FC"/>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FF0FC"/>
          </w:tcPr>
          <w:p>
            <w:pPr>
              <w:spacing w:after="0"/>
              <w:rPr>
                <w:sz w:val="19"/>
                <w:szCs w:val="19"/>
                <w:color w:val="auto"/>
              </w:rPr>
            </w:pPr>
          </w:p>
        </w:tc>
      </w:tr>
      <w:tr>
        <w:trPr>
          <w:trHeight w:val="23"/>
        </w:trPr>
        <w:tc>
          <w:tcPr>
            <w:tcW w:w="5200" w:type="dxa"/>
            <w:vAlign w:val="bottom"/>
          </w:tcPr>
          <w:p>
            <w:pPr>
              <w:spacing w:after="0"/>
              <w:rPr>
                <w:sz w:val="2"/>
                <w:szCs w:val="2"/>
                <w:color w:val="auto"/>
              </w:rPr>
            </w:pPr>
          </w:p>
        </w:tc>
        <w:tc>
          <w:tcPr>
            <w:tcW w:w="200" w:type="dxa"/>
            <w:vAlign w:val="bottom"/>
            <w:gridSpan w:val="2"/>
            <w:shd w:val="clear" w:color="auto" w:fill="000000"/>
          </w:tcPr>
          <w:p>
            <w:pPr>
              <w:spacing w:after="0"/>
              <w:rPr>
                <w:sz w:val="2"/>
                <w:szCs w:val="2"/>
                <w:color w:val="auto"/>
              </w:rPr>
            </w:pPr>
          </w:p>
        </w:tc>
        <w:tc>
          <w:tcPr>
            <w:tcW w:w="1500" w:type="dxa"/>
            <w:vAlign w:val="bottom"/>
            <w:gridSpan w:val="2"/>
            <w:shd w:val="clear" w:color="auto" w:fill="000000"/>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52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gridSpan w:val="2"/>
          </w:tcPr>
          <w:p>
            <w:pPr>
              <w:jc w:val="right"/>
              <w:ind w:right="21"/>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1,049</w:t>
            </w:r>
          </w:p>
        </w:tc>
        <w:tc>
          <w:tcPr>
            <w:tcW w:w="1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(197 ) $</w:t>
            </w: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-1199515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-1182370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-1199515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-1182370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-1199515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-1182370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Equity-Based Compensation</w:t>
      </w:r>
    </w:p>
    <w:p>
      <w:pPr>
        <w:spacing w:after="0" w:line="121"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The Company recognizes equity-based compensation expense associated with awards granted under equity incentive plans. Equity-based compensation expense is allocated to all departments based on the recipients of the compensation. A summary of the expense by line item in the condensed consolidated statements of operations for the three months ended March 31, 2023 and 2022, respectively, is provided in the following table.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7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Sales and marketing</w:t>
            </w:r>
          </w:p>
        </w:tc>
        <w:tc>
          <w:tcPr>
            <w:tcW w:w="2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2,649</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27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3"/>
        </w:trPr>
        <w:tc>
          <w:tcPr>
            <w:tcW w:w="580" w:type="dxa"/>
            <w:vAlign w:val="bottom"/>
          </w:tcPr>
          <w:p>
            <w:pPr>
              <w:spacing w:after="0"/>
              <w:rPr>
                <w:sz w:val="24"/>
                <w:szCs w:val="24"/>
                <w:color w:val="auto"/>
              </w:rPr>
            </w:pPr>
          </w:p>
        </w:tc>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compensation expense</w:t>
            </w:r>
          </w:p>
        </w:tc>
        <w:tc>
          <w:tcPr>
            <w:tcW w:w="27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11,128</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28"/>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700" w:type="dxa"/>
            <w:vAlign w:val="bottom"/>
          </w:tcPr>
          <w:p>
            <w:pPr>
              <w:jc w:val="right"/>
              <w:ind w:right="97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-521970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-504825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During the three months ended March 31, 2023,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 In the event that management was to determine that the Company would be able to realize its deferred tax assets in the future in excess of their net recorded amount, an adjustment to the valuation allowance would be made which would reduce the provision for income taxes.</w:t>
      </w:r>
    </w:p>
    <w:p>
      <w:pPr>
        <w:spacing w:after="0" w:line="70"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As of March 31, 2023, the Company has recorded a net deferred tax liability of $78.3 million, as restated. The net deferred tax liability reflects a valuation allowance against deferred tax assets that are more likely than not to not be realized as well as reversing taxable temporary differences that will not provide a source of taxable income due to attribute limitation rules.</w:t>
      </w:r>
    </w:p>
    <w:p>
      <w:pPr>
        <w:spacing w:after="0" w:line="76"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color w:val="auto"/>
        </w:rPr>
        <w:t>The Company recognizes uncertain income tax positions when it is more-likely-than-not the position will be sustained upon examination. As of March 31, 2023 and December 31, 2022, the Company has not identified any uncertain tax positions and has not recognized any related reserves.</w:t>
      </w:r>
    </w:p>
    <w:p>
      <w:pPr>
        <w:spacing w:after="0" w:line="16"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The Company's effective tax rate was 4.3%, as restated, and 3.2%, as restated, for the three months ended March 31, 2023 and 2022, respectively. The Company’s effective tax rate differs from the statutory tax rate of 21% due to the valuation allowance recorded, foreign tax rates that differ from the U.S. statutory tax rate, and partnership income that is not taxed.</w:t>
      </w:r>
    </w:p>
    <w:p>
      <w:pPr>
        <w:spacing w:after="0" w:line="76"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As described above, the Company has a valuation allowance as it has not yet attained a sustained level of profitability and the objectively verifiable negative evidence outweighed the positive evidence. The income of the Company’s subsidiaries is generally subject to corporate-level taxation, and certain of these subsidiaries have a valuation allowance whereas others do not. The effective tax rates for each period generally arise from the tax provisions for Company subsidiaries without valuation allowances, and the impact of any revaluation of deferred taxes arising from changes in the states effective tax rates. Such revaluations are caused by changes in state apportionment factors arising from fluctuations in the mix of sales, property and payroll by state, certain state tax rate changes and certain state tax incentives.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Pursuant to the Company's election under Section 754 of the Internal Revenue Code (the "Code"), the Company expects to obtain an increase in its share of the tax basis in the net assets of AIDH Topco, LLC when LLC Interests are redeemed or exchanged by other members. The Company plans to make an election under Section 754 of the Code for each taxable year in which a redemption of exchange of LLC Interest occurs.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spacing w:after="0" w:line="7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connection with the IPO, the Company entered into a Tax Receivable Agreement ("TRA") among Definitive Healthcare Corp., Definitive OpCo, and the TRA Parties and has recorded a liability under the TRA of $165.7 million, as restated, and $155.1 million, as restated, as of March 31, 2023 and December 31, 2022, respectively. During the three months ended March 31, 2023 and 2022, the Company recognized a TRA remeasurement loss of $3.6 million, as restated, and $0.2 million, as restated, within Other expense, net in the Company’s condensed consolidated statements of operations. 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basis adjustments resulting from (a) acquisitions by the Company of LLC Units from pre-IPO holders in connection with the IPO, and (b) subsequent redemptions or exchanges of LLC Units by holders for Class A Common Stock or other consideration, (ii) certain tax attributes acquired by the Company from the Blocker Companies in the Reorganization Transactions,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17. Loss Per Share</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4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net loss per share of Class A Common Stock for the three months ended March 31, 2023 and 2022.</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8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(As</w:t>
            </w:r>
          </w:p>
        </w:tc>
        <w:tc>
          <w:tcPr>
            <w:tcW w:w="114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4"/>
                <w:szCs w:val="14"/>
                <w:b w:val="1"/>
                <w:bCs w:val="1"/>
                <w:color w:val="auto"/>
                <w:w w:val="81"/>
              </w:rPr>
              <w:t>Restated)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w w:val="88"/>
              </w:rPr>
              <w:t>(15,972 )</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(13,039 )</w:t>
            </w:r>
          </w:p>
        </w:tc>
      </w:tr>
      <w:tr>
        <w:trPr>
          <w:trHeight w:val="24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8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(3,909 )</w:t>
            </w:r>
          </w:p>
        </w:tc>
        <w:tc>
          <w:tcPr>
            <w:tcW w:w="8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(4,458 )</w:t>
            </w:r>
          </w:p>
        </w:tc>
      </w:tr>
      <w:tr>
        <w:trPr>
          <w:trHeight w:val="20"/>
        </w:trPr>
        <w:tc>
          <w:tcPr>
            <w:tcW w:w="68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6820" w:type="dxa"/>
            <w:vAlign w:val="bottom"/>
          </w:tcPr>
          <w:p>
            <w:pPr>
              <w:spacing w:after="0"/>
              <w:rPr>
                <w:sz w:val="20"/>
                <w:szCs w:val="20"/>
                <w:color w:val="auto"/>
              </w:rPr>
            </w:pPr>
            <w:r>
              <w:rPr>
                <w:rFonts w:ascii="Arial" w:cs="Arial" w:eastAsia="Arial" w:hAnsi="Arial"/>
                <w:sz w:val="18"/>
                <w:szCs w:val="18"/>
                <w:color w:val="auto"/>
              </w:rPr>
              <w:t>Net loss attributable to Definitive Healthcare Corp.</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w w:val="88"/>
              </w:rPr>
              <w:t>(12,063 )</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(8,581 )</w:t>
            </w:r>
          </w:p>
        </w:tc>
      </w:tr>
      <w:tr>
        <w:trPr>
          <w:trHeight w:val="20"/>
        </w:trPr>
        <w:tc>
          <w:tcPr>
            <w:tcW w:w="6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-187960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of Class A Common Stock for the three months ended March 31, 2023 and 2022 (per share amounts unaudited).</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5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5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number of shares and per share amounts)</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w:t>
            </w: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81"/>
              </w:rPr>
              <w:t>Restated)</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Basic net loss per share attributable to common stockholders</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Allocation of net loss attributable to Definitive Healthcare Corp.</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45"/>
              <w:spacing w:after="0"/>
              <w:rPr>
                <w:sz w:val="20"/>
                <w:szCs w:val="20"/>
                <w:color w:val="auto"/>
              </w:rPr>
            </w:pPr>
            <w:r>
              <w:rPr>
                <w:rFonts w:ascii="Arial" w:cs="Arial" w:eastAsia="Arial" w:hAnsi="Arial"/>
                <w:sz w:val="18"/>
                <w:szCs w:val="18"/>
                <w:color w:val="auto"/>
              </w:rPr>
              <w:t>(12,063 )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(8,581 )</w:t>
            </w:r>
          </w:p>
        </w:tc>
      </w:tr>
      <w:tr>
        <w:trPr>
          <w:trHeight w:val="24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108,234,043</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97,158,823</w:t>
            </w:r>
          </w:p>
        </w:tc>
        <w:tc>
          <w:tcPr>
            <w:tcW w:w="100" w:type="dxa"/>
            <w:vAlign w:val="bottom"/>
          </w:tcPr>
          <w:p>
            <w:pPr>
              <w:spacing w:after="0"/>
              <w:rPr>
                <w:sz w:val="20"/>
                <w:szCs w:val="20"/>
                <w:color w:val="auto"/>
              </w:rPr>
            </w:pPr>
          </w:p>
        </w:tc>
      </w:tr>
      <w:tr>
        <w:trPr>
          <w:trHeight w:val="28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80" w:type="dxa"/>
            <w:vAlign w:val="bottom"/>
            <w:tcBorders>
              <w:bottom w:val="single" w:sz="8" w:color="CFF0FC"/>
            </w:tcBorders>
            <w:shd w:val="clear" w:color="auto" w:fill="CFF0FC"/>
          </w:tcPr>
          <w:p>
            <w:pPr>
              <w:jc w:val="right"/>
              <w:ind w:right="145"/>
              <w:spacing w:after="0"/>
              <w:rPr>
                <w:sz w:val="20"/>
                <w:szCs w:val="20"/>
                <w:color w:val="auto"/>
              </w:rPr>
            </w:pPr>
            <w:r>
              <w:rPr>
                <w:rFonts w:ascii="Arial" w:cs="Arial" w:eastAsia="Arial" w:hAnsi="Arial"/>
                <w:sz w:val="16"/>
                <w:szCs w:val="16"/>
                <w:color w:val="auto"/>
                <w:w w:val="74"/>
              </w:rPr>
              <w:t>)</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242424"/>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76"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242424"/>
        </w:rPr>
        <w:t>The following table presents potentially dilutive securities excluded from the computation of diluted net loss per share for the period presented because their effect would have been anti-dilutive:</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36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r>
      <w:tr>
        <w:trPr>
          <w:trHeight w:val="250"/>
        </w:trPr>
        <w:tc>
          <w:tcPr>
            <w:tcW w:w="6400" w:type="dxa"/>
            <w:vAlign w:val="bottom"/>
          </w:tcPr>
          <w:p>
            <w:pPr>
              <w:spacing w:after="0"/>
              <w:rPr>
                <w:sz w:val="21"/>
                <w:szCs w:val="21"/>
                <w:color w:val="auto"/>
              </w:rPr>
            </w:pPr>
          </w:p>
        </w:tc>
        <w:tc>
          <w:tcPr>
            <w:tcW w:w="1700" w:type="dxa"/>
            <w:vAlign w:val="bottom"/>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190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r>
      <w:tr>
        <w:trPr>
          <w:trHeight w:val="264"/>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Definitive OpCo LLC Units (vested and unvested)</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45,626,933</w:t>
            </w:r>
          </w:p>
        </w:tc>
        <w:tc>
          <w:tcPr>
            <w:tcW w:w="80" w:type="dxa"/>
            <w:vAlign w:val="bottom"/>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57,666,776</w:t>
            </w:r>
          </w:p>
        </w:tc>
        <w:tc>
          <w:tcPr>
            <w:tcW w:w="100" w:type="dxa"/>
            <w:vAlign w:val="bottom"/>
            <w:shd w:val="clear" w:color="auto" w:fill="CFF0FC"/>
          </w:tcPr>
          <w:p>
            <w:pPr>
              <w:spacing w:after="0"/>
              <w:rPr>
                <w:sz w:val="22"/>
                <w:szCs w:val="22"/>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8"/>
                <w:szCs w:val="18"/>
                <w:color w:val="auto"/>
              </w:rPr>
              <w:t>6,211,625</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3,098,264</w:t>
            </w:r>
          </w:p>
        </w:tc>
        <w:tc>
          <w:tcPr>
            <w:tcW w:w="100" w:type="dxa"/>
            <w:vAlign w:val="bottom"/>
          </w:tcPr>
          <w:p>
            <w:pPr>
              <w:spacing w:after="0"/>
              <w:rPr>
                <w:sz w:val="22"/>
                <w:szCs w:val="2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Parties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31F20"/>
        </w:rPr>
        <w:t>The Company has engaged in revenue transactions within the ordinary course of business with entities affiliated with its private equity sponsors and with members of the Company’s board of directors. During each of the three months ended March 31, 2023 and 2022 the Company recorded revenue from related parties of $0.4 million and $0.2 million, respectively. Receivables for related party revenue transactions amounted to $0.2 million and $0.8 million at March 31, 2023 and December 31, 2022, respectively.</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33" w:name="page34"/>
    <w:bookmarkEnd w:id="33"/>
    <w:p>
      <w:pPr>
        <w:ind w:left="20"/>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elsewhere in this Amendment and with our audited Consolidated Financial Statements, “Risk Factors,” and “Management’s Discussion and Analysis of Financial Condition and Results of Operations” included in our 2022 Form 10-K/A filed with the Securities and Exchange Commission (“SEC”) on August 14, 2023.</w:t>
      </w:r>
    </w:p>
    <w:p>
      <w:pPr>
        <w:spacing w:after="0" w:line="7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Amendment and in Part I, Item 1A of our 2022 Form 10-K/A.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over 3,000 customers as of March 31, 2023. We generally define a customer as a company that maintains one or more active paid subscriptions to our platform.</w:t>
      </w:r>
    </w:p>
    <w:p>
      <w:pPr>
        <w:spacing w:after="0" w:line="8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spacing w:after="0" w:line="68"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41"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As described in the Explanatory Note above and in Note 2 of “Notes to the Consolidated Financial Statements,” we have restated our unaudited condensed consolidated financial statements and Item 7. Management’s Discussion of Financial Condition and Results of Operations for the quarters ended March 31, 2023 and 2022 in this Amendment.</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event</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January 12, 2023, we announced a restructuring plan intended to reduce operating costs, improve operating margins, and continue advancing our ongoing commitment to profitable growth. During the first quarter of 2023, we incurred restructuring and related charges of $2.1 million, consisting primarily of severance payments, employee benefits, and related cash expenses. These charges were recognized within Transaction, integration, and restructuring expenses in our condensed consolidated statements of operations during the first quarter of 2023. We expect to incur an additional $0.5 million of expense through August 2023 associated with the restructuring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121"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As a corporation with a global footprint, we are subject to risks and exposures caused by significant events and their macroeconomic impacts, including, but not limited to, the COVID-19 pandemic, the Russia-Ukraine war, global geopolitical tension, and more recently, rising inflation and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p>
    <w:p>
      <w:pPr>
        <w:spacing w:after="0" w:line="69"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Our current and prospective customers and their business spendings are impacted by worsening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in the life science and provider markets. We expect this will impact our growth unless macroeconomic conditions improve. We are continuing to evaluate these and other past and potential future direct and indirect impacts on our business and results of operations.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growth and future success of our business depend on many factors, including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Enterprise Customers represent the majority of our ARR and are a key focus of our go-to-market programs. As of March 31, 2023 and December 31, 2022, we had over 3,000 customers. Our total customer and Enterprise Customer counts decreased slightly over the course of the quarter, reflecting the impact of macroeconomic conditions on our prospective customers.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believe there is a significant opportunity to generate additional revenue from our existing customer base of over 3,000 customers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03"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success in expanding usage of our platform with our existing customers is demonstrated by our NDR, which is further described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320" w:firstLine="509"/>
        <w:spacing w:after="0" w:line="275"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68"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and the most directly comparable GAAP financial measure to Adjusted EBITDA and Adjusted EBITDA Margin is GAAP net loss.</w:t>
      </w:r>
    </w:p>
    <w:p>
      <w:pPr>
        <w:spacing w:after="0" w:line="41"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17" w:lineRule="exact"/>
        <w:rPr>
          <w:sz w:val="20"/>
          <w:szCs w:val="20"/>
          <w:color w:val="auto"/>
        </w:rPr>
      </w:pPr>
    </w:p>
    <w:p>
      <w:pPr>
        <w:ind w:right="400" w:firstLine="509"/>
        <w:spacing w:after="0" w:line="255" w:lineRule="auto"/>
        <w:rPr>
          <w:sz w:val="20"/>
          <w:szCs w:val="20"/>
          <w:color w:val="auto"/>
        </w:rPr>
      </w:pPr>
      <w:r>
        <w:rPr>
          <w:rFonts w:ascii="Arial" w:cs="Arial" w:eastAsia="Arial" w:hAnsi="Arial"/>
          <w:sz w:val="18"/>
          <w:szCs w:val="18"/>
          <w:color w:val="auto"/>
        </w:rPr>
        <w:t>We define Adjusted Gross Profit as revenue less cost of revenue, excluding acquisition-related depreciation and amortization, and stock-based compensation costs. Adjusted Gross Profit differs from Gross Profit, in that Gross Profit includes the impact of acquisition-related depreciation and amortization expense and stock-based compensation. We exclude acquisition-related depreciation and amortization expense as they have no direct correlation to the cost of operating our business on an ongoing basis. Gross Margin is defined as Gross Profit as a percentage of revenue and Adjusted Gross Margin is defined as Adjusted Gross Profit as a percentage of revenue. These are key metrics used by management and our board of directors to assess our operations.</w:t>
      </w:r>
    </w:p>
    <w:p>
      <w:pPr>
        <w:spacing w:after="0" w:line="84"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following table presents a reconciliation of Gross Profit and Gross Margin to Adjusted Gross Profit and Adjusted Gross Margin for the periods presented: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00" w:type="dxa"/>
            <w:vAlign w:val="bottom"/>
            <w:gridSpan w:val="10"/>
          </w:tcPr>
          <w:p>
            <w:pPr>
              <w:jc w:val="right"/>
              <w:ind w:right="172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75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216"/>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11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w w:val="99"/>
              </w:rPr>
              <w:t>Revenue</w:t>
            </w: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 of Revenue</w:t>
            </w:r>
          </w:p>
        </w:tc>
      </w:tr>
      <w:tr>
        <w:trPr>
          <w:trHeight w:val="224"/>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Reported gross profit and margin</w:t>
            </w:r>
          </w:p>
        </w:tc>
        <w:tc>
          <w:tcPr>
            <w:tcW w:w="12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47,295</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38,796</w:t>
            </w:r>
          </w:p>
        </w:tc>
        <w:tc>
          <w:tcPr>
            <w:tcW w:w="200" w:type="dxa"/>
            <w:vAlign w:val="bottom"/>
          </w:tcPr>
          <w:p>
            <w:pPr>
              <w:spacing w:after="0"/>
              <w:rPr>
                <w:sz w:val="19"/>
                <w:szCs w:val="19"/>
                <w:color w:val="auto"/>
              </w:rPr>
            </w:pPr>
          </w:p>
        </w:tc>
        <w:tc>
          <w:tcPr>
            <w:tcW w:w="9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89"/>
              </w:rPr>
              <w:t>77</w:t>
            </w: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w:t>
            </w:r>
          </w:p>
        </w:tc>
      </w:tr>
      <w:tr>
        <w:trPr>
          <w:trHeight w:val="228"/>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7"/>
              </w:rPr>
              <w:t>Amortization of intangible assets acquired through business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combinations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5,102</w:t>
            </w:r>
          </w:p>
        </w:tc>
        <w:tc>
          <w:tcPr>
            <w:tcW w:w="1800" w:type="dxa"/>
            <w:vAlign w:val="bottom"/>
            <w:gridSpan w:val="4"/>
          </w:tcPr>
          <w:p>
            <w:pPr>
              <w:ind w:left="940"/>
              <w:spacing w:after="0"/>
              <w:rPr>
                <w:sz w:val="20"/>
                <w:szCs w:val="20"/>
                <w:color w:val="auto"/>
              </w:rPr>
            </w:pPr>
            <w:r>
              <w:rPr>
                <w:rFonts w:ascii="Arial" w:cs="Arial" w:eastAsia="Arial" w:hAnsi="Arial"/>
                <w:sz w:val="18"/>
                <w:szCs w:val="18"/>
                <w:color w:val="auto"/>
              </w:rPr>
              <w:t>10 %</w:t>
            </w:r>
          </w:p>
        </w:tc>
      </w:tr>
      <w:tr>
        <w:trPr>
          <w:trHeight w:val="250"/>
        </w:trPr>
        <w:tc>
          <w:tcPr>
            <w:tcW w:w="580" w:type="dxa"/>
            <w:vAlign w:val="bottom"/>
          </w:tcPr>
          <w:p>
            <w:pPr>
              <w:spacing w:after="0"/>
              <w:rPr>
                <w:sz w:val="21"/>
                <w:szCs w:val="21"/>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compensation costs</w:t>
            </w:r>
          </w:p>
        </w:tc>
        <w:tc>
          <w:tcPr>
            <w:tcW w:w="1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Adjusted gross profit and margin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49,843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680" w:type="dxa"/>
            <w:vAlign w:val="bottom"/>
          </w:tcPr>
          <w:p>
            <w:pPr>
              <w:jc w:val="right"/>
              <w:spacing w:after="0"/>
              <w:rPr>
                <w:sz w:val="20"/>
                <w:szCs w:val="20"/>
                <w:color w:val="auto"/>
              </w:rPr>
            </w:pPr>
            <w:r>
              <w:rPr>
                <w:rFonts w:ascii="Arial" w:cs="Arial" w:eastAsia="Arial" w:hAnsi="Arial"/>
                <w:sz w:val="18"/>
                <w:szCs w:val="18"/>
                <w:color w:val="auto"/>
              </w:rPr>
              <w:t>44,130</w:t>
            </w:r>
          </w:p>
        </w:tc>
        <w:tc>
          <w:tcPr>
            <w:tcW w:w="1800" w:type="dxa"/>
            <w:vAlign w:val="bottom"/>
            <w:gridSpan w:val="4"/>
          </w:tcPr>
          <w:p>
            <w:pPr>
              <w:ind w:left="94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color w:val="auto"/>
                <w:highlight w:val="white"/>
              </w:rPr>
              <w:t>%</w:t>
            </w:r>
          </w:p>
        </w:tc>
      </w:tr>
      <w:tr>
        <w:trPr>
          <w:trHeight w:val="792"/>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60" w:type="dxa"/>
            <w:vAlign w:val="bottom"/>
          </w:tcPr>
          <w:p>
            <w:pPr>
              <w:jc w:val="right"/>
              <w:ind w:right="67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-1344930</wp:posOffset>
            </wp:positionV>
            <wp:extent cx="641223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-744855</wp:posOffset>
            </wp:positionV>
            <wp:extent cx="68580"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-744855</wp:posOffset>
            </wp:positionV>
            <wp:extent cx="60325"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equity-based compensation, (iii) acquisition, integration, and restructuring expenses, and (iv) other non-recurring and one-time expenses.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Net loss to Adjusted EBITDA for the periods presented:</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1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w:t>
            </w: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Restated)</w:t>
            </w: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4"/>
                <w:szCs w:val="14"/>
                <w:color w:val="auto"/>
              </w:rPr>
            </w:pPr>
          </w:p>
        </w:tc>
        <w:tc>
          <w:tcPr>
            <w:tcW w:w="118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w w:val="97"/>
              </w:rPr>
              <w:t>% of Revenue</w:t>
            </w: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10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 of Revenue</w:t>
            </w:r>
          </w:p>
        </w:tc>
        <w:tc>
          <w:tcPr>
            <w:tcW w:w="220" w:type="dxa"/>
            <w:vAlign w:val="bottom"/>
          </w:tcPr>
          <w:p>
            <w:pPr>
              <w:spacing w:after="0"/>
              <w:rPr>
                <w:sz w:val="14"/>
                <w:szCs w:val="14"/>
                <w:color w:val="auto"/>
              </w:rPr>
            </w:pPr>
          </w:p>
        </w:tc>
      </w:tr>
      <w:tr>
        <w:trPr>
          <w:trHeight w:val="224"/>
        </w:trPr>
        <w:tc>
          <w:tcPr>
            <w:tcW w:w="4820" w:type="dxa"/>
            <w:vAlign w:val="bottom"/>
          </w:tcPr>
          <w:p>
            <w:pPr>
              <w:spacing w:after="0"/>
              <w:rPr>
                <w:sz w:val="20"/>
                <w:szCs w:val="20"/>
                <w:color w:val="auto"/>
              </w:rPr>
            </w:pPr>
            <w:r>
              <w:rPr>
                <w:rFonts w:ascii="Arial" w:cs="Arial" w:eastAsia="Arial" w:hAnsi="Arial"/>
                <w:sz w:val="18"/>
                <w:szCs w:val="18"/>
                <w:b w:val="1"/>
                <w:bCs w:val="1"/>
                <w:color w:val="auto"/>
              </w:rPr>
              <w:t>Net loss and margin</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(15,972</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r>
      <w:tr>
        <w:trPr>
          <w:trHeight w:val="242"/>
        </w:trPr>
        <w:tc>
          <w:tcPr>
            <w:tcW w:w="482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00" w:type="dxa"/>
            <w:vAlign w:val="bottom"/>
          </w:tcPr>
          <w:p>
            <w:pPr>
              <w:spacing w:after="0"/>
              <w:rPr>
                <w:sz w:val="21"/>
                <w:szCs w:val="21"/>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(710 )</w:t>
            </w:r>
          </w:p>
        </w:tc>
        <w:tc>
          <w:tcPr>
            <w:tcW w:w="1440" w:type="dxa"/>
            <w:vAlign w:val="bottom"/>
            <w:gridSpan w:val="3"/>
          </w:tcPr>
          <w:p>
            <w:pPr>
              <w:jc w:val="right"/>
              <w:ind w:right="90"/>
              <w:spacing w:after="0"/>
              <w:rPr>
                <w:sz w:val="20"/>
                <w:szCs w:val="20"/>
                <w:color w:val="auto"/>
              </w:rPr>
            </w:pPr>
            <w:r>
              <w:rPr>
                <w:rFonts w:ascii="Arial" w:cs="Arial" w:eastAsia="Arial" w:hAnsi="Arial"/>
                <w:sz w:val="18"/>
                <w:szCs w:val="18"/>
                <w:color w:val="auto"/>
              </w:rPr>
              <w:t>(1 )%</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(426 )</w:t>
            </w: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48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12,944</w:t>
            </w: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15,252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20"/>
        </w:trPr>
        <w:tc>
          <w:tcPr>
            <w:tcW w:w="4820" w:type="dxa"/>
            <w:vAlign w:val="bottom"/>
          </w:tcPr>
          <w:p>
            <w:pPr>
              <w:spacing w:after="0"/>
              <w:rPr>
                <w:sz w:val="20"/>
                <w:szCs w:val="20"/>
                <w:color w:val="auto"/>
              </w:rPr>
            </w:pPr>
            <w:r>
              <w:rPr>
                <w:rFonts w:ascii="Arial" w:cs="Arial" w:eastAsia="Arial" w:hAnsi="Arial"/>
                <w:sz w:val="18"/>
                <w:szCs w:val="18"/>
                <w:b w:val="1"/>
                <w:bCs w:val="1"/>
                <w:color w:val="auto"/>
              </w:rPr>
              <w:t>EBITDA and margin</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r>
              <w:rPr>
                <w:rFonts w:ascii="Arial" w:cs="Arial" w:eastAsia="Arial" w:hAnsi="Arial"/>
                <w:sz w:val="18"/>
                <w:szCs w:val="18"/>
                <w:color w:val="auto"/>
                <w:w w:val="81"/>
              </w:rPr>
              <w:t>)%</w:t>
            </w: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4"/>
                <w:szCs w:val="24"/>
                <w:color w:val="auto"/>
                <w:vertAlign w:val="superscript"/>
              </w:rPr>
              <w:t>(a)</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3,631</w:t>
            </w: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4"/>
                <w:szCs w:val="24"/>
                <w:color w:val="auto"/>
                <w:vertAlign w:val="superscript"/>
              </w:rPr>
              <w:t>(b)</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11,128</w:t>
            </w: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4820" w:type="dxa"/>
            <w:vAlign w:val="bottom"/>
          </w:tcPr>
          <w:p>
            <w:pPr>
              <w:spacing w:after="0" w:line="243" w:lineRule="exact"/>
              <w:rPr>
                <w:sz w:val="20"/>
                <w:szCs w:val="20"/>
                <w:color w:val="auto"/>
              </w:rPr>
            </w:pPr>
            <w:r>
              <w:rPr>
                <w:rFonts w:ascii="Arial" w:cs="Arial" w:eastAsia="Arial" w:hAnsi="Arial"/>
                <w:sz w:val="18"/>
                <w:szCs w:val="18"/>
                <w:color w:val="auto"/>
              </w:rPr>
              <w:t xml:space="preserve">Transaction, integration, and restructuring expenses </w:t>
            </w:r>
            <w:r>
              <w:rPr>
                <w:rFonts w:ascii="Arial" w:cs="Arial" w:eastAsia="Arial" w:hAnsi="Arial"/>
                <w:sz w:val="24"/>
                <w:szCs w:val="24"/>
                <w:color w:val="auto"/>
                <w:vertAlign w:val="superscript"/>
              </w:rPr>
              <w:t>(c)</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2,590</w:t>
            </w:r>
          </w:p>
        </w:tc>
        <w:tc>
          <w:tcPr>
            <w:tcW w:w="2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66"/>
        </w:trPr>
        <w:tc>
          <w:tcPr>
            <w:tcW w:w="4820" w:type="dxa"/>
            <w:vAlign w:val="bottom"/>
          </w:tcPr>
          <w:p>
            <w:pPr>
              <w:spacing w:after="0" w:line="266" w:lineRule="exact"/>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24"/>
                <w:szCs w:val="24"/>
                <w:color w:val="auto"/>
                <w:vertAlign w:val="superscript"/>
              </w:rPr>
              <w:t>(d)</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1,276</w:t>
            </w:r>
          </w:p>
        </w:tc>
        <w:tc>
          <w:tcPr>
            <w:tcW w:w="28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4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b w:val="1"/>
                <w:bCs w:val="1"/>
                <w:color w:val="auto"/>
              </w:rPr>
              <w:t>Adjusted EBITDA and margin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15,667</w:t>
            </w: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880" w:type="dxa"/>
            <w:vAlign w:val="bottom"/>
          </w:tcPr>
          <w:p>
            <w:pPr>
              <w:jc w:val="right"/>
              <w:spacing w:after="0"/>
              <w:rPr>
                <w:sz w:val="20"/>
                <w:szCs w:val="20"/>
                <w:color w:val="auto"/>
              </w:rPr>
            </w:pPr>
            <w:r>
              <w:rPr>
                <w:rFonts w:ascii="Arial" w:cs="Arial" w:eastAsia="Arial" w:hAnsi="Arial"/>
                <w:sz w:val="18"/>
                <w:szCs w:val="18"/>
                <w:color w:val="auto"/>
              </w:rPr>
              <w:t>14,045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color w:val="auto"/>
                <w:highlight w:val="white"/>
              </w:rPr>
              <w:t>%</w:t>
            </w: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-1585595</wp:posOffset>
            </wp:positionV>
            <wp:extent cx="641223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-1276985</wp:posOffset>
            </wp:positionV>
            <wp:extent cx="641223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342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12230" cy="342900"/>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represents foreign exchange and Tax Receivable Agreement (“TRA”) liability remeasurement gains and losses.</w:t>
      </w:r>
    </w:p>
    <w:p>
      <w:pPr>
        <w:spacing w:after="0" w:line="23" w:lineRule="exact"/>
        <w:rPr>
          <w:rFonts w:ascii="Arial" w:cs="Arial" w:eastAsia="Arial" w:hAnsi="Arial"/>
          <w:sz w:val="18"/>
          <w:szCs w:val="18"/>
          <w:color w:val="auto"/>
        </w:rPr>
      </w:pPr>
    </w:p>
    <w:p>
      <w:pPr>
        <w:ind w:left="520" w:right="480" w:hanging="512"/>
        <w:spacing w:after="0" w:line="25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ind w:left="520" w:right="420" w:hanging="512"/>
        <w:spacing w:after="0" w:line="25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and integration expenses primarily represent legal, accounting, and consulting expenses and fair value adjustments for contingent consideration related to our acquisitions. Restructuring expenses relate to our restructuring plan announced in the first quarter of 2023 and impairment and restructuring charges related to office relocations.</w:t>
      </w:r>
    </w:p>
    <w:p>
      <w:pPr>
        <w:spacing w:after="0" w:line="1" w:lineRule="exact"/>
        <w:rPr>
          <w:rFonts w:ascii="Arial" w:cs="Arial" w:eastAsia="Arial" w:hAnsi="Arial"/>
          <w:sz w:val="18"/>
          <w:szCs w:val="18"/>
          <w:color w:val="auto"/>
        </w:rPr>
      </w:pPr>
    </w:p>
    <w:p>
      <w:pPr>
        <w:ind w:left="520" w:right="20" w:hanging="512"/>
        <w:spacing w:after="0" w:line="292"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Non-recurring items represent expenses that are driven by events that are typically by nature one-time, non-operational, and unrelated to our core operations. These expenses are comprised primarily of professional fees related to financing, capital structure changes, and other non-recurring set-up costs related to public company operations. In addition, these expenses include sales tax accrual charges recorded during the quarters ended March 31, 2023 and 2022 of $0.4 million and $0.6 million, respectively, after we became aware of a state sales tax liability for sales taxes that we may have been required to collect from customers in 2023 and in certain previous years, which amounts include maximum penalties and interest.</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Dollar Retention Rate ("NDR")</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Unfavorable macroeconomic challenges are elongating deal cycles as customers implement more stringent approval processes or delay spending decisions, which impacts revenue from our existing customers, including upsells. We have also experienced a significant number of deferred purchasing decisions and heightened customer churn, particularly in the life science and provider markets. As a result, we expect our NDR rates for 2023 to be reduced slightly relative to year end 2022 unless macroeconomic conditions improve.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Remaining Performance Obligations ("cRPO")</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w:t>
      </w:r>
    </w:p>
    <w:p>
      <w:pPr>
        <w:spacing w:after="0" w:line="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Our cRPO will continue to be impacted by macroenvironment challenges, which have resulted in elongating deal cycles as customers implement more stringent approval processes or push out final decisions to later periods. We have also observed cancelations due to the impacts of such challenges on the financial condition of our customers, particularly in the life science and provider markets. We expect this trend to reduce our revenue growth rate for 2023 relative to 2022.</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cRPO as of March 31, 2023 and December 31, 2022:</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180,902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183,527</w:t>
            </w:r>
          </w:p>
        </w:tc>
        <w:tc>
          <w:tcPr>
            <w:tcW w:w="100" w:type="dxa"/>
            <w:vAlign w:val="bottom"/>
            <w:shd w:val="clear" w:color="auto" w:fill="CFF0FC"/>
          </w:tcPr>
          <w:p>
            <w:pPr>
              <w:spacing w:after="0"/>
              <w:rPr>
                <w:sz w:val="20"/>
                <w:szCs w:val="20"/>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Non-current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84,890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93,464</w:t>
            </w:r>
          </w:p>
        </w:tc>
        <w:tc>
          <w:tcPr>
            <w:tcW w:w="100" w:type="dxa"/>
            <w:vAlign w:val="bottom"/>
          </w:tcPr>
          <w:p>
            <w:pPr>
              <w:spacing w:after="0"/>
              <w:rPr>
                <w:sz w:val="20"/>
                <w:szCs w:val="20"/>
                <w:color w:val="auto"/>
              </w:rPr>
            </w:pPr>
          </w:p>
        </w:tc>
      </w:tr>
      <w:tr>
        <w:trPr>
          <w:trHeight w:val="283"/>
        </w:trPr>
        <w:tc>
          <w:tcPr>
            <w:tcW w:w="69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265,792</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Acquisitions</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 xml:space="preserve">We seek to enhance our platform, data and business through internal development and through acquisitions of and investments in businesses that broaden and strengthen our platform. In February 2022, we completed our acquisition of Analytical Wizards. This acquisition further strengthens our data platform and our business. Acquisitions can result in transaction costs, amortization expenses and other adjustments as purchase accounting requires that all assets acquired and liabilities assumed be recorded at fair value on the acquisition date. Refer to Note 3.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in the notes to our condensed consolidated financial statements included elsewhere in this Amendment for further details.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For the three months ended March 31, 2023, we derived approximately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recognized at the time the services are performed.</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Because of the macroenvironment challenges described above, we expect a reduction in our revenue growth rate for 2023 relative to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modestly increase as we add to our existing intelligence modules and invest in new products and data sources. Cost of data is included in the cost of revenue and is a fundamental driver of innovation.</w:t>
      </w:r>
    </w:p>
    <w:p>
      <w:pPr>
        <w:spacing w:after="0" w:line="53"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the beginning of 2023, additional third-party data sources were rolled out to our customers, which resulted in an increase of cost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8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While we expect our overall gross profit to increase for 2023 due to anticipated revenue growth, our gross margin is expected to modestly decrease due to the expansion of data sources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a restructuring plan in the first quarter of 2023. Rising inflation, and in particular increases to the cost of labor due to cost-of-living increases, have negatively impacted our operating expenses, and we expect this to continue. However, inflation has not materially affected our business to date.</w:t>
      </w:r>
    </w:p>
    <w:p>
      <w:pPr>
        <w:spacing w:after="0" w:line="8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personnel costs such as salaries, bonuses, sales commissions,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employee-related benefits for our sales and marketing teams, as well as non-personnel costs including overhead costs, technology, and marketing costs. While we have slowed hiring in response to macroeconomic conditions, and expect to maintain slower levels until macroeconomic conditions improve, we continue to hire additional sales and marketing personnel, enhance our digital marketing infrastructure, and invest in marketing programs targeting our major vertical markets.</w:t>
      </w:r>
    </w:p>
    <w:p>
      <w:pPr>
        <w:spacing w:after="0" w:line="8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i w:val="1"/>
          <w:iCs w:val="1"/>
          <w:color w:val="auto"/>
        </w:rPr>
        <w:t>Product development</w:t>
      </w:r>
      <w:r>
        <w:rPr>
          <w:rFonts w:ascii="Arial" w:cs="Arial" w:eastAsia="Arial" w:hAnsi="Arial"/>
          <w:sz w:val="18"/>
          <w:szCs w:val="18"/>
          <w:color w:val="auto"/>
        </w:rPr>
        <w:t>. Product development expenses primarily consist of personnel costs such as salaries, bonuses, stock-based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module improvements for our customers, enhance our software development team and invest in automation and artificial intelligence to drive higher quality data and deeper insights.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0" w:name="page41"/>
    <w:bookmarkEnd w:id="40"/>
    <w:p>
      <w:pPr>
        <w:ind w:firstLine="509"/>
        <w:spacing w:after="0" w:line="272"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primarily consist of personnel costs such as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complete voluntary disclosure agreements, register with certain tax authorities, and commence collection of sales taxes from customers in these tax jurisdictions.</w:t>
      </w:r>
    </w:p>
    <w:p>
      <w:pPr>
        <w:spacing w:after="0" w:line="69" w:lineRule="exact"/>
        <w:rPr>
          <w:sz w:val="20"/>
          <w:szCs w:val="20"/>
          <w:color w:val="auto"/>
        </w:rPr>
      </w:pPr>
    </w:p>
    <w:p>
      <w:pPr>
        <w:ind w:right="360" w:firstLine="509"/>
        <w:spacing w:after="0" w:line="311"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expenses consist primarily of amortization of intangible assets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p>
    <w:p>
      <w:pPr>
        <w:spacing w:after="0" w:line="41"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i w:val="1"/>
          <w:iCs w:val="1"/>
          <w:color w:val="auto"/>
        </w:rPr>
        <w:t>Transaction, integration, and restructuring expenses</w:t>
      </w:r>
      <w:r>
        <w:rPr>
          <w:rFonts w:ascii="Arial" w:cs="Arial" w:eastAsia="Arial" w:hAnsi="Arial"/>
          <w:sz w:val="17"/>
          <w:szCs w:val="17"/>
          <w:color w:val="auto"/>
        </w:rPr>
        <w:t>. Transaction, integration, and restructuring expenses are costs directly associated with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and integration activities we have undertaken, primarily accounting and legal due diligence, and consulting and advisory fees, as well as expenses related to our restructuring plan announced in the first quarter of 2023 and our office relocations.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net consists primarily of interest expense, interest income, and other expense, net.</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consists of interest expense on our debt obligations and the amortization of debt discounts and debt issuance costs. We expect,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recently rising interest rates, that interest expense will increase for 2023 over prior periods for the unhedged portion of our outstanding debt while interest rate swap agreements will keep the hedged portion of outstanding debt fixed.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consists of earnings resulting from our short-term investments.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consists primarily of the revaluation of tax receivable agreement liabilities and realized and unrealized gains and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 (As Restated)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condensed consolidated statements of operations for the periods presented:</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6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w:t>
            </w:r>
          </w:p>
        </w:tc>
        <w:tc>
          <w:tcPr>
            <w:tcW w:w="122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4"/>
                <w:szCs w:val="14"/>
                <w:b w:val="1"/>
                <w:bCs w:val="1"/>
                <w:color w:val="auto"/>
                <w:w w:val="81"/>
              </w:rPr>
              <w:t>Restated)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59,201</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50,124</w:t>
            </w:r>
          </w:p>
        </w:tc>
        <w:tc>
          <w:tcPr>
            <w:tcW w:w="100" w:type="dxa"/>
            <w:vAlign w:val="bottom"/>
            <w:shd w:val="clear" w:color="auto" w:fill="CFF0FC"/>
          </w:tcPr>
          <w:p>
            <w:pPr>
              <w:spacing w:after="0"/>
              <w:rPr>
                <w:sz w:val="20"/>
                <w:szCs w:val="20"/>
                <w:color w:val="auto"/>
              </w:rPr>
            </w:pPr>
          </w:p>
        </w:tc>
      </w:tr>
      <w:tr>
        <w:trPr>
          <w:trHeight w:val="237"/>
        </w:trPr>
        <w:tc>
          <w:tcPr>
            <w:tcW w:w="6620" w:type="dxa"/>
            <w:vAlign w:val="bottom"/>
          </w:tcPr>
          <w:p>
            <w:pPr>
              <w:spacing w:after="0"/>
              <w:rPr>
                <w:sz w:val="20"/>
                <w:szCs w:val="20"/>
                <w:color w:val="auto"/>
              </w:rPr>
            </w:pPr>
            <w:r>
              <w:rPr>
                <w:rFonts w:ascii="Arial" w:cs="Arial" w:eastAsia="Arial" w:hAnsi="Arial"/>
                <w:sz w:val="18"/>
                <w:szCs w:val="18"/>
                <w:color w:val="auto"/>
              </w:rPr>
              <w:t>Cost of revenue:</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 of revenue exclusive of amortization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21"/>
                <w:szCs w:val="21"/>
                <w:color w:val="auto"/>
              </w:rPr>
            </w:pPr>
          </w:p>
        </w:tc>
      </w:tr>
      <w:tr>
        <w:trPr>
          <w:trHeight w:val="237"/>
        </w:trPr>
        <w:tc>
          <w:tcPr>
            <w:tcW w:w="66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cost of revenue</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11,906</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620" w:type="dxa"/>
            <w:vAlign w:val="bottom"/>
          </w:tcPr>
          <w:p>
            <w:pPr>
              <w:ind w:left="540"/>
              <w:spacing w:after="0"/>
              <w:rPr>
                <w:sz w:val="20"/>
                <w:szCs w:val="20"/>
                <w:color w:val="auto"/>
              </w:rPr>
            </w:pPr>
            <w:r>
              <w:rPr>
                <w:rFonts w:ascii="Arial" w:cs="Arial" w:eastAsia="Arial" w:hAnsi="Arial"/>
                <w:sz w:val="18"/>
                <w:szCs w:val="18"/>
                <w:color w:val="auto"/>
              </w:rPr>
              <w:t>Gross profit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47,295</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38,796</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23,423</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21,293</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Product development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9,884</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6,850</w:t>
            </w:r>
          </w:p>
        </w:tc>
        <w:tc>
          <w:tcPr>
            <w:tcW w:w="100" w:type="dxa"/>
            <w:vAlign w:val="bottom"/>
            <w:shd w:val="clear" w:color="auto" w:fill="CFF0FC"/>
          </w:tcPr>
          <w:p>
            <w:pPr>
              <w:spacing w:after="0"/>
              <w:rPr>
                <w:sz w:val="21"/>
                <w:szCs w:val="21"/>
                <w:color w:val="auto"/>
              </w:rPr>
            </w:pP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14,079</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11,035</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9,874</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Transaction, integration, and restructuring expenses</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2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r>
      <w:tr>
        <w:trPr>
          <w:trHeight w:val="237"/>
        </w:trPr>
        <w:tc>
          <w:tcPr>
            <w:tcW w:w="66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59,566</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620" w:type="dxa"/>
            <w:vAlign w:val="bottom"/>
          </w:tcPr>
          <w:p>
            <w:pPr>
              <w:ind w:left="540"/>
              <w:spacing w:after="0"/>
              <w:rPr>
                <w:sz w:val="20"/>
                <w:szCs w:val="20"/>
                <w:color w:val="auto"/>
              </w:rPr>
            </w:pPr>
            <w:r>
              <w:rPr>
                <w:rFonts w:ascii="Arial" w:cs="Arial" w:eastAsia="Arial" w:hAnsi="Arial"/>
                <w:sz w:val="18"/>
                <w:szCs w:val="18"/>
                <w:color w:val="auto"/>
              </w:rPr>
              <w:t>Loss from operations</w:t>
            </w:r>
          </w:p>
        </w:tc>
        <w:tc>
          <w:tcPr>
            <w:tcW w:w="960" w:type="dxa"/>
            <w:vAlign w:val="bottom"/>
          </w:tcPr>
          <w:p>
            <w:pPr>
              <w:spacing w:after="0"/>
              <w:rPr>
                <w:sz w:val="20"/>
                <w:szCs w:val="20"/>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8"/>
                <w:szCs w:val="18"/>
                <w:color w:val="auto"/>
                <w:w w:val="91"/>
              </w:rPr>
              <w:t>(12,271 )</w:t>
            </w: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1"/>
              </w:rPr>
              <w:t>(11,566 )</w:t>
            </w:r>
          </w:p>
        </w:tc>
      </w:tr>
      <w:tr>
        <w:trPr>
          <w:trHeight w:val="249"/>
        </w:trPr>
        <w:tc>
          <w:tcPr>
            <w:tcW w:w="6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other expense, net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(4,411 )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(1,899 )</w:t>
            </w:r>
          </w:p>
        </w:tc>
      </w:tr>
      <w:tr>
        <w:trPr>
          <w:trHeight w:val="20"/>
        </w:trPr>
        <w:tc>
          <w:tcPr>
            <w:tcW w:w="66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6620" w:type="dxa"/>
            <w:vAlign w:val="bottom"/>
          </w:tcPr>
          <w:p>
            <w:pPr>
              <w:ind w:left="540"/>
              <w:spacing w:after="0"/>
              <w:rPr>
                <w:sz w:val="20"/>
                <w:szCs w:val="20"/>
                <w:color w:val="auto"/>
              </w:rPr>
            </w:pPr>
            <w:r>
              <w:rPr>
                <w:rFonts w:ascii="Arial" w:cs="Arial" w:eastAsia="Arial" w:hAnsi="Arial"/>
                <w:sz w:val="18"/>
                <w:szCs w:val="18"/>
                <w:color w:val="auto"/>
              </w:rPr>
              <w:t>Net loss before income taxes</w:t>
            </w:r>
          </w:p>
        </w:tc>
        <w:tc>
          <w:tcPr>
            <w:tcW w:w="960" w:type="dxa"/>
            <w:vAlign w:val="bottom"/>
          </w:tcPr>
          <w:p>
            <w:pPr>
              <w:spacing w:after="0"/>
              <w:rPr>
                <w:sz w:val="20"/>
                <w:szCs w:val="20"/>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8"/>
                <w:szCs w:val="18"/>
                <w:color w:val="auto"/>
                <w:w w:val="91"/>
              </w:rPr>
              <w:t>(16,682 )</w:t>
            </w: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1"/>
              </w:rPr>
              <w:t>(13,465 )</w:t>
            </w:r>
          </w:p>
        </w:tc>
      </w:tr>
      <w:tr>
        <w:trPr>
          <w:trHeight w:val="249"/>
        </w:trPr>
        <w:tc>
          <w:tcPr>
            <w:tcW w:w="66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Benefit from income taxes</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20" w:type="dxa"/>
            <w:vAlign w:val="bottom"/>
          </w:tcPr>
          <w:p>
            <w:pPr>
              <w:ind w:left="540"/>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20"/>
                <w:szCs w:val="20"/>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8"/>
                <w:szCs w:val="18"/>
                <w:color w:val="auto"/>
                <w:w w:val="91"/>
              </w:rPr>
              <w:t>(15,972 )</w:t>
            </w: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1"/>
              </w:rPr>
              <w:t>(13,039 )</w:t>
            </w:r>
          </w:p>
        </w:tc>
      </w:tr>
      <w:tr>
        <w:trPr>
          <w:trHeight w:val="230"/>
        </w:trPr>
        <w:tc>
          <w:tcPr>
            <w:tcW w:w="6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620" w:type="dxa"/>
            <w:vAlign w:val="bottom"/>
          </w:tcPr>
          <w:p>
            <w:pPr>
              <w:ind w:left="540"/>
              <w:spacing w:after="0"/>
              <w:rPr>
                <w:sz w:val="20"/>
                <w:szCs w:val="20"/>
                <w:color w:val="auto"/>
              </w:rPr>
            </w:pPr>
            <w:r>
              <w:rPr>
                <w:rFonts w:ascii="Arial" w:cs="Arial" w:eastAsia="Arial" w:hAnsi="Arial"/>
                <w:sz w:val="18"/>
                <w:szCs w:val="18"/>
                <w:color w:val="auto"/>
              </w:rPr>
              <w:t>Net loss attributable to Definitive Healthcare Corp.</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19"/>
              <w:spacing w:after="0"/>
              <w:rPr>
                <w:sz w:val="20"/>
                <w:szCs w:val="20"/>
                <w:color w:val="auto"/>
              </w:rPr>
            </w:pPr>
            <w:r>
              <w:rPr>
                <w:rFonts w:ascii="Arial" w:cs="Arial" w:eastAsia="Arial" w:hAnsi="Arial"/>
                <w:sz w:val="18"/>
                <w:szCs w:val="18"/>
                <w:color w:val="auto"/>
                <w:w w:val="91"/>
              </w:rPr>
              <w:t>(12,063 )</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(8,581 )</w:t>
            </w:r>
          </w:p>
        </w:tc>
      </w:tr>
      <w:tr>
        <w:trPr>
          <w:trHeight w:val="20"/>
        </w:trPr>
        <w:tc>
          <w:tcPr>
            <w:tcW w:w="6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-2399665</wp:posOffset>
            </wp:positionV>
            <wp:extent cx="68580" cy="162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-2399665</wp:posOffset>
            </wp:positionV>
            <wp:extent cx="60325"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-1148080</wp:posOffset>
            </wp:positionV>
            <wp:extent cx="6858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-831215</wp:posOffset>
            </wp:positionV>
            <wp:extent cx="6858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-831215</wp:posOffset>
            </wp:positionV>
            <wp:extent cx="60325" cy="163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-513715</wp:posOffset>
            </wp:positionV>
            <wp:extent cx="685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688" w:right="8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Three Months Ended March 31, 2023 compared to Three Months Ended March 31, 2022</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Revenue increased $9.1 million, or 18%, in the three months ended March 31, 2023 compared with the same period in the prior year, driven primarily by higher subscription revenue of $8.8 million and higher professional service revenue of $0.3 million. Increases from the organic addition of new customers in the amount of $8.2 million and the acquisition of Analytical Wizards in February 2022 in the amount of $1.3 million were partially offset by a $0.4 million reduction in revenue from customers that existed as of the end of the prior year.</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Cost of revenue increased $0.6 million, or 5%, in the three months ended March 31, 2023 compared with the same period in the prior year. Expanded customer usage of our platform and the rollout of additional third-party data sources to our customers at the beginning of 2023 increased hosting fees and data subscription costs by $2.0 million. In addition, employee costs increased by $0.6 million due to expansion of customer support and professional service roles, primarily resulting from the acquisition of Analytical Wizards in February 2022. These increases were partially offset by a $2.0 million reduction in amortization, primarily due to a substantial acquired data asset reaching the end of its economic life in July 2022.</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 (As Restated)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Operating expenses increased $9.2 million, or 18%, during the three months ended March 31, 2023 compared with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While inflation has generally contributed to rising vendor and labor costs, we believe the increase to operating expenses was primarily due to:</w:t>
      </w:r>
    </w:p>
    <w:p>
      <w:pPr>
        <w:spacing w:after="0" w:line="114" w:lineRule="exact"/>
        <w:rPr>
          <w:sz w:val="20"/>
          <w:szCs w:val="20"/>
          <w:color w:val="auto"/>
        </w:rPr>
      </w:pPr>
    </w:p>
    <w:p>
      <w:pPr>
        <w:ind w:left="1020" w:right="40" w:hanging="503"/>
        <w:spacing w:after="0" w:line="34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increase in sales and marketing expense of $2.1 million for the three months ended March 31, 2023, due primarily to increased personnel costs resulting from additional hiring, partially offset by decreases in stock-based compensation expense due to key role transitions;</w:t>
      </w:r>
    </w:p>
    <w:p>
      <w:pPr>
        <w:spacing w:after="0" w:line="15" w:lineRule="exact"/>
        <w:rPr>
          <w:rFonts w:ascii="Arial" w:cs="Arial" w:eastAsia="Arial" w:hAnsi="Arial"/>
          <w:sz w:val="16"/>
          <w:szCs w:val="16"/>
          <w:color w:val="auto"/>
        </w:rPr>
      </w:pPr>
    </w:p>
    <w:p>
      <w:pPr>
        <w:ind w:left="1020" w:right="4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product development expense of $3.0 million for the three months ended March 31, 2023, due primarily to increases in stock-based compensation expense and increased personnel costs resulting from additional hiring;</w:t>
      </w:r>
    </w:p>
    <w:p>
      <w:pPr>
        <w:spacing w:after="0" w:line="62"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$3.0 million for the three months ended March 31, 2023, due primarily to increases in stock-based compensation expense from new equity grants and key role transitions over the past year, partially offset by savings from franchise taxes, rent and facility costs due to prior year office closures, and reduced professional fees;</w:t>
      </w:r>
    </w:p>
    <w:p>
      <w:pPr>
        <w:spacing w:after="0" w:line="75"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transaction, integration and restructuring expenses of $1.3 million for the three months ended March 31, 2023, due primarily to our restructuring plan announced on January 12, 2023 partially offset by reduced transaction and integration costs from the February 2022 acquisition of Analytical Wizards.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Expense, Net (As Restated)</w:t>
      </w:r>
    </w:p>
    <w:p>
      <w:pPr>
        <w:spacing w:after="0" w:line="121"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Total other expense, net was $4.4 million for the three months ended March 31, 2023 compared to total other expense, net of $1.9 million in the same period in the prior year. The overall increase was primarily attributed to a $3.6 million increase in other expense, net, primarily due to a TRA liability remeasurement loss driven by future realizability of tax attributes payable under the TRA, and a $1.7 million increase in interest expense due to rising interest rates from our debt obligations, partially offset by a $2.8 million increase in interest income earned from our short-term investments.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As of March 31, 2023, we had $125.0 million of cash and cash equivalents, $219.0 million of short-term investments, and $75.0 million available under our revolving credit facility. Our principal sources of liquidity are cash and cash equivalents and short-term investments on hand, primarily from our IPO and follow-on offerings, as well as the cash flows we generate from operations. Our principal uses of liquidity have been primarily for investment in long-term growth of the business through capital expenditures and acquisitions, as well as debt services and distributions to members of Definitive OpCo.</w:t>
      </w:r>
    </w:p>
    <w:p>
      <w:pPr>
        <w:spacing w:after="0" w:line="4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All of our business is conducted through Definitive OpCo and its consolidated subsidiaries and affiliates, and the financial results are included in the condensed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6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79"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Additionally, our liquidity and our ability to meet our obligations and fund our capital requirements are dependent on our future financial performance, which is subject to general economic, financial, and other factors that are beyond our control. See “Risk Factors” in our 2022 Form 10-K/A and the factors described elsewhere in this “Management’s Discussion and Analysis of Financial Condition and Results of Operations.” Macroeconomic conditions, including rising inflation and a potential recession, could increase our anticipated funding requirements. In the event we need to seek additional funding, rising interest rates, stock market volatility, or other unfavorable macroeconomic conditions may also prevent us from obtaining additional financing on favorable terms or at all. Moreover, the recent closures of Silicon Valley Bank and Signature Bank have resulted in broader financial institution liquidity risk and concerns.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14,957</w:t>
            </w:r>
          </w:p>
        </w:tc>
        <w:tc>
          <w:tcPr>
            <w:tcW w:w="2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13,633</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(33,470 )</w:t>
            </w: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(166,852 )</w:t>
            </w: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(3,525 )</w:t>
            </w:r>
          </w:p>
        </w:tc>
        <w:tc>
          <w:tcPr>
            <w:tcW w:w="3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(4,376 )</w:t>
            </w:r>
          </w:p>
        </w:tc>
      </w:tr>
      <w:tr>
        <w:trPr>
          <w:trHeight w:val="28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cash and cash equivalents (excluding effect of exchange rate changes)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provided by operating activities was $15.0 million during the three months ended March 31, 2023, primarily as a result of a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$16.0 million, offset by non-cash charges of $30.1 million. The non-cash charges were primarily comprised of amortization of intangible assets of $12.4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equity compensation costs of $11.1 million, a loss on remeasurement of the TRA of $3.6 million, and amortization of deferred contract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The net increase in operating assets and liabilities of $0.9 million was primarily the result of a decrease in accounts receivable of $7.0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 increase in deferred revenue of $5.6 million due to the time of billings and cash received in advance of revenue recognition for subscription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services. These factors were almost entirely offset by lower accounts payable, accrued expenses, and other current liabilities, collectively, of $3.9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result of cash outflows resulting from an increase in deferred contract costs of $4.0 million, and an increase in prepaid expense and other assets of $3.8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Cash used in investing activities during the three months ended March 31, 2023 was $33.5 million, driven primarily by $90.3 million in purchases of short-term investments, partially offset by $58.1 million in maturities of short-term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Financing Activities</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Cash used in financing activities during the three months ended March 31, 2023 was $3.5 million, primarily driven repayments of the 2021 Term Loan (as defined below) of $1.7 million and taxes paid related to the net share settlement of equity awards of $1.5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Debt Obligations</w:t>
      </w:r>
      <w:r>
        <w:rPr>
          <w:rFonts w:ascii="Arial" w:cs="Arial" w:eastAsia="Arial" w:hAnsi="Arial"/>
          <w:sz w:val="18"/>
          <w:szCs w:val="18"/>
          <w:color w:val="auto"/>
        </w:rPr>
        <w:t xml:space="preserve"> for additional information related to our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On September 17, 2021, DH Holdings entered into the 2021 Credit Agreement, providing for (i) a $275.0 million term loan A facility (the “2021 Term Loan”) and (ii) a $75.0 million revolving credit facility (the “2021 Revolving Line of Credit”). The 2021 Term Loan of $275.0 million has a maturity date of September 17, 2026. The 2021 Term Loan was recorded net of $3.5 million in issuance costs, which are amortized to interest expense over the term of the loan using the effective interest method.</w:t>
      </w:r>
    </w:p>
    <w:p>
      <w:pPr>
        <w:spacing w:after="0" w:line="79"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maturity. There was $264.7 million outstanding on the 2021 Term Loan at March 31, 2023.</w:t>
      </w:r>
    </w:p>
    <w:p>
      <w:pPr>
        <w:spacing w:after="0" w:line="80"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The 2021 Revolving Line of Credit is committed for $75.0 million and has a maturity date of September 17, 2026. There was no outstanding balance as of March 31, 2023. On October 31, 2022, the Company amended the 2021 Credit Agreement to replace the LIBO rate with Term SOFR plus an applicable rate.</w:t>
      </w:r>
    </w:p>
    <w:p>
      <w:pPr>
        <w:spacing w:after="0" w:line="76"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2021 Credit Agreement includes certain financial covenants, and the Company was compliant with its financial covenants under the 2021 Credit Agreement as of March 31, 2023 and December 31, 2022.</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connection with the Reorganization Transactions and the IPO, the Company entered into the TRA with certain of our pre- IPO unitholders and the former shareholders of certain Blocker Companies. The TRA provides for the payment by Definitive Healthcare Corp. of 85%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spacing w:after="0" w:line="5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6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unaudited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Capital expenditures increased by $0.5 million to $1.3 million for the three months ended March 31, 2023 compared to $0.8 million for the same period in the prior year, primarily due to the acquisition of new data 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2022 included in our 2022 Form 10-K/A. There have been no material changes to these policies or estimates as of March 31,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 xml:space="preserve">See new accounting pronouncements described under “—Adoption of Recently Issued Financial Accounting Standards” and “—Recently Issued Accounting Pronouncements Not Yet Adopted” within Note 1. </w:t>
      </w:r>
      <w:r>
        <w:rPr>
          <w:rFonts w:ascii="Arial" w:cs="Arial" w:eastAsia="Arial" w:hAnsi="Arial"/>
          <w:sz w:val="18"/>
          <w:szCs w:val="18"/>
          <w:i w:val="1"/>
          <w:iCs w:val="1"/>
          <w:color w:val="auto"/>
        </w:rPr>
        <w:t>Organization and Basis of Presentation</w:t>
      </w:r>
      <w:r>
        <w:rPr>
          <w:rFonts w:ascii="Arial" w:cs="Arial" w:eastAsia="Arial" w:hAnsi="Arial"/>
          <w:sz w:val="18"/>
          <w:szCs w:val="18"/>
          <w:color w:val="auto"/>
        </w:rPr>
        <w:t xml:space="preserve"> in the Notes to the unaudited interim condensed consolidated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As of March 31, 2023,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at the time the Original Report was filed, our principal executive officer and principal financial officer concluded that our disclosure controls and procedures were effective as of March 31, 2023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 Subsequent to the original evaluation, our principal executive officer and principal financial officer concluded that our disclosure controls and procedures were not effective as of March 31, 2023 because of the material weaknesses in our internal control over financial reporting discussed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117"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identified a material weakness in the design of our controls over the collection and remittance of sales taxes, as well as the accurate recording of our sales tax obligations in the financial statements. This material weakness resulted in the restatement of our financial statements as of and for the years ended December 31, 2022, 2021 and 2020, the unaudited condensed consolidated quarterly financial information for the quarterly periods in the years ended December 31, 2022, 2021, and 2020, as well as the unaudited condensed consolidated financial statements included in our Quarterly Report on Form 10-Q for the quarter ended March 31, 2023.</w:t>
      </w:r>
    </w:p>
    <w:p>
      <w:pPr>
        <w:spacing w:after="0" w:line="80"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This material weakness remains unremediated as of March 31, 2023. Management is taking steps to remediate this material weakness (see “Remediation Plan in Response to Material Weakness” for details).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Remediation Plan in Response to Material Weakness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response to the identified material weakness, management, with the oversight of the Audit Committee of the Board of Directors, has immediately dedicated resources, including the involvement of additional outside advisors, to put in place effective controls over identification of changes in products and services that affect classification of products and services for sales tax purposes. Certain remedial actions have been completed including engagement of additional third-party tax experts and a review of the classification for sales tax purposes of new and/or enhanced products and services. The Company is completing ongoing remediation steps, including enhancements to sales tax nexus reviews, and the collection, control and subsequent monitoring of applicable documentation of exempt status from customers in affected jurisdictions. The Company plans to further enhance these controls over the remainder of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20" w:firstLine="509"/>
        <w:spacing w:after="0" w:line="311" w:lineRule="auto"/>
        <w:rPr>
          <w:sz w:val="20"/>
          <w:szCs w:val="20"/>
          <w:color w:val="auto"/>
        </w:rPr>
      </w:pPr>
      <w:r>
        <w:rPr>
          <w:rFonts w:ascii="Arial" w:cs="Arial" w:eastAsia="Arial" w:hAnsi="Arial"/>
          <w:sz w:val="16"/>
          <w:szCs w:val="16"/>
          <w:color w:val="auto"/>
        </w:rPr>
        <w:t>During the quarter ended March 31, 2023, no change in our internal control over financial reporting (as defined in Rules 13a-15(f) and 15d-15(f) under the Exchange Act) occurred that has materially affected, or is reasonably likely to materially affect, our internal control over financial reporting, as the circumstances that led to the restatement of the financial statements for the quarter ended March 31, 2023 had not yet been identified.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ind w:left="42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For a more detailed discussion of our risks and uncertainties, see also Item 1A – Risk Factors in our 2022 Form 10-K/A. There have been no material changes in our risk factors since the filing of our 2022 Form 10-K/A.</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8" w:right="9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360" w:firstLine="509"/>
        <w:spacing w:after="0" w:line="275" w:lineRule="auto"/>
        <w:rPr>
          <w:sz w:val="20"/>
          <w:szCs w:val="20"/>
          <w:color w:val="auto"/>
        </w:rPr>
      </w:pPr>
      <w:r>
        <w:rPr>
          <w:rFonts w:ascii="Arial" w:cs="Arial" w:eastAsia="Arial" w:hAnsi="Arial"/>
          <w:sz w:val="17"/>
          <w:szCs w:val="17"/>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80" w:type="dxa"/>
            <w:vAlign w:val="bottom"/>
            <w:gridSpan w:val="10"/>
          </w:tcPr>
          <w:p>
            <w:pPr>
              <w:ind w:left="1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9940" w:type="dxa"/>
            <w:vAlign w:val="bottom"/>
            <w:gridSpan w:val="14"/>
          </w:tcPr>
          <w:p>
            <w:pPr>
              <w:spacing w:after="0" w:line="169" w:lineRule="exact"/>
              <w:rPr>
                <w:rFonts w:ascii="Arial" w:cs="Arial" w:eastAsia="Arial" w:hAnsi="Arial"/>
                <w:sz w:val="18"/>
                <w:szCs w:val="18"/>
                <w:color w:val="0000FF"/>
                <w:w w:val="92"/>
              </w:rPr>
            </w:pPr>
            <w:hyperlink r:id="rId262">
              <w:r>
                <w:rPr>
                  <w:rFonts w:ascii="Arial" w:cs="Arial" w:eastAsia="Arial" w:hAnsi="Arial"/>
                  <w:sz w:val="18"/>
                  <w:szCs w:val="18"/>
                  <w:color w:val="0000FF"/>
                  <w:w w:val="92"/>
                </w:rPr>
                <w:t>Definitive Healthcare Corp. Cash Incentive Plan (incorporated by reference to Exhibit 10.2 to the Company’s Current Report on Form 8-</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262">
              <w:r>
                <w:rPr>
                  <w:rFonts w:ascii="Arial" w:cs="Arial" w:eastAsia="Arial" w:hAnsi="Arial"/>
                  <w:sz w:val="18"/>
                  <w:szCs w:val="18"/>
                  <w:color w:val="0000FF"/>
                  <w:w w:val="92"/>
                </w:rPr>
                <w:t>K (File No. 001-40815) filed with the SEC on February 23,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5040" w:type="dxa"/>
            <w:vAlign w:val="bottom"/>
            <w:tcBorders>
              <w:top w:val="single" w:sz="8" w:color="0000FF"/>
            </w:tcBorders>
            <w:gridSpan w:val="6"/>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9020" w:type="dxa"/>
            <w:vAlign w:val="bottom"/>
            <w:tcBorders>
              <w:bottom w:val="single" w:sz="8" w:color="0000FF"/>
            </w:tcBorders>
            <w:gridSpan w:val="8"/>
          </w:tcPr>
          <w:p>
            <w:pPr>
              <w:spacing w:after="0"/>
              <w:rPr>
                <w:rFonts w:ascii="Arial" w:cs="Arial" w:eastAsia="Arial" w:hAnsi="Arial"/>
                <w:sz w:val="18"/>
                <w:szCs w:val="18"/>
                <w:color w:val="0000FF"/>
                <w:w w:val="90"/>
              </w:rPr>
            </w:pPr>
            <w:hyperlink r:id="rId263">
              <w:r>
                <w:rPr>
                  <w:rFonts w:ascii="Arial" w:cs="Arial" w:eastAsia="Arial" w:hAnsi="Arial"/>
                  <w:sz w:val="18"/>
                  <w:szCs w:val="18"/>
                  <w:color w:val="0000FF"/>
                  <w:w w:val="90"/>
                </w:rPr>
                <w:t>Amendment to Executive Chairman Agreement and Employment Agreement of Jason Krantz, dated as of February 16, 2023</w:t>
              </w:r>
            </w:hyperlink>
          </w:p>
        </w:tc>
        <w:tc>
          <w:tcPr>
            <w:tcW w:w="9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263">
              <w:r>
                <w:rPr>
                  <w:rFonts w:ascii="Arial" w:cs="Arial" w:eastAsia="Arial" w:hAnsi="Arial"/>
                  <w:sz w:val="18"/>
                  <w:szCs w:val="18"/>
                  <w:color w:val="0000FF"/>
                  <w:w w:val="92"/>
                </w:rPr>
                <w:t>(incorporated by reference to Exhibit 10.1 to the Company’s Current Report on Form 8-K (File No. 001-40815) filed with the SEC on</w:t>
              </w:r>
            </w:hyperlink>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263">
              <w:r>
                <w:rPr>
                  <w:rFonts w:ascii="Arial" w:cs="Arial" w:eastAsia="Arial" w:hAnsi="Arial"/>
                  <w:sz w:val="18"/>
                  <w:szCs w:val="18"/>
                  <w:color w:val="0000FF"/>
                  <w:w w:val="89"/>
                </w:rPr>
                <w:t>February 23, 2023).</w:t>
              </w:r>
            </w:hyperlink>
          </w:p>
        </w:tc>
        <w:tc>
          <w:tcPr>
            <w:tcW w:w="20" w:type="dxa"/>
            <w:vAlign w:val="bottom"/>
            <w:tcBorders>
              <w:bottom w:val="single" w:sz="8" w:color="0000EE"/>
            </w:tcBorders>
          </w:tcPr>
          <w:p>
            <w:pPr>
              <w:spacing w:after="0"/>
              <w:rPr>
                <w:sz w:val="17"/>
                <w:szCs w:val="17"/>
                <w:color w:val="auto"/>
              </w:rPr>
            </w:pPr>
          </w:p>
        </w:tc>
        <w:tc>
          <w:tcPr>
            <w:tcW w:w="8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99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Certification of Principal Executive Officer pursuant to Exchange Act Rules 13a-14(a) and 15d-14(a), as adopted pursuant to Section 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4"/>
          </w:tcPr>
          <w:p>
            <w:pPr>
              <w:spacing w:after="0" w:line="196" w:lineRule="exact"/>
              <w:rPr>
                <w:sz w:val="20"/>
                <w:szCs w:val="20"/>
                <w:color w:val="auto"/>
              </w:rPr>
            </w:pPr>
            <w:r>
              <w:rPr>
                <w:rFonts w:ascii="Arial" w:cs="Arial" w:eastAsia="Arial" w:hAnsi="Arial"/>
                <w:sz w:val="18"/>
                <w:szCs w:val="18"/>
                <w:color w:val="0000FF"/>
              </w:rPr>
              <w:t>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96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3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4"/>
                <w:szCs w:val="24"/>
                <w:color w:val="auto"/>
                <w:vertAlign w:val="superscript"/>
              </w:rPr>
              <w:t>+</w:t>
            </w:r>
          </w:p>
        </w:tc>
        <w:tc>
          <w:tcPr>
            <w:tcW w:w="140" w:type="dxa"/>
            <w:vAlign w:val="bottom"/>
          </w:tcPr>
          <w:p>
            <w:pPr>
              <w:spacing w:after="0"/>
              <w:rPr>
                <w:sz w:val="17"/>
                <w:szCs w:val="17"/>
                <w:color w:val="auto"/>
              </w:rPr>
            </w:pPr>
          </w:p>
        </w:tc>
        <w:tc>
          <w:tcPr>
            <w:tcW w:w="9940" w:type="dxa"/>
            <w:vAlign w:val="bottom"/>
            <w:gridSpan w:val="14"/>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540" w:type="dxa"/>
            <w:vAlign w:val="bottom"/>
            <w:tcBorders>
              <w:right w:val="single" w:sz="8" w:color="0000EE"/>
            </w:tcBorders>
            <w:gridSpan w:val="3"/>
            <w:shd w:val="clear" w:color="auto" w:fill="0000FF"/>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18 U.S.C. Section 1350, as Adopted Pursuant to</w:t>
            </w:r>
          </w:p>
        </w:tc>
        <w:tc>
          <w:tcPr>
            <w:tcW w:w="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14"/>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0"/>
                <w:szCs w:val="20"/>
                <w:color w:val="auto"/>
              </w:rPr>
            </w:pPr>
          </w:p>
        </w:tc>
        <w:tc>
          <w:tcPr>
            <w:tcW w:w="9940" w:type="dxa"/>
            <w:vAlign w:val="bottom"/>
            <w:gridSpan w:val="14"/>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4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9"/>
                <w:szCs w:val="19"/>
                <w:color w:val="auto"/>
              </w:rPr>
            </w:pPr>
          </w:p>
        </w:tc>
        <w:tc>
          <w:tcPr>
            <w:tcW w:w="99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9"/>
                <w:szCs w:val="19"/>
                <w:color w:val="auto"/>
              </w:rPr>
            </w:pPr>
          </w:p>
        </w:tc>
        <w:tc>
          <w:tcPr>
            <w:tcW w:w="994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9"/>
                <w:szCs w:val="19"/>
                <w:color w:val="auto"/>
              </w:rPr>
            </w:pPr>
          </w:p>
        </w:tc>
        <w:tc>
          <w:tcPr>
            <w:tcW w:w="994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9"/>
                <w:szCs w:val="19"/>
                <w:color w:val="auto"/>
              </w:rPr>
            </w:pPr>
          </w:p>
        </w:tc>
        <w:tc>
          <w:tcPr>
            <w:tcW w:w="99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9"/>
                <w:szCs w:val="19"/>
                <w:color w:val="auto"/>
              </w:rPr>
            </w:pPr>
          </w:p>
        </w:tc>
        <w:tc>
          <w:tcPr>
            <w:tcW w:w="994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994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right="80" w:firstLine="8"/>
        <w:spacing w:after="0" w:line="259" w:lineRule="auto"/>
        <w:tabs>
          <w:tab w:leader="none" w:pos="14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Amendment are not 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Amendment, irrespective of any general incorporation language contained in such filing.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DEFINITIVE HEALTHCARE CORP.</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3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Richard Booth</w:t>
            </w:r>
          </w:p>
        </w:tc>
      </w:tr>
      <w:tr>
        <w:trPr>
          <w:trHeight w:val="243"/>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14, 2023</w:t>
            </w:r>
          </w:p>
        </w:tc>
        <w:tc>
          <w:tcPr>
            <w:tcW w:w="3240" w:type="dxa"/>
            <w:vAlign w:val="bottom"/>
            <w:gridSpan w:val="2"/>
          </w:tcPr>
          <w:p>
            <w:pPr>
              <w:ind w:left="216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1"/>
                <w:szCs w:val="21"/>
                <w:color w:val="auto"/>
              </w:rPr>
            </w:pP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gridSpan w:val="2"/>
          </w:tcPr>
          <w:p>
            <w:pPr>
              <w:ind w:left="2600"/>
              <w:spacing w:after="0"/>
              <w:rPr>
                <w:sz w:val="20"/>
                <w:szCs w:val="20"/>
                <w:color w:val="auto"/>
              </w:rPr>
            </w:pPr>
            <w:r>
              <w:rPr>
                <w:rFonts w:ascii="Arial" w:cs="Arial" w:eastAsia="Arial" w:hAnsi="Arial"/>
                <w:sz w:val="18"/>
                <w:szCs w:val="18"/>
                <w:color w:val="auto"/>
              </w:rPr>
              <w:t>Name:</w:t>
            </w:r>
          </w:p>
        </w:tc>
        <w:tc>
          <w:tcPr>
            <w:tcW w:w="4700" w:type="dxa"/>
            <w:vAlign w:val="bottom"/>
          </w:tcPr>
          <w:p>
            <w:pPr>
              <w:ind w:left="140"/>
              <w:spacing w:after="0"/>
              <w:rPr>
                <w:sz w:val="20"/>
                <w:szCs w:val="20"/>
                <w:color w:val="auto"/>
              </w:rPr>
            </w:pPr>
            <w:r>
              <w:rPr>
                <w:rFonts w:ascii="Arial" w:cs="Arial" w:eastAsia="Arial" w:hAnsi="Arial"/>
                <w:sz w:val="18"/>
                <w:szCs w:val="18"/>
                <w:color w:val="auto"/>
              </w:rPr>
              <w:t>Richard Booth</w:t>
            </w:r>
          </w:p>
        </w:tc>
      </w:tr>
      <w:tr>
        <w:trPr>
          <w:trHeight w:val="890"/>
        </w:trPr>
        <w:tc>
          <w:tcPr>
            <w:tcW w:w="2700" w:type="dxa"/>
            <w:vAlign w:val="bottom"/>
          </w:tcPr>
          <w:p>
            <w:pPr>
              <w:spacing w:after="0"/>
              <w:rPr>
                <w:sz w:val="24"/>
                <w:szCs w:val="24"/>
                <w:color w:val="auto"/>
              </w:rPr>
            </w:pPr>
          </w:p>
        </w:tc>
        <w:tc>
          <w:tcPr>
            <w:tcW w:w="3240" w:type="dxa"/>
            <w:vAlign w:val="bottom"/>
            <w:gridSpan w:val="2"/>
          </w:tcPr>
          <w:p>
            <w:pPr>
              <w:ind w:left="2600"/>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Musslewhite,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Amendment No. 1 on Form 10-Q/A to the Quarterly Report on Form 10-Q of Definitive Healthcare Corp.;</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40" w:val="left"/>
          <w:tab w:leader="none" w:pos="6640" w:val="left"/>
        </w:tabs>
        <w:rPr>
          <w:sz w:val="20"/>
          <w:szCs w:val="20"/>
          <w:color w:val="auto"/>
        </w:rPr>
      </w:pPr>
      <w:r>
        <w:rPr>
          <w:rFonts w:ascii="Arial" w:cs="Arial" w:eastAsia="Arial" w:hAnsi="Arial"/>
          <w:sz w:val="18"/>
          <w:szCs w:val="18"/>
          <w:color w:val="auto"/>
        </w:rPr>
        <w:t>Date:</w:t>
        <w:tab/>
        <w:t>August 14, 2023</w:t>
      </w:r>
      <w:r>
        <w:rPr>
          <w:sz w:val="20"/>
          <w:szCs w:val="20"/>
          <w:color w:val="auto"/>
        </w:rPr>
        <w:tab/>
      </w:r>
      <w:r>
        <w:rPr>
          <w:rFonts w:ascii="Arial" w:cs="Arial" w:eastAsia="Arial" w:hAnsi="Arial"/>
          <w:sz w:val="16"/>
          <w:szCs w:val="16"/>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23495</wp:posOffset>
            </wp:positionV>
            <wp:extent cx="30429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186055</wp:posOffset>
            </wp:positionV>
            <wp:extent cx="29229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8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Musslewhite</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Booth, certify that:</w:t>
      </w:r>
    </w:p>
    <w:p>
      <w:pPr>
        <w:spacing w:after="0" w:line="22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Amendment No. 1 on Form 10-Q/A to the Quarterly Report on Form 10-Q of Definitive Healthcare Corp.;</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14, 2023</w:t>
      </w:r>
      <w:r>
        <w:rPr>
          <w:sz w:val="20"/>
          <w:szCs w:val="20"/>
          <w:color w:val="auto"/>
        </w:rPr>
        <w:tab/>
      </w:r>
      <w:r>
        <w:rPr>
          <w:rFonts w:ascii="Arial" w:cs="Arial" w:eastAsia="Arial" w:hAnsi="Arial"/>
          <w:sz w:val="16"/>
          <w:szCs w:val="16"/>
          <w:color w:val="auto"/>
        </w:rPr>
        <w:t>/s/Richard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31203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186055</wp:posOffset>
            </wp:positionV>
            <wp:extent cx="29229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8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Booth</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In connection with the Amendment No. 1 on Form 10-Q/A to the Quarterly Report on Form 10-Q of Definitive Healthcare Corp. (the “Company”) for the quarterly period ended March 31, 2023 as filed with the Securities and Exchange Commission on the date hereof (the “Report”), Robert Musslewhite, as Chief Executive Officer of the Company, and Richard Booth, as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w:t>
      </w:r>
    </w:p>
    <w:p>
      <w:pPr>
        <w:spacing w:after="0" w:line="161"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9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Musslewhite</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4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8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Richard Booth</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(Principal Financial Officer)</w:t>
      </w:r>
    </w:p>
    <w:p>
      <w:pPr>
        <w:spacing w:after="0" w:line="239"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10-Q), irrespective of any general incorporation language contained in such filing.</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62" Type="http://schemas.openxmlformats.org/officeDocument/2006/relationships/hyperlink" Target="https://www.sec.gov/Archives/edgar/data/1861795/000095017023004128/dh-ex10_2.htm" TargetMode="External"/><Relationship Id="rId263" Type="http://schemas.openxmlformats.org/officeDocument/2006/relationships/hyperlink" Target="https://www.sec.gov/Archives/edgar/data/1861795/000095017023004128/dh-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2023-08-14T15:28:30Z</dcterms:created>
  <dcterms:modified xsi:type="dcterms:W3CDTF">2023-08-14T15:28:30Z</dcterms:modified>
</cp:coreProperties>
</file>