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Musslewhite Robert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DEFINITIVE HEALTHCARE CORP.</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492 OLD CONNECTICUT PATH, SUITE 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FRAMINGHAM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Definitive Healthcare Corp.</w:t>
              </w:r>
            </w:hyperlink>
            <w:r>
              <w:rPr/>
              <w:t xml:space="preserve"> [ </w:t>
            </w:r>
            <w:r>
              <w:rPr>
                <w:rFonts w:ascii="Times;serif" w:hAnsi="Times;serif"/>
                <w:color w:val="0000FF"/>
                <w:sz w:val="24"/>
                <w:shd w:fill="FFFFFF" w:val="clear"/>
              </w:rPr>
              <w:t>DH</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22"/>
        <w:gridCol w:w="447"/>
        <w:gridCol w:w="749"/>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12,657</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11.31</w:t>
            </w:r>
            <w:r>
              <w:rPr/>
              <w:t xml:space="preserve"> </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1,248,517</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represents the withholding of shares by the issuer to satisfy the reporting person's tax withholding obligations in connection with the vesting and settlement of previously reported restricted stock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Ruderman,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08/08/2023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90194" TargetMode="External"/><Relationship Id="rId4" Type="http://schemas.openxmlformats.org/officeDocument/2006/relationships/hyperlink" Target="http://www.sec.gov/cgi-bin/browse-edgar?action=getcompany&amp;CIK=000186179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599</Words>
  <Characters>3316</Characters>
  <CharactersWithSpaces>3852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