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43"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jc w:val="cente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jc w:val="center"/>
              <w:ind w:right="60"/>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SEA VII Management,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43"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140 NEW MONTGOMERY</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STREET,</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20TH FLOOR</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5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94105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00" w:lineRule="exact"/>
        <w:rPr>
          <w:sz w:val="24"/>
          <w:szCs w:val="24"/>
          <w:color w:val="auto"/>
        </w:rPr>
      </w:pPr>
    </w:p>
    <w:p>
      <w:pPr>
        <w:sectPr>
          <w:pgSz w:w="11900" w:h="16843" w:orient="portrait"/>
          <w:cols w:equalWidth="0" w:num="3">
            <w:col w:w="4277" w:space="720"/>
            <w:col w:w="3003" w:space="269"/>
            <w:col w:w="2671"/>
          </w:cols>
          <w:pgMar w:left="480" w:top="236" w:right="479" w:bottom="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right="416"/>
              <w:spacing w:after="0"/>
              <w:rPr>
                <w:sz w:val="20"/>
                <w:szCs w:val="20"/>
                <w:color w:val="auto"/>
              </w:rPr>
            </w:pPr>
            <w:r>
              <w:rPr>
                <w:rFonts w:ascii="Arial" w:cs="Arial" w:eastAsia="Arial" w:hAnsi="Arial"/>
                <w:sz w:val="20"/>
                <w:szCs w:val="20"/>
                <w:color w:val="0000FF"/>
              </w:rPr>
              <w:t>2,952,733</w:t>
            </w:r>
            <w:r>
              <w:rPr>
                <w:rFonts w:ascii="Arial" w:cs="Arial" w:eastAsia="Arial" w:hAnsi="Arial"/>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vertAlign w:val="subscript"/>
              </w:rPr>
              <w:t>See notes</w:t>
            </w:r>
            <w:r>
              <w:rPr>
                <w:rFonts w:ascii="Arial" w:cs="Arial" w:eastAsia="Arial" w:hAnsi="Arial"/>
                <w:sz w:val="13"/>
                <w:szCs w:val="13"/>
                <w:color w:val="008000"/>
              </w:rPr>
              <w:t>(2)(3)(4)</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B Common Stock</w:t>
            </w:r>
          </w:p>
        </w:tc>
        <w:tc>
          <w:tcPr>
            <w:tcW w:w="3400" w:type="dxa"/>
            <w:vAlign w:val="bottom"/>
            <w:tcBorders>
              <w:bottom w:val="single" w:sz="8" w:color="2C2C2C"/>
            </w:tcBorders>
          </w:tcPr>
          <w:p>
            <w:pPr>
              <w:jc w:val="center"/>
              <w:ind w:right="356"/>
              <w:spacing w:after="0"/>
              <w:rPr>
                <w:sz w:val="20"/>
                <w:szCs w:val="20"/>
                <w:color w:val="auto"/>
              </w:rPr>
            </w:pPr>
            <w:r>
              <w:rPr>
                <w:rFonts w:ascii="Arial" w:cs="Arial" w:eastAsia="Arial" w:hAnsi="Arial"/>
                <w:sz w:val="20"/>
                <w:szCs w:val="20"/>
                <w:color w:val="0000FF"/>
              </w:rPr>
              <w:t>28,352,972</w:t>
            </w:r>
            <w:r>
              <w:rPr>
                <w:rFonts w:ascii="Arial" w:cs="Arial" w:eastAsia="Arial" w:hAnsi="Arial"/>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vertAlign w:val="subscript"/>
              </w:rPr>
              <w:t>See notes</w:t>
            </w:r>
            <w:r>
              <w:rPr>
                <w:rFonts w:ascii="Arial" w:cs="Arial" w:eastAsia="Arial" w:hAnsi="Arial"/>
                <w:sz w:val="13"/>
                <w:szCs w:val="13"/>
                <w:color w:val="008000"/>
              </w:rPr>
              <w:t>(2)(3)(4)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6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80" w:type="dxa"/>
            <w:vAlign w:val="bottom"/>
            <w:vMerge w:val="restart"/>
          </w:tcPr>
          <w:p>
            <w:pPr>
              <w:ind w:left="72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680" w:type="dxa"/>
            <w:vAlign w:val="bottom"/>
          </w:tcPr>
          <w:p>
            <w:pPr>
              <w:ind w:left="7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680" w:type="dxa"/>
            <w:vAlign w:val="bottom"/>
          </w:tcPr>
          <w:p>
            <w:pPr>
              <w:ind w:left="7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860" w:type="dxa"/>
            <w:vAlign w:val="bottom"/>
            <w:gridSpan w:val="6"/>
            <w:vMerge w:val="restart"/>
          </w:tcPr>
          <w:p>
            <w:pPr>
              <w:ind w:left="80"/>
              <w:spacing w:after="0"/>
              <w:rPr>
                <w:sz w:val="20"/>
                <w:szCs w:val="20"/>
                <w:color w:val="auto"/>
              </w:rPr>
            </w:pPr>
            <w:r>
              <w:rPr>
                <w:rFonts w:ascii="Arial" w:cs="Arial" w:eastAsia="Arial" w:hAnsi="Arial"/>
                <w:sz w:val="20"/>
                <w:szCs w:val="20"/>
                <w:color w:val="0000FF"/>
              </w:rPr>
              <w:t>LLC Units of AIDH Topco, LLC</w:t>
            </w:r>
          </w:p>
        </w:tc>
        <w:tc>
          <w:tcPr>
            <w:tcW w:w="1360" w:type="dxa"/>
            <w:vAlign w:val="bottom"/>
            <w:vMerge w:val="restart"/>
          </w:tcPr>
          <w:p>
            <w:pPr>
              <w:ind w:left="440"/>
              <w:spacing w:after="0"/>
              <w:rPr>
                <w:sz w:val="20"/>
                <w:szCs w:val="20"/>
                <w:color w:val="auto"/>
              </w:rPr>
            </w:pPr>
            <w:r>
              <w:rPr>
                <w:rFonts w:ascii="Arial" w:cs="Arial" w:eastAsia="Arial" w:hAnsi="Arial"/>
                <w:sz w:val="13"/>
                <w:szCs w:val="13"/>
                <w:color w:val="008000"/>
              </w:rPr>
              <w:t>(5)</w:t>
            </w:r>
          </w:p>
        </w:tc>
        <w:tc>
          <w:tcPr>
            <w:tcW w:w="46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008000"/>
                <w:w w:val="87"/>
              </w:rPr>
              <w:t>(5)</w:t>
            </w:r>
          </w:p>
        </w:tc>
        <w:tc>
          <w:tcPr>
            <w:tcW w:w="1760" w:type="dxa"/>
            <w:vAlign w:val="bottom"/>
          </w:tcPr>
          <w:p>
            <w:pPr>
              <w:jc w:val="center"/>
              <w:ind w:left="42"/>
              <w:spacing w:after="0"/>
              <w:rPr>
                <w:sz w:val="20"/>
                <w:szCs w:val="20"/>
                <w:color w:val="auto"/>
              </w:rPr>
            </w:pPr>
            <w:r>
              <w:rPr>
                <w:rFonts w:ascii="Arial" w:cs="Arial" w:eastAsia="Arial" w:hAnsi="Arial"/>
                <w:sz w:val="20"/>
                <w:szCs w:val="20"/>
                <w:color w:val="0000FF"/>
                <w:w w:val="88"/>
              </w:rPr>
              <w:t>Class A common</w:t>
            </w:r>
          </w:p>
        </w:tc>
        <w:tc>
          <w:tcPr>
            <w:tcW w:w="1280" w:type="dxa"/>
            <w:vAlign w:val="bottom"/>
            <w:vMerge w:val="restart"/>
          </w:tcPr>
          <w:p>
            <w:pPr>
              <w:jc w:val="right"/>
              <w:ind w:right="162"/>
              <w:spacing w:after="0"/>
              <w:rPr>
                <w:sz w:val="20"/>
                <w:szCs w:val="20"/>
                <w:color w:val="auto"/>
              </w:rPr>
            </w:pPr>
            <w:r>
              <w:rPr>
                <w:rFonts w:ascii="Arial" w:cs="Arial" w:eastAsia="Arial" w:hAnsi="Arial"/>
                <w:sz w:val="20"/>
                <w:szCs w:val="20"/>
                <w:color w:val="0000FF"/>
                <w:w w:val="99"/>
              </w:rPr>
              <w:t>28,352,972</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(5)</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640" w:type="dxa"/>
            <w:vAlign w:val="bottom"/>
            <w:vMerge w:val="restart"/>
          </w:tcPr>
          <w:p>
            <w:pPr>
              <w:ind w:left="260"/>
              <w:spacing w:after="0"/>
              <w:rPr>
                <w:sz w:val="20"/>
                <w:szCs w:val="20"/>
                <w:color w:val="auto"/>
              </w:rPr>
            </w:pPr>
            <w:r>
              <w:rPr>
                <w:rFonts w:ascii="Arial" w:cs="Arial" w:eastAsia="Arial" w:hAnsi="Arial"/>
                <w:sz w:val="39"/>
                <w:szCs w:val="39"/>
                <w:color w:val="0000FF"/>
                <w:w w:val="82"/>
                <w:vertAlign w:val="subscript"/>
              </w:rPr>
              <w:t>See notes</w:t>
            </w:r>
            <w:r>
              <w:rPr>
                <w:rFonts w:ascii="Arial" w:cs="Arial" w:eastAsia="Arial" w:hAnsi="Arial"/>
                <w:sz w:val="13"/>
                <w:szCs w:val="13"/>
                <w:color w:val="008000"/>
                <w:w w:val="82"/>
              </w:rPr>
              <w:t>(2)(3)(4)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gridSpan w:val="6"/>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760" w:type="dxa"/>
            <w:vAlign w:val="bottom"/>
            <w:vMerge w:val="restart"/>
          </w:tcPr>
          <w:p>
            <w:pPr>
              <w:jc w:val="center"/>
              <w:ind w:left="42"/>
              <w:spacing w:after="0"/>
              <w:rPr>
                <w:sz w:val="20"/>
                <w:szCs w:val="20"/>
                <w:color w:val="auto"/>
              </w:rPr>
            </w:pPr>
            <w:r>
              <w:rPr>
                <w:rFonts w:ascii="Arial" w:cs="Arial" w:eastAsia="Arial" w:hAnsi="Arial"/>
                <w:sz w:val="20"/>
                <w:szCs w:val="20"/>
                <w:color w:val="0000FF"/>
                <w:w w:val="89"/>
              </w:rPr>
              <w:t>stock</w:t>
            </w:r>
          </w:p>
        </w:tc>
        <w:tc>
          <w:tcPr>
            <w:tcW w:w="1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gridSpan w:val="2"/>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22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4"/>
          </w:tcPr>
          <w:p>
            <w:pPr>
              <w:spacing w:after="0" w:line="249"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SEA VII Management, LLC</w:t>
              </w:r>
            </w:hyperlink>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0"/>
                <w:szCs w:val="20"/>
                <w:color w:val="0000FF"/>
              </w:rPr>
              <w:t>140 NEW MONTGOMERY STREET,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20TH FLOOR</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SAN</w:t>
            </w:r>
          </w:p>
        </w:tc>
        <w:tc>
          <w:tcPr>
            <w:tcW w:w="1480" w:type="dxa"/>
            <w:vAlign w:val="bottom"/>
            <w:gridSpan w:val="3"/>
            <w:vMerge w:val="restart"/>
          </w:tcPr>
          <w:p>
            <w:pPr>
              <w:ind w:left="120"/>
              <w:spacing w:after="0"/>
              <w:rPr>
                <w:sz w:val="20"/>
                <w:szCs w:val="20"/>
                <w:color w:val="auto"/>
              </w:rPr>
            </w:pPr>
            <w:r>
              <w:rPr>
                <w:rFonts w:ascii="Arial" w:cs="Arial" w:eastAsia="Arial" w:hAnsi="Arial"/>
                <w:sz w:val="20"/>
                <w:szCs w:val="20"/>
                <w:color w:val="0000FF"/>
              </w:rPr>
              <w:t>CA</w:t>
            </w:r>
          </w:p>
        </w:tc>
        <w:tc>
          <w:tcPr>
            <w:tcW w:w="1360" w:type="dxa"/>
            <w:vAlign w:val="bottom"/>
            <w:vMerge w:val="restart"/>
          </w:tcPr>
          <w:p>
            <w:pPr>
              <w:ind w:left="20"/>
              <w:spacing w:after="0"/>
              <w:rPr>
                <w:sz w:val="20"/>
                <w:szCs w:val="20"/>
                <w:color w:val="auto"/>
              </w:rPr>
            </w:pPr>
            <w:r>
              <w:rPr>
                <w:rFonts w:ascii="Arial" w:cs="Arial" w:eastAsia="Arial" w:hAnsi="Arial"/>
                <w:sz w:val="20"/>
                <w:szCs w:val="20"/>
                <w:color w:val="0000FF"/>
              </w:rPr>
              <w:t>94105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480" w:type="dxa"/>
            <w:vAlign w:val="bottom"/>
            <w:gridSpan w:val="3"/>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480" w:type="dxa"/>
            <w:vAlign w:val="bottom"/>
            <w:gridSpan w:val="3"/>
          </w:tcPr>
          <w:p>
            <w:pPr>
              <w:ind w:left="120"/>
              <w:spacing w:after="0"/>
              <w:rPr>
                <w:sz w:val="20"/>
                <w:szCs w:val="20"/>
                <w:color w:val="auto"/>
              </w:rPr>
            </w:pPr>
            <w:r>
              <w:rPr>
                <w:rFonts w:ascii="Arial" w:cs="Arial" w:eastAsia="Arial" w:hAnsi="Arial"/>
                <w:sz w:val="15"/>
                <w:szCs w:val="15"/>
                <w:color w:val="auto"/>
              </w:rPr>
              <w:t>(State)</w:t>
            </w:r>
          </w:p>
        </w:tc>
        <w:tc>
          <w:tcPr>
            <w:tcW w:w="1360" w:type="dxa"/>
            <w:vAlign w:val="bottom"/>
          </w:tcPr>
          <w:p>
            <w:pPr>
              <w:ind w:left="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SE VII DHC AIV, L.P.</w:t>
              </w:r>
            </w:hyperlink>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gridSpan w:val="3"/>
          </w:tcPr>
          <w:p>
            <w:pPr>
              <w:ind w:left="120"/>
              <w:spacing w:after="0"/>
              <w:rPr>
                <w:sz w:val="20"/>
                <w:szCs w:val="20"/>
                <w:color w:val="auto"/>
              </w:rPr>
            </w:pPr>
            <w:r>
              <w:rPr>
                <w:rFonts w:ascii="Arial" w:cs="Arial" w:eastAsia="Arial" w:hAnsi="Arial"/>
                <w:sz w:val="15"/>
                <w:szCs w:val="15"/>
                <w:color w:val="auto"/>
              </w:rPr>
              <w:t>(First)</w:t>
            </w:r>
          </w:p>
        </w:tc>
        <w:tc>
          <w:tcPr>
            <w:tcW w:w="1360" w:type="dxa"/>
            <w:vAlign w:val="bottom"/>
          </w:tcPr>
          <w:p>
            <w:pPr>
              <w:ind w:left="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140 NEW MONTGOMERY STREET,</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20TH FLOOR</w:t>
      </w:r>
    </w:p>
    <w:p>
      <w:pPr>
        <w:sectPr>
          <w:pgSz w:w="11900" w:h="16843" w:orient="portrait"/>
          <w:cols w:equalWidth="0" w:num="1">
            <w:col w:w="10940"/>
          </w:cols>
          <w:pgMar w:left="480" w:top="236" w:right="479" w:bottom="0" w:gutter="0" w:footer="0" w:header="0"/>
          <w:type w:val="continuous"/>
        </w:sect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43" w:orient="portrait"/>
          <w:cols w:equalWidth="0" w:num="1">
            <w:col w:w="10940"/>
          </w:cols>
          <w:pgMar w:left="480" w:top="236" w:right="47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40"/>
        </w:trPr>
        <w:tc>
          <w:tcPr>
            <w:tcW w:w="1260" w:type="dxa"/>
            <w:vAlign w:val="bottom"/>
          </w:tcPr>
          <w:p>
            <w:pPr>
              <w:ind w:left="20"/>
              <w:spacing w:after="0"/>
              <w:rPr>
                <w:sz w:val="20"/>
                <w:szCs w:val="20"/>
                <w:color w:val="auto"/>
              </w:rPr>
            </w:pPr>
            <w:r>
              <w:rPr>
                <w:rFonts w:ascii="Arial" w:cs="Arial" w:eastAsia="Arial" w:hAnsi="Arial"/>
                <w:sz w:val="20"/>
                <w:szCs w:val="20"/>
                <w:color w:val="0000FF"/>
              </w:rPr>
              <w:t>SAN</w:t>
            </w:r>
          </w:p>
        </w:tc>
        <w:tc>
          <w:tcPr>
            <w:tcW w:w="1060" w:type="dxa"/>
            <w:vAlign w:val="bottom"/>
          </w:tcPr>
          <w:p>
            <w:pPr>
              <w:spacing w:after="0"/>
              <w:rPr>
                <w:sz w:val="20"/>
                <w:szCs w:val="20"/>
                <w:color w:val="auto"/>
              </w:rPr>
            </w:pPr>
          </w:p>
        </w:tc>
        <w:tc>
          <w:tcPr>
            <w:tcW w:w="1800" w:type="dxa"/>
            <w:vAlign w:val="bottom"/>
          </w:tcPr>
          <w:p>
            <w:pPr>
              <w:ind w:left="460"/>
              <w:spacing w:after="0"/>
              <w:rPr>
                <w:sz w:val="20"/>
                <w:szCs w:val="20"/>
                <w:color w:val="auto"/>
              </w:rPr>
            </w:pPr>
            <w:r>
              <w:rPr>
                <w:rFonts w:ascii="Arial" w:cs="Arial" w:eastAsia="Arial" w:hAnsi="Arial"/>
                <w:sz w:val="20"/>
                <w:szCs w:val="20"/>
                <w:color w:val="0000FF"/>
              </w:rPr>
              <w:t>94105</w:t>
            </w:r>
          </w:p>
        </w:tc>
      </w:tr>
      <w:tr>
        <w:trPr>
          <w:trHeight w:val="248"/>
        </w:trPr>
        <w:tc>
          <w:tcPr>
            <w:tcW w:w="1260" w:type="dxa"/>
            <w:vAlign w:val="bottom"/>
          </w:tcPr>
          <w:p>
            <w:pPr>
              <w:ind w:left="20"/>
              <w:spacing w:after="0"/>
              <w:rPr>
                <w:sz w:val="20"/>
                <w:szCs w:val="20"/>
                <w:color w:val="auto"/>
              </w:rPr>
            </w:pPr>
            <w:r>
              <w:rPr>
                <w:rFonts w:ascii="Arial" w:cs="Arial" w:eastAsia="Arial" w:hAnsi="Arial"/>
                <w:sz w:val="20"/>
                <w:szCs w:val="20"/>
                <w:color w:val="0000FF"/>
              </w:rPr>
              <w:t>FRANCISCO</w:t>
            </w:r>
          </w:p>
        </w:tc>
        <w:tc>
          <w:tcPr>
            <w:tcW w:w="10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177"/>
        </w:trPr>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060" w:type="dxa"/>
            <w:vAlign w:val="bottom"/>
          </w:tcPr>
          <w:p>
            <w:pPr>
              <w:ind w:left="1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-646430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Spectrum VII Investment Managers'</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Fund,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040" w:type="dxa"/>
            <w:vAlign w:val="bottom"/>
          </w:tcPr>
          <w:p>
            <w:pPr>
              <w:ind w:left="12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140 NEW MONTGOMERY STREET,</w:t>
            </w: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20TH FLOOR</w:t>
            </w: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30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SAN</w:t>
            </w:r>
          </w:p>
        </w:tc>
        <w:tc>
          <w:tcPr>
            <w:tcW w:w="1040" w:type="dxa"/>
            <w:vAlign w:val="bottom"/>
          </w:tcPr>
          <w:p>
            <w:pPr>
              <w:spacing w:after="0"/>
              <w:rPr>
                <w:sz w:val="22"/>
                <w:szCs w:val="22"/>
                <w:color w:val="auto"/>
              </w:rPr>
            </w:pPr>
          </w:p>
        </w:tc>
        <w:tc>
          <w:tcPr>
            <w:tcW w:w="1800" w:type="dxa"/>
            <w:vAlign w:val="bottom"/>
            <w:vMerge w:val="restart"/>
          </w:tcPr>
          <w:p>
            <w:pPr>
              <w:ind w:left="460"/>
              <w:spacing w:after="0"/>
              <w:rPr>
                <w:sz w:val="20"/>
                <w:szCs w:val="20"/>
                <w:color w:val="auto"/>
              </w:rPr>
            </w:pPr>
            <w:r>
              <w:rPr>
                <w:rFonts w:ascii="Arial" w:cs="Arial" w:eastAsia="Arial" w:hAnsi="Arial"/>
                <w:sz w:val="20"/>
                <w:szCs w:val="20"/>
                <w:color w:val="0000FF"/>
              </w:rPr>
              <w:t>94105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80" w:type="dxa"/>
            <w:vAlign w:val="bottom"/>
            <w:vMerge w:val="restart"/>
          </w:tcPr>
          <w:p>
            <w:pPr>
              <w:ind w:left="20"/>
              <w:spacing w:after="0"/>
              <w:rPr>
                <w:sz w:val="20"/>
                <w:szCs w:val="20"/>
                <w:color w:val="auto"/>
              </w:rPr>
            </w:pPr>
            <w:r>
              <w:rPr>
                <w:rFonts w:ascii="Arial" w:cs="Arial" w:eastAsia="Arial" w:hAnsi="Arial"/>
                <w:sz w:val="20"/>
                <w:szCs w:val="20"/>
                <w:color w:val="0000FF"/>
              </w:rPr>
              <w:t>FRANCISCO</w:t>
            </w:r>
          </w:p>
        </w:tc>
        <w:tc>
          <w:tcPr>
            <w:tcW w:w="104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040" w:type="dxa"/>
            <w:vAlign w:val="bottom"/>
          </w:tcPr>
          <w:p>
            <w:pPr>
              <w:ind w:left="12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SE VII DHC AIV Feeder,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140 NEW MONTGOMERY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20TH FLOOR</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4" w:lineRule="auto"/>
        <w:tabs>
          <w:tab w:leader="none" w:pos="1480" w:val="left"/>
          <w:tab w:leader="none" w:pos="286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Spectrum VII Co-Investment Fund,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140 NEW MONTGOMERY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20TH FLOOR</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4" w:lineRule="auto"/>
        <w:tabs>
          <w:tab w:leader="none" w:pos="1480" w:val="left"/>
          <w:tab w:leader="none" w:pos="286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Spectrum Equity Associates VII,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140 NEW MONTGOMERY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20TH FLOOR</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SAN</w:t>
            </w:r>
          </w:p>
        </w:tc>
        <w:tc>
          <w:tcPr>
            <w:tcW w:w="1140" w:type="dxa"/>
            <w:vAlign w:val="bottom"/>
            <w:gridSpan w:val="2"/>
            <w:vMerge w:val="restart"/>
          </w:tcPr>
          <w:p>
            <w:pPr>
              <w:ind w:left="140"/>
              <w:spacing w:after="0"/>
              <w:rPr>
                <w:sz w:val="20"/>
                <w:szCs w:val="20"/>
                <w:color w:val="auto"/>
              </w:rPr>
            </w:pPr>
            <w:r>
              <w:rPr>
                <w:rFonts w:ascii="Arial" w:cs="Arial" w:eastAsia="Arial" w:hAnsi="Arial"/>
                <w:sz w:val="20"/>
                <w:szCs w:val="20"/>
                <w:color w:val="0000FF"/>
              </w:rPr>
              <w:t>CA</w:t>
            </w:r>
          </w:p>
        </w:tc>
        <w:tc>
          <w:tcPr>
            <w:tcW w:w="1720" w:type="dxa"/>
            <w:vAlign w:val="bottom"/>
            <w:vMerge w:val="restart"/>
          </w:tcPr>
          <w:p>
            <w:pPr>
              <w:ind w:left="380"/>
              <w:spacing w:after="0"/>
              <w:rPr>
                <w:sz w:val="20"/>
                <w:szCs w:val="20"/>
                <w:color w:val="auto"/>
              </w:rPr>
            </w:pPr>
            <w:r>
              <w:rPr>
                <w:rFonts w:ascii="Arial" w:cs="Arial" w:eastAsia="Arial" w:hAnsi="Arial"/>
                <w:sz w:val="20"/>
                <w:szCs w:val="20"/>
                <w:color w:val="0000FF"/>
              </w:rPr>
              <w:t>94105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14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14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840" w:type="dxa"/>
            <w:vAlign w:val="bottom"/>
            <w:gridSpan w:val="2"/>
          </w:tcPr>
          <w:p>
            <w:pPr>
              <w:ind w:left="38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2"/>
          </w:tcPr>
          <w:p>
            <w:pPr>
              <w:spacing w:after="0"/>
              <w:rPr>
                <w:sz w:val="8"/>
                <w:szCs w:val="8"/>
                <w:color w:val="auto"/>
              </w:rPr>
            </w:pPr>
          </w:p>
        </w:tc>
        <w:tc>
          <w:tcPr>
            <w:tcW w:w="21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3"/>
          </w:tcPr>
          <w:p>
            <w:pPr>
              <w:spacing w:after="0" w:line="249" w:lineRule="exact"/>
              <w:rPr>
                <w:rFonts w:ascii="Arial" w:cs="Arial" w:eastAsia="Arial" w:hAnsi="Arial"/>
                <w:sz w:val="24"/>
                <w:szCs w:val="24"/>
                <w:color w:val="0000EE"/>
              </w:rPr>
            </w:pPr>
            <w:hyperlink r:id="rId18">
              <w:r>
                <w:rPr>
                  <w:rFonts w:ascii="Arial" w:cs="Arial" w:eastAsia="Arial" w:hAnsi="Arial"/>
                  <w:sz w:val="24"/>
                  <w:szCs w:val="24"/>
                  <w:color w:val="0000EE"/>
                </w:rPr>
                <w:t>Mitchell Christopher</w:t>
              </w:r>
            </w:hyperlink>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14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840" w:type="dxa"/>
            <w:vAlign w:val="bottom"/>
            <w:gridSpan w:val="2"/>
          </w:tcPr>
          <w:p>
            <w:pPr>
              <w:ind w:left="3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9959"/>
          </w:cols>
          <w:pgMar w:left="500" w:top="130" w:right="1440" w:bottom="0" w:gutter="0" w:footer="0" w:header="0"/>
        </w:sectPr>
      </w:pPr>
    </w:p>
    <w:p>
      <w:pPr>
        <w:ind w:left="120"/>
        <w:spacing w:after="0"/>
        <w:rPr>
          <w:sz w:val="20"/>
          <w:szCs w:val="20"/>
          <w:color w:val="auto"/>
        </w:rPr>
      </w:pPr>
      <w:r>
        <w:rPr>
          <w:rFonts w:ascii="Arial" w:cs="Arial" w:eastAsia="Arial" w:hAnsi="Arial"/>
          <w:sz w:val="18"/>
          <w:szCs w:val="18"/>
          <w:color w:val="0000FF"/>
        </w:rPr>
        <w:t>140 NEW MONTGOMERY STREET,</w:t>
      </w:r>
    </w:p>
    <w:p>
      <w:pPr>
        <w:sectPr>
          <w:pgSz w:w="11900" w:h="16838" w:orient="portrait"/>
          <w:cols w:equalWidth="0" w:num="1">
            <w:col w:w="9959"/>
          </w:cols>
          <w:pgMar w:left="500" w:top="130" w:right="1440" w:bottom="0" w:gutter="0" w:footer="0" w:header="0"/>
          <w:type w:val="continuous"/>
        </w:sectPr>
      </w:pPr>
    </w:p>
    <w:bookmarkStart w:id="2" w:name="page3"/>
    <w:bookmarkEnd w:id="2"/>
    <w:p>
      <w:pPr>
        <w:ind w:left="120"/>
        <w:spacing w:after="0"/>
        <w:rPr>
          <w:sz w:val="20"/>
          <w:szCs w:val="20"/>
          <w:color w:val="auto"/>
        </w:rPr>
      </w:pPr>
      <w:r>
        <w:rPr>
          <w:rFonts w:ascii="Arial" w:cs="Arial" w:eastAsia="Arial" w:hAnsi="Arial"/>
          <w:sz w:val="20"/>
          <w:szCs w:val="20"/>
          <w:color w:val="0000FF"/>
        </w:rPr>
        <w:t>20TH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-139065</wp:posOffset>
            </wp:positionV>
            <wp:extent cx="2798445" cy="338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338582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0"/>
                <w:szCs w:val="20"/>
                <w:color w:val="auto"/>
              </w:rPr>
            </w:pPr>
            <w:r>
              <w:rPr>
                <w:rFonts w:ascii="Arial" w:cs="Arial" w:eastAsia="Arial" w:hAnsi="Arial"/>
                <w:sz w:val="20"/>
                <w:szCs w:val="20"/>
                <w:color w:val="0000FF"/>
              </w:rPr>
              <w:t>SAN</w:t>
            </w:r>
          </w:p>
        </w:tc>
        <w:tc>
          <w:tcPr>
            <w:tcW w:w="1360" w:type="dxa"/>
            <w:vAlign w:val="bottom"/>
            <w:gridSpan w:val="2"/>
            <w:vMerge w:val="restart"/>
          </w:tcPr>
          <w:p>
            <w:pPr>
              <w:ind w:left="140"/>
              <w:spacing w:after="0"/>
              <w:rPr>
                <w:sz w:val="20"/>
                <w:szCs w:val="20"/>
                <w:color w:val="auto"/>
              </w:rPr>
            </w:pPr>
            <w:r>
              <w:rPr>
                <w:rFonts w:ascii="Arial" w:cs="Arial" w:eastAsia="Arial" w:hAnsi="Arial"/>
                <w:sz w:val="20"/>
                <w:szCs w:val="20"/>
                <w:color w:val="0000FF"/>
              </w:rPr>
              <w:t>CA</w:t>
            </w:r>
          </w:p>
        </w:tc>
        <w:tc>
          <w:tcPr>
            <w:tcW w:w="1500" w:type="dxa"/>
            <w:vAlign w:val="bottom"/>
            <w:vMerge w:val="restart"/>
          </w:tcPr>
          <w:p>
            <w:pPr>
              <w:ind w:left="160"/>
              <w:spacing w:after="0"/>
              <w:rPr>
                <w:sz w:val="20"/>
                <w:szCs w:val="20"/>
                <w:color w:val="auto"/>
              </w:rPr>
            </w:pPr>
            <w:r>
              <w:rPr>
                <w:rFonts w:ascii="Arial" w:cs="Arial" w:eastAsia="Arial" w:hAnsi="Arial"/>
                <w:sz w:val="20"/>
                <w:szCs w:val="20"/>
                <w:color w:val="0000FF"/>
              </w:rPr>
              <w:t>94105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20"/>
                <w:szCs w:val="20"/>
                <w:color w:val="0000FF"/>
              </w:rPr>
              <w:t>FRANCISCO</w:t>
            </w:r>
          </w:p>
        </w:tc>
        <w:tc>
          <w:tcPr>
            <w:tcW w:w="1360" w:type="dxa"/>
            <w:vAlign w:val="bottom"/>
            <w:gridSpan w:val="2"/>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2"/>
          </w:tcPr>
          <w:p>
            <w:pPr>
              <w:spacing w:after="0"/>
              <w:rPr>
                <w:sz w:val="8"/>
                <w:szCs w:val="8"/>
                <w:color w:val="auto"/>
              </w:rPr>
            </w:pPr>
          </w:p>
        </w:tc>
        <w:tc>
          <w:tcPr>
            <w:tcW w:w="16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3"/>
          </w:tcPr>
          <w:p>
            <w:pPr>
              <w:spacing w:after="0" w:line="249" w:lineRule="exact"/>
              <w:rPr>
                <w:rFonts w:ascii="Arial" w:cs="Arial" w:eastAsia="Arial" w:hAnsi="Arial"/>
                <w:sz w:val="24"/>
                <w:szCs w:val="24"/>
                <w:color w:val="0000EE"/>
                <w:w w:val="96"/>
              </w:rPr>
            </w:pPr>
            <w:hyperlink r:id="rId20">
              <w:r>
                <w:rPr>
                  <w:rFonts w:ascii="Arial" w:cs="Arial" w:eastAsia="Arial" w:hAnsi="Arial"/>
                  <w:sz w:val="24"/>
                  <w:szCs w:val="24"/>
                  <w:color w:val="0000EE"/>
                  <w:w w:val="96"/>
                </w:rPr>
                <w:t>Haywood Jeffrey Charles</w:t>
              </w:r>
            </w:hyperlink>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620" w:type="dxa"/>
            <w:vAlign w:val="bottom"/>
            <w:gridSpan w:val="2"/>
          </w:tcPr>
          <w:p>
            <w:pPr>
              <w:ind w:left="1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140 NEW MONTGOMERY STREET,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20TH FLOOR</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180" w:lineRule="auto"/>
        <w:tabs>
          <w:tab w:leader="none" w:pos="1480" w:val="left"/>
        </w:tabs>
        <w:rPr>
          <w:sz w:val="20"/>
          <w:szCs w:val="20"/>
          <w:color w:val="auto"/>
        </w:rPr>
      </w:pPr>
      <w:r>
        <w:rPr>
          <w:rFonts w:ascii="Arial" w:cs="Arial" w:eastAsia="Arial" w:hAnsi="Arial"/>
          <w:sz w:val="17"/>
          <w:szCs w:val="17"/>
          <w:color w:val="0000FF"/>
        </w:rPr>
        <w:t>SAN</w:t>
      </w:r>
      <w:r>
        <w:rPr>
          <w:sz w:val="20"/>
          <w:szCs w:val="20"/>
          <w:color w:val="auto"/>
        </w:rPr>
        <w:tab/>
      </w:r>
      <w:r>
        <w:rPr>
          <w:rFonts w:ascii="Arial" w:cs="Arial" w:eastAsia="Arial" w:hAnsi="Arial"/>
          <w:sz w:val="33"/>
          <w:szCs w:val="33"/>
          <w:color w:val="0000FF"/>
          <w:vertAlign w:val="subscript"/>
        </w:rPr>
        <w:t>CA</w:t>
      </w: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(1).</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(2).</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(3).</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(4).</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line="256" w:lineRule="auto"/>
        <w:rPr>
          <w:sz w:val="20"/>
          <w:szCs w:val="20"/>
          <w:color w:val="auto"/>
        </w:rPr>
      </w:pPr>
      <w:r>
        <w:rPr>
          <w:rFonts w:ascii="Arial" w:cs="Arial" w:eastAsia="Arial" w:hAnsi="Arial"/>
          <w:sz w:val="14"/>
          <w:szCs w:val="14"/>
          <w:color w:val="00800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 Exhibit 99.1 (Footnotes to Form 3) and Exhibit 99.2 (Signatures and Joint Filer Information) are incorporated by reference.</w:t>
      </w:r>
    </w:p>
    <w:p>
      <w:pPr>
        <w:sectPr>
          <w:pgSz w:w="11900" w:h="16838" w:orient="portrait"/>
          <w:cols w:equalWidth="0" w:num="1">
            <w:col w:w="10840"/>
          </w:cols>
          <w:pgMar w:left="500" w:top="130" w:right="559" w:bottom="0" w:gutter="0" w:footer="0" w:header="0"/>
        </w:sectPr>
      </w:pPr>
    </w:p>
    <w:p>
      <w:pPr>
        <w:spacing w:after="0" w:line="58"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SEA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43688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43688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22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2122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By: /s/ 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77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490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886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886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488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8488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SE VII DHC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398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39850"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3629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83629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Associates VII,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649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general partner,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714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VII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461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234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/s/Carolina A. Picazo,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3507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4902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8867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886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488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8488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SE VII DHC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9090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909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FEEDER,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6329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3629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83629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Associates VII,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649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6649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general partner,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714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141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303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63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5666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566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095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90955" cy="9525"/>
                    </a:xfrm>
                    <a:prstGeom prst="rect">
                      <a:avLst/>
                    </a:prstGeom>
                    <a:noFill/>
                  </pic:spPr>
                </pic:pic>
              </a:graphicData>
            </a:graphic>
          </wp:anchor>
        </w:drawing>
      </w:r>
    </w:p>
    <w:p>
      <w:pPr>
        <w:spacing w:after="0" w:line="6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SPECTRUM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566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8566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9121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912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MANAGERS'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1696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1169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69850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985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141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3030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63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5666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566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095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9095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80"/>
            <w:col w:w="2100"/>
          </w:cols>
          <w:pgMar w:left="500" w:top="130" w:right="55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SPECTRUM VII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0109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6738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673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666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566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095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9095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4617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1461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ASSOCIATES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49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SEA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602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2160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2778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902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0490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867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886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488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98488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CHRISTOPHER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282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9728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MITCHELL,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473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0147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Christopher T.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395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16395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65405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540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HAYWOOD,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124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0312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Jeffrey C.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885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99885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09/15/2021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620" w:space="10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0" w:right="559" w:bottom="1440" w:gutter="0" w:footer="0" w:header="0"/>
          <w:type w:val="continuous"/>
        </w:sectPr>
      </w:pPr>
    </w:p>
    <w:bookmarkStart w:id="4" w:name="page5"/>
    <w:bookmarkEnd w:id="4"/>
    <w:p>
      <w:pPr>
        <w:jc w:val="right"/>
        <w:ind w:right="619"/>
        <w:spacing w:after="0"/>
        <w:rPr>
          <w:sz w:val="20"/>
          <w:szCs w:val="20"/>
          <w:color w:val="auto"/>
        </w:rPr>
      </w:pPr>
      <w:r>
        <w:rPr>
          <w:rFonts w:ascii="Courier New" w:cs="Courier New" w:eastAsia="Courier New" w:hAnsi="Courier New"/>
          <w:sz w:val="20"/>
          <w:szCs w:val="20"/>
          <w:color w:val="auto"/>
        </w:rPr>
        <w:t>Exhibit 99.1</w:t>
      </w:r>
    </w:p>
    <w:p>
      <w:pPr>
        <w:spacing w:after="0" w:line="224" w:lineRule="exact"/>
        <w:rPr>
          <w:sz w:val="20"/>
          <w:szCs w:val="20"/>
          <w:color w:val="auto"/>
        </w:rPr>
      </w:pPr>
    </w:p>
    <w:p>
      <w:pPr>
        <w:ind w:left="3520"/>
        <w:spacing w:after="0"/>
        <w:rPr>
          <w:sz w:val="20"/>
          <w:szCs w:val="20"/>
          <w:color w:val="auto"/>
        </w:rPr>
      </w:pPr>
      <w:r>
        <w:rPr>
          <w:rFonts w:ascii="Courier New" w:cs="Courier New" w:eastAsia="Courier New" w:hAnsi="Courier New"/>
          <w:sz w:val="20"/>
          <w:szCs w:val="20"/>
          <w:color w:val="auto"/>
        </w:rPr>
        <w:t>Footnotes to Form 3</w:t>
      </w:r>
    </w:p>
    <w:p>
      <w:pPr>
        <w:spacing w:after="0" w:line="230" w:lineRule="exact"/>
        <w:rPr>
          <w:sz w:val="20"/>
          <w:szCs w:val="20"/>
          <w:color w:val="auto"/>
        </w:rPr>
      </w:pPr>
    </w:p>
    <w:p>
      <w:pPr>
        <w:ind w:left="460" w:right="619" w:hanging="460"/>
        <w:spacing w:after="0" w:line="237" w:lineRule="auto"/>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amount excludes an aggregate of 405,052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4" w:lineRule="exact"/>
        <w:rPr>
          <w:rFonts w:ascii="Courier New" w:cs="Courier New" w:eastAsia="Courier New" w:hAnsi="Courier New"/>
          <w:sz w:val="20"/>
          <w:szCs w:val="20"/>
          <w:color w:val="auto"/>
        </w:rPr>
      </w:pPr>
    </w:p>
    <w:p>
      <w:pPr>
        <w:ind w:left="460" w:right="619" w:hanging="460"/>
        <w:spacing w:after="0" w:line="238" w:lineRule="auto"/>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SEA VII Management, LLC ("Spectrum") manages funds that collectively own 2,952,733 shares of Class A common stock of the Issuer and 28,352,972 shares of Class B common stock of the Issuer, which are represented as follows: (i) 2,952,733 shares of Class A common stock held directly by SE VII DHC AIV Feeder, L.P. ("Spectrum Feeder"), (ii) 28,287,857 shares of Class B common stock held directly by SE VII DHC AIV, L.P. ("SE VII DHC AIV"); (iii) 41,104 shares of Class B common stock held directly by Spectrum VII Investment Managers Fund, L.P. ("Spectrum Investment Managers Fund"); and (iv) 24,011 shares of Class B common stock held directly by Spectrum VII Co-Investment Fund, L.P. ("Spectrum VII Co-Investment Fund" and, together with Spectrum Feeder, SE VII DHC AIV, Spectrum Investment Managers' Fund and Spectrum VII Co-Investment FUnd, the "Spectrum Funds").</w:t>
      </w:r>
    </w:p>
    <w:p>
      <w:pPr>
        <w:spacing w:after="0" w:line="230" w:lineRule="exact"/>
        <w:rPr>
          <w:rFonts w:ascii="Courier New" w:cs="Courier New" w:eastAsia="Courier New" w:hAnsi="Courier New"/>
          <w:sz w:val="20"/>
          <w:szCs w:val="20"/>
          <w:color w:val="auto"/>
        </w:rPr>
      </w:pPr>
    </w:p>
    <w:p>
      <w:pPr>
        <w:ind w:left="460" w:right="839" w:hanging="460"/>
        <w:spacing w:after="0" w:line="236" w:lineRule="auto"/>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SEA VII Management, LLC is the general partner of Spectrum Equity Associates VII, L.P., which in turn is the general partner of the Spectrum Funds.</w:t>
      </w:r>
    </w:p>
    <w:p>
      <w:pPr>
        <w:spacing w:after="0" w:line="232" w:lineRule="exact"/>
        <w:rPr>
          <w:rFonts w:ascii="Courier New" w:cs="Courier New" w:eastAsia="Courier New" w:hAnsi="Courier New"/>
          <w:sz w:val="20"/>
          <w:szCs w:val="20"/>
          <w:color w:val="auto"/>
        </w:rPr>
      </w:pPr>
    </w:p>
    <w:p>
      <w:pPr>
        <w:ind w:left="460" w:right="619" w:hanging="460"/>
        <w:spacing w:after="0" w:line="237" w:lineRule="auto"/>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31" w:lineRule="exact"/>
        <w:rPr>
          <w:rFonts w:ascii="Courier New" w:cs="Courier New" w:eastAsia="Courier New" w:hAnsi="Courier New"/>
          <w:sz w:val="20"/>
          <w:szCs w:val="20"/>
          <w:color w:val="auto"/>
        </w:rPr>
      </w:pPr>
    </w:p>
    <w:p>
      <w:pPr>
        <w:ind w:left="460" w:right="619" w:hanging="460"/>
        <w:spacing w:after="0" w:line="237" w:lineRule="auto"/>
        <w:tabs>
          <w:tab w:leader="none" w:pos="4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The Reporting Person may exchange LLC Units of AIDH Topco, LLC for shares of Class A Common Stock of the Issuer on a one-for-one basis, subject to certain exceptions, conditions and adjustments. The LLC Units of AIDH Topco, LLC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9"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10" Type="http://schemas.openxmlformats.org/officeDocument/2006/relationships/hyperlink" Target="http://www.sec.gov/cgi-bin/browse-edgar?action=getcompany&amp;CIK=0001824265" TargetMode="External"/><Relationship Id="rId11" Type="http://schemas.openxmlformats.org/officeDocument/2006/relationships/hyperlink" Target="http://www.sec.gov/cgi-bin/browse-edgar?action=getcompany&amp;CIK=0001861795" TargetMode="External"/><Relationship Id="rId12" Type="http://schemas.openxmlformats.org/officeDocument/2006/relationships/hyperlink" Target="http://www.sec.gov/cgi-bin/browse-edgar?action=getcompany&amp;CIK=0001879386" TargetMode="External"/><Relationship Id="rId14" Type="http://schemas.openxmlformats.org/officeDocument/2006/relationships/hyperlink" Target="http://www.sec.gov/cgi-bin/browse-edgar?action=getcompany&amp;CIK=0001626997" TargetMode="External"/><Relationship Id="rId15" Type="http://schemas.openxmlformats.org/officeDocument/2006/relationships/hyperlink" Target="http://www.sec.gov/cgi-bin/browse-edgar?action=getcompany&amp;CIK=0001879377" TargetMode="External"/><Relationship Id="rId16" Type="http://schemas.openxmlformats.org/officeDocument/2006/relationships/hyperlink" Target="http://www.sec.gov/cgi-bin/browse-edgar?action=getcompany&amp;CIK=0001822087" TargetMode="External"/><Relationship Id="rId17" Type="http://schemas.openxmlformats.org/officeDocument/2006/relationships/hyperlink" Target="http://www.sec.gov/cgi-bin/browse-edgar?action=getcompany&amp;CIK=0001824228" TargetMode="External"/><Relationship Id="rId18" Type="http://schemas.openxmlformats.org/officeDocument/2006/relationships/hyperlink" Target="http://www.sec.gov/cgi-bin/browse-edgar?action=getcompany&amp;CIK=0001425004" TargetMode="External"/><Relationship Id="rId20" Type="http://schemas.openxmlformats.org/officeDocument/2006/relationships/hyperlink" Target="http://www.sec.gov/cgi-bin/browse-edgar?action=getcompany&amp;CIK=0001878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2021-09-15T19:44:27Z</dcterms:created>
  <dcterms:modified xsi:type="dcterms:W3CDTF">2021-09-15T19:44:27Z</dcterms:modified>
</cp:coreProperties>
</file>